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0103" w14:textId="77777777" w:rsidR="00683609" w:rsidRPr="00605D5C" w:rsidRDefault="00683609" w:rsidP="005C468A">
      <w:pPr>
        <w:spacing w:after="0" w:line="240" w:lineRule="auto"/>
        <w:contextualSpacing/>
        <w:rPr>
          <w:rFonts w:ascii="Arial" w:hAnsi="Arial" w:cs="Arial"/>
        </w:rPr>
      </w:pPr>
    </w:p>
    <w:p w14:paraId="331885EB" w14:textId="47968572"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Title of the module</w:t>
      </w:r>
    </w:p>
    <w:p w14:paraId="4ED65CF7" w14:textId="5BB3300F" w:rsidR="009A2D37" w:rsidRDefault="00711F5F" w:rsidP="005C468A">
      <w:pPr>
        <w:spacing w:after="120" w:line="240" w:lineRule="auto"/>
        <w:ind w:left="426" w:right="260"/>
        <w:contextualSpacing/>
        <w:jc w:val="both"/>
        <w:rPr>
          <w:rFonts w:ascii="Arial" w:hAnsi="Arial" w:cs="Arial"/>
        </w:rPr>
      </w:pPr>
      <w:r>
        <w:rPr>
          <w:rFonts w:ascii="Arial" w:hAnsi="Arial" w:cs="Arial"/>
        </w:rPr>
        <w:t xml:space="preserve">BUSN7750 (CB775): </w:t>
      </w:r>
      <w:r w:rsidR="007A22E0">
        <w:rPr>
          <w:rFonts w:ascii="Arial" w:hAnsi="Arial" w:cs="Arial"/>
        </w:rPr>
        <w:t>Investment</w:t>
      </w:r>
      <w:r w:rsidR="009E5DF4">
        <w:rPr>
          <w:rFonts w:ascii="Arial" w:hAnsi="Arial" w:cs="Arial"/>
        </w:rPr>
        <w:t xml:space="preserve"> Analysis</w:t>
      </w:r>
    </w:p>
    <w:p w14:paraId="0447A324" w14:textId="77777777" w:rsidR="005C468A" w:rsidRPr="00605D5C" w:rsidRDefault="005C468A" w:rsidP="005C468A">
      <w:pPr>
        <w:spacing w:after="120" w:line="240" w:lineRule="auto"/>
        <w:ind w:left="426" w:right="260"/>
        <w:contextualSpacing/>
        <w:jc w:val="both"/>
        <w:rPr>
          <w:rFonts w:ascii="Arial" w:hAnsi="Arial" w:cs="Arial"/>
        </w:rPr>
      </w:pPr>
    </w:p>
    <w:p w14:paraId="10B94C58"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School or partner institution which will be responsible for management of the module</w:t>
      </w:r>
    </w:p>
    <w:p w14:paraId="2FB292ED" w14:textId="7E120872" w:rsidR="009A2D37" w:rsidRDefault="00733F24" w:rsidP="005C468A">
      <w:pPr>
        <w:spacing w:after="120" w:line="240" w:lineRule="auto"/>
        <w:ind w:left="426" w:right="260"/>
        <w:contextualSpacing/>
        <w:rPr>
          <w:rFonts w:ascii="Arial" w:hAnsi="Arial" w:cs="Arial"/>
          <w:iCs/>
        </w:rPr>
      </w:pPr>
      <w:r w:rsidRPr="00605D5C">
        <w:rPr>
          <w:rFonts w:ascii="Arial" w:hAnsi="Arial" w:cs="Arial"/>
          <w:iCs/>
        </w:rPr>
        <w:t>Kent Business School</w:t>
      </w:r>
    </w:p>
    <w:p w14:paraId="14DB04E3" w14:textId="77777777" w:rsidR="005C468A" w:rsidRPr="00605D5C" w:rsidRDefault="005C468A" w:rsidP="005C468A">
      <w:pPr>
        <w:spacing w:after="120" w:line="240" w:lineRule="auto"/>
        <w:ind w:left="426" w:right="260"/>
        <w:contextualSpacing/>
        <w:rPr>
          <w:rFonts w:ascii="Arial" w:hAnsi="Arial" w:cs="Arial"/>
          <w:iCs/>
        </w:rPr>
      </w:pPr>
    </w:p>
    <w:p w14:paraId="70BB6875" w14:textId="77777777" w:rsidR="009A2D37" w:rsidRPr="00605D5C" w:rsidRDefault="002A7F48"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The level of the module (</w:t>
      </w:r>
      <w:r w:rsidR="00D83563" w:rsidRPr="00605D5C">
        <w:rPr>
          <w:rFonts w:ascii="Arial" w:hAnsi="Arial" w:cs="Arial"/>
          <w:b/>
        </w:rPr>
        <w:t>Level</w:t>
      </w:r>
      <w:r w:rsidR="00441E76" w:rsidRPr="00605D5C">
        <w:rPr>
          <w:rFonts w:ascii="Arial" w:hAnsi="Arial" w:cs="Arial"/>
          <w:b/>
        </w:rPr>
        <w:t xml:space="preserve"> 4</w:t>
      </w:r>
      <w:r w:rsidR="001D0C7D" w:rsidRPr="00605D5C">
        <w:rPr>
          <w:rFonts w:ascii="Arial" w:hAnsi="Arial" w:cs="Arial"/>
          <w:b/>
        </w:rPr>
        <w:t xml:space="preserve">, </w:t>
      </w:r>
      <w:r w:rsidR="00441E76" w:rsidRPr="00605D5C">
        <w:rPr>
          <w:rFonts w:ascii="Arial" w:hAnsi="Arial" w:cs="Arial"/>
          <w:b/>
        </w:rPr>
        <w:t>Level 5</w:t>
      </w:r>
      <w:r w:rsidR="001D0C7D" w:rsidRPr="00605D5C">
        <w:rPr>
          <w:rFonts w:ascii="Arial" w:hAnsi="Arial" w:cs="Arial"/>
          <w:b/>
        </w:rPr>
        <w:t xml:space="preserve">, </w:t>
      </w:r>
      <w:r w:rsidR="00441E76" w:rsidRPr="00605D5C">
        <w:rPr>
          <w:rFonts w:ascii="Arial" w:hAnsi="Arial" w:cs="Arial"/>
          <w:b/>
        </w:rPr>
        <w:t>Level 6</w:t>
      </w:r>
      <w:r w:rsidR="001D0C7D" w:rsidRPr="00605D5C">
        <w:rPr>
          <w:rFonts w:ascii="Arial" w:hAnsi="Arial" w:cs="Arial"/>
          <w:b/>
        </w:rPr>
        <w:t xml:space="preserve"> or </w:t>
      </w:r>
      <w:r w:rsidR="00C612A8" w:rsidRPr="00605D5C">
        <w:rPr>
          <w:rFonts w:ascii="Arial" w:hAnsi="Arial" w:cs="Arial"/>
          <w:b/>
        </w:rPr>
        <w:t>L</w:t>
      </w:r>
      <w:r w:rsidR="00441E76" w:rsidRPr="00605D5C">
        <w:rPr>
          <w:rFonts w:ascii="Arial" w:hAnsi="Arial" w:cs="Arial"/>
          <w:b/>
        </w:rPr>
        <w:t>evel 7</w:t>
      </w:r>
      <w:r w:rsidR="009A2D37" w:rsidRPr="00605D5C">
        <w:rPr>
          <w:rFonts w:ascii="Arial" w:hAnsi="Arial" w:cs="Arial"/>
          <w:b/>
        </w:rPr>
        <w:t>)</w:t>
      </w:r>
    </w:p>
    <w:p w14:paraId="60A352F4" w14:textId="7AE121BC" w:rsidR="009A2D37" w:rsidRDefault="007A22E0" w:rsidP="005C468A">
      <w:pPr>
        <w:spacing w:after="120" w:line="240" w:lineRule="auto"/>
        <w:ind w:left="426" w:right="260"/>
        <w:contextualSpacing/>
        <w:rPr>
          <w:rFonts w:ascii="Arial" w:hAnsi="Arial" w:cs="Arial"/>
          <w:iCs/>
        </w:rPr>
      </w:pPr>
      <w:r>
        <w:rPr>
          <w:rFonts w:ascii="Arial" w:hAnsi="Arial" w:cs="Arial"/>
          <w:iCs/>
        </w:rPr>
        <w:t>Level 5</w:t>
      </w:r>
    </w:p>
    <w:p w14:paraId="29D81499" w14:textId="77777777" w:rsidR="005C468A" w:rsidRPr="00605D5C" w:rsidRDefault="005C468A" w:rsidP="005C468A">
      <w:pPr>
        <w:spacing w:after="120" w:line="240" w:lineRule="auto"/>
        <w:ind w:left="426" w:right="260"/>
        <w:contextualSpacing/>
        <w:rPr>
          <w:rFonts w:ascii="Arial" w:hAnsi="Arial" w:cs="Arial"/>
          <w:iCs/>
        </w:rPr>
      </w:pPr>
    </w:p>
    <w:p w14:paraId="74B23D9E"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 xml:space="preserve">The number of credits and the ECTS value which the module represents </w:t>
      </w:r>
    </w:p>
    <w:p w14:paraId="74F2D493" w14:textId="6F677F3A" w:rsidR="009A2D37" w:rsidRDefault="00E15F89" w:rsidP="005C468A">
      <w:pPr>
        <w:spacing w:after="120" w:line="240" w:lineRule="auto"/>
        <w:ind w:left="426" w:right="260"/>
        <w:contextualSpacing/>
        <w:rPr>
          <w:rFonts w:ascii="Arial" w:hAnsi="Arial" w:cs="Arial"/>
        </w:rPr>
      </w:pPr>
      <w:r w:rsidRPr="00E15F89">
        <w:rPr>
          <w:rFonts w:ascii="Arial" w:hAnsi="Arial" w:cs="Arial"/>
        </w:rPr>
        <w:t>15 Credits (7.5 ECTS)</w:t>
      </w:r>
    </w:p>
    <w:p w14:paraId="7088D638" w14:textId="77777777" w:rsidR="005C468A" w:rsidRPr="00993C6A" w:rsidRDefault="005C468A" w:rsidP="005C468A">
      <w:pPr>
        <w:spacing w:after="120" w:line="240" w:lineRule="auto"/>
        <w:ind w:left="426" w:right="260"/>
        <w:contextualSpacing/>
        <w:rPr>
          <w:rFonts w:ascii="Arial" w:hAnsi="Arial" w:cs="Arial"/>
        </w:rPr>
      </w:pPr>
    </w:p>
    <w:p w14:paraId="22D2071C"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Which term(s) the module is to be taught in (or other teaching pattern)</w:t>
      </w:r>
    </w:p>
    <w:p w14:paraId="6E6792D0" w14:textId="3513607B" w:rsidR="009A2D37" w:rsidRDefault="007A22E0" w:rsidP="005C468A">
      <w:pPr>
        <w:spacing w:after="120" w:line="240" w:lineRule="auto"/>
        <w:ind w:left="426" w:right="260"/>
        <w:contextualSpacing/>
        <w:rPr>
          <w:rFonts w:ascii="Arial" w:hAnsi="Arial" w:cs="Arial"/>
          <w:iCs/>
        </w:rPr>
      </w:pPr>
      <w:r>
        <w:rPr>
          <w:rFonts w:ascii="Arial" w:hAnsi="Arial" w:cs="Arial"/>
          <w:iCs/>
        </w:rPr>
        <w:t>Spring</w:t>
      </w:r>
    </w:p>
    <w:p w14:paraId="4369265A" w14:textId="77777777" w:rsidR="005C468A" w:rsidRPr="00605D5C" w:rsidRDefault="005C468A" w:rsidP="005C468A">
      <w:pPr>
        <w:spacing w:after="120" w:line="240" w:lineRule="auto"/>
        <w:ind w:left="426" w:right="260"/>
        <w:contextualSpacing/>
        <w:rPr>
          <w:rFonts w:ascii="Arial" w:hAnsi="Arial" w:cs="Arial"/>
          <w:iCs/>
        </w:rPr>
      </w:pPr>
    </w:p>
    <w:p w14:paraId="16782702"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Prerequisite and co-requisite modules</w:t>
      </w:r>
    </w:p>
    <w:p w14:paraId="1A7D2B81" w14:textId="61705703" w:rsidR="009A2D37" w:rsidRDefault="00711F5F" w:rsidP="005C468A">
      <w:pPr>
        <w:spacing w:after="120" w:line="240" w:lineRule="auto"/>
        <w:ind w:left="426" w:right="260"/>
        <w:contextualSpacing/>
        <w:rPr>
          <w:rFonts w:ascii="Arial" w:hAnsi="Arial" w:cs="Arial"/>
          <w:iCs/>
        </w:rPr>
      </w:pPr>
      <w:r>
        <w:rPr>
          <w:rFonts w:ascii="Arial" w:hAnsi="Arial" w:cs="Arial"/>
          <w:iCs/>
        </w:rPr>
        <w:t xml:space="preserve">BUSN3750 (CB375) </w:t>
      </w:r>
      <w:r w:rsidR="002E20C3">
        <w:rPr>
          <w:rFonts w:ascii="Arial" w:hAnsi="Arial" w:cs="Arial"/>
          <w:iCs/>
        </w:rPr>
        <w:t xml:space="preserve">Introduction to Financial Markets and Instruments </w:t>
      </w:r>
    </w:p>
    <w:p w14:paraId="2DC6FE55" w14:textId="77777777" w:rsidR="005C468A" w:rsidRPr="00605D5C" w:rsidRDefault="005C468A" w:rsidP="005C468A">
      <w:pPr>
        <w:spacing w:after="120" w:line="240" w:lineRule="auto"/>
        <w:ind w:left="426" w:right="260"/>
        <w:contextualSpacing/>
        <w:rPr>
          <w:rFonts w:ascii="Arial" w:hAnsi="Arial" w:cs="Arial"/>
          <w:iCs/>
        </w:rPr>
      </w:pPr>
    </w:p>
    <w:p w14:paraId="4EFABB0B"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The programmes of study to which the module contributes</w:t>
      </w:r>
    </w:p>
    <w:p w14:paraId="03E68445" w14:textId="589494B5" w:rsidR="00733F24" w:rsidRDefault="00733F24" w:rsidP="005C468A">
      <w:pPr>
        <w:ind w:left="426"/>
        <w:contextualSpacing/>
        <w:rPr>
          <w:rFonts w:ascii="Arial" w:hAnsi="Arial" w:cs="Arial"/>
        </w:rPr>
      </w:pPr>
      <w:r w:rsidRPr="00993C6A">
        <w:rPr>
          <w:rFonts w:ascii="Arial" w:hAnsi="Arial" w:cs="Arial"/>
        </w:rPr>
        <w:t xml:space="preserve">BSc (Hons) Finance and Investment </w:t>
      </w:r>
      <w:r w:rsidR="00711F5F">
        <w:rPr>
          <w:rFonts w:ascii="Arial" w:hAnsi="Arial" w:cs="Arial"/>
        </w:rPr>
        <w:t>and associated programmes</w:t>
      </w:r>
    </w:p>
    <w:p w14:paraId="5719D100" w14:textId="77777777" w:rsidR="005C468A" w:rsidRPr="00993C6A" w:rsidRDefault="005C468A" w:rsidP="005C468A">
      <w:pPr>
        <w:ind w:left="426"/>
        <w:contextualSpacing/>
        <w:rPr>
          <w:rFonts w:ascii="Arial" w:eastAsiaTheme="minorHAnsi" w:hAnsi="Arial" w:cs="Arial"/>
        </w:rPr>
      </w:pPr>
    </w:p>
    <w:p w14:paraId="17E9DDA1" w14:textId="133FE2F3" w:rsidR="009A2D37" w:rsidRPr="00605D5C" w:rsidRDefault="009A2D37" w:rsidP="005C468A">
      <w:pPr>
        <w:numPr>
          <w:ilvl w:val="0"/>
          <w:numId w:val="1"/>
        </w:numPr>
        <w:spacing w:after="120" w:line="240" w:lineRule="auto"/>
        <w:ind w:left="426" w:right="260" w:hanging="426"/>
        <w:contextualSpacing/>
        <w:rPr>
          <w:rFonts w:ascii="Arial" w:hAnsi="Arial" w:cs="Arial"/>
          <w:b/>
        </w:rPr>
      </w:pPr>
      <w:r w:rsidRPr="00605D5C">
        <w:rPr>
          <w:rFonts w:ascii="Arial" w:hAnsi="Arial" w:cs="Arial"/>
          <w:b/>
        </w:rPr>
        <w:t>The intended subject specific learning outcomes</w:t>
      </w:r>
      <w:r w:rsidR="00C729D7" w:rsidRPr="00605D5C">
        <w:rPr>
          <w:rFonts w:ascii="Arial" w:hAnsi="Arial" w:cs="Arial"/>
          <w:b/>
        </w:rPr>
        <w:t>.</w:t>
      </w:r>
      <w:r w:rsidR="00C729D7" w:rsidRPr="00605D5C">
        <w:rPr>
          <w:rFonts w:ascii="Arial" w:hAnsi="Arial" w:cs="Arial"/>
          <w:b/>
        </w:rPr>
        <w:br/>
        <w:t xml:space="preserve">On successfully completing the module students will </w:t>
      </w:r>
      <w:r w:rsidR="00682A5E">
        <w:rPr>
          <w:rFonts w:ascii="Arial" w:hAnsi="Arial" w:cs="Arial"/>
          <w:b/>
        </w:rPr>
        <w:t>be able to</w:t>
      </w:r>
      <w:r w:rsidR="00C729D7" w:rsidRPr="00605D5C">
        <w:rPr>
          <w:rFonts w:ascii="Arial" w:hAnsi="Arial" w:cs="Arial"/>
          <w:b/>
        </w:rPr>
        <w:t>:</w:t>
      </w:r>
    </w:p>
    <w:p w14:paraId="01E82FC6" w14:textId="14F22E2A" w:rsidR="00E15F89" w:rsidRPr="00993C6A" w:rsidRDefault="00E15F89" w:rsidP="005C468A">
      <w:pPr>
        <w:spacing w:after="120" w:line="240" w:lineRule="auto"/>
        <w:ind w:left="851" w:right="260" w:hanging="425"/>
        <w:contextualSpacing/>
        <w:rPr>
          <w:rFonts w:ascii="Arial" w:hAnsi="Arial" w:cs="Arial"/>
        </w:rPr>
      </w:pPr>
      <w:r w:rsidRPr="00E15F89">
        <w:rPr>
          <w:rFonts w:ascii="Arial" w:hAnsi="Arial" w:cs="Arial"/>
        </w:rPr>
        <w:t>8.1</w:t>
      </w:r>
      <w:r>
        <w:rPr>
          <w:rFonts w:ascii="Arial" w:hAnsi="Arial" w:cs="Arial"/>
        </w:rPr>
        <w:t xml:space="preserve">. </w:t>
      </w:r>
      <w:r w:rsidR="00682A5E">
        <w:rPr>
          <w:rFonts w:ascii="Arial" w:hAnsi="Arial" w:cs="Arial"/>
        </w:rPr>
        <w:t>Demonstrate k</w:t>
      </w:r>
      <w:r w:rsidR="00335A8D">
        <w:rPr>
          <w:rFonts w:ascii="Arial" w:hAnsi="Arial" w:cs="Arial"/>
        </w:rPr>
        <w:t>nowledge</w:t>
      </w:r>
      <w:r w:rsidR="008205CC">
        <w:rPr>
          <w:rFonts w:ascii="Arial" w:hAnsi="Arial" w:cs="Arial"/>
        </w:rPr>
        <w:t xml:space="preserve"> of the investment environment</w:t>
      </w:r>
      <w:r w:rsidR="00335A8D">
        <w:rPr>
          <w:rFonts w:ascii="Arial" w:hAnsi="Arial" w:cs="Arial"/>
        </w:rPr>
        <w:t>,</w:t>
      </w:r>
      <w:r w:rsidR="008205CC">
        <w:rPr>
          <w:rFonts w:ascii="Arial" w:hAnsi="Arial" w:cs="Arial"/>
        </w:rPr>
        <w:t xml:space="preserve"> asset classes and financial instruments</w:t>
      </w:r>
      <w:r>
        <w:rPr>
          <w:rFonts w:ascii="Arial" w:hAnsi="Arial" w:cs="Arial"/>
        </w:rPr>
        <w:t>.</w:t>
      </w:r>
    </w:p>
    <w:p w14:paraId="030346B2" w14:textId="29E1C957" w:rsidR="008205CC" w:rsidRDefault="00E15F89" w:rsidP="005C468A">
      <w:pPr>
        <w:spacing w:after="120" w:line="240" w:lineRule="auto"/>
        <w:ind w:left="426" w:right="260"/>
        <w:contextualSpacing/>
        <w:rPr>
          <w:rFonts w:ascii="Arial" w:hAnsi="Arial" w:cs="Arial"/>
        </w:rPr>
      </w:pPr>
      <w:r w:rsidRPr="00E15F89">
        <w:rPr>
          <w:rFonts w:ascii="Arial" w:hAnsi="Arial" w:cs="Arial"/>
        </w:rPr>
        <w:t>8.2</w:t>
      </w:r>
      <w:r>
        <w:rPr>
          <w:rFonts w:ascii="Arial" w:hAnsi="Arial" w:cs="Arial"/>
        </w:rPr>
        <w:t xml:space="preserve">. </w:t>
      </w:r>
      <w:r w:rsidR="00682A5E">
        <w:rPr>
          <w:rFonts w:ascii="Arial" w:hAnsi="Arial" w:cs="Arial"/>
        </w:rPr>
        <w:t>Demonstrate u</w:t>
      </w:r>
      <w:r w:rsidR="008205CC">
        <w:rPr>
          <w:rFonts w:ascii="Arial" w:hAnsi="Arial" w:cs="Arial"/>
        </w:rPr>
        <w:t>nderstanding of trading</w:t>
      </w:r>
      <w:r w:rsidR="00335A8D">
        <w:rPr>
          <w:rFonts w:ascii="Arial" w:hAnsi="Arial" w:cs="Arial"/>
        </w:rPr>
        <w:t xml:space="preserve"> process and key players</w:t>
      </w:r>
      <w:r w:rsidR="008205CC">
        <w:rPr>
          <w:rFonts w:ascii="Arial" w:hAnsi="Arial" w:cs="Arial"/>
        </w:rPr>
        <w:t xml:space="preserve"> in </w:t>
      </w:r>
      <w:r w:rsidR="00335A8D">
        <w:rPr>
          <w:rFonts w:ascii="Arial" w:hAnsi="Arial" w:cs="Arial"/>
        </w:rPr>
        <w:t xml:space="preserve">the </w:t>
      </w:r>
      <w:r w:rsidR="008205CC">
        <w:rPr>
          <w:rFonts w:ascii="Arial" w:hAnsi="Arial" w:cs="Arial"/>
        </w:rPr>
        <w:t>financial markets.</w:t>
      </w:r>
    </w:p>
    <w:p w14:paraId="3CE9189B" w14:textId="55F5DE67" w:rsidR="00A62916" w:rsidRDefault="008205CC" w:rsidP="005C468A">
      <w:pPr>
        <w:spacing w:after="120" w:line="240" w:lineRule="auto"/>
        <w:ind w:left="426" w:right="260"/>
        <w:contextualSpacing/>
        <w:rPr>
          <w:rFonts w:ascii="Arial" w:hAnsi="Arial" w:cs="Arial"/>
        </w:rPr>
      </w:pPr>
      <w:r>
        <w:rPr>
          <w:rFonts w:ascii="Arial" w:hAnsi="Arial" w:cs="Arial"/>
        </w:rPr>
        <w:t>8</w:t>
      </w:r>
      <w:r w:rsidR="00E15F89" w:rsidRPr="00993C6A">
        <w:rPr>
          <w:rFonts w:ascii="Arial" w:hAnsi="Arial" w:cs="Arial"/>
        </w:rPr>
        <w:t>.3</w:t>
      </w:r>
      <w:r w:rsidR="00E15F89">
        <w:rPr>
          <w:rFonts w:ascii="Arial" w:hAnsi="Arial" w:cs="Arial"/>
        </w:rPr>
        <w:t xml:space="preserve">. </w:t>
      </w:r>
      <w:r w:rsidR="00682A5E">
        <w:rPr>
          <w:rFonts w:ascii="Arial" w:hAnsi="Arial" w:cs="Arial"/>
        </w:rPr>
        <w:t>Demonstrate c</w:t>
      </w:r>
      <w:r w:rsidR="00335A8D">
        <w:rPr>
          <w:rFonts w:ascii="Arial" w:hAnsi="Arial" w:cs="Arial"/>
        </w:rPr>
        <w:t xml:space="preserve">ritical assessment of </w:t>
      </w:r>
      <w:r w:rsidR="00A62916">
        <w:rPr>
          <w:rFonts w:ascii="Arial" w:hAnsi="Arial" w:cs="Arial"/>
        </w:rPr>
        <w:t xml:space="preserve">theoretical </w:t>
      </w:r>
      <w:r w:rsidR="00887AE3">
        <w:rPr>
          <w:rFonts w:ascii="Arial" w:hAnsi="Arial" w:cs="Arial"/>
        </w:rPr>
        <w:t xml:space="preserve">pricing </w:t>
      </w:r>
      <w:r w:rsidR="00A62916">
        <w:rPr>
          <w:rFonts w:ascii="Arial" w:hAnsi="Arial" w:cs="Arial"/>
        </w:rPr>
        <w:t>models</w:t>
      </w:r>
      <w:r w:rsidR="00887AE3">
        <w:rPr>
          <w:rFonts w:ascii="Arial" w:hAnsi="Arial" w:cs="Arial"/>
        </w:rPr>
        <w:t>.</w:t>
      </w:r>
    </w:p>
    <w:p w14:paraId="5F7AFD14" w14:textId="5462006A" w:rsidR="00A62916" w:rsidRDefault="009F5774" w:rsidP="005C468A">
      <w:pPr>
        <w:spacing w:after="120" w:line="240" w:lineRule="auto"/>
        <w:ind w:left="851" w:right="260" w:hanging="425"/>
        <w:contextualSpacing/>
        <w:rPr>
          <w:rFonts w:ascii="Arial" w:hAnsi="Arial" w:cs="Arial"/>
        </w:rPr>
      </w:pPr>
      <w:r>
        <w:rPr>
          <w:rFonts w:ascii="Arial" w:hAnsi="Arial" w:cs="Arial"/>
        </w:rPr>
        <w:t>8.4</w:t>
      </w:r>
      <w:r w:rsidR="00A62916">
        <w:rPr>
          <w:rFonts w:ascii="Arial" w:hAnsi="Arial" w:cs="Arial"/>
        </w:rPr>
        <w:t xml:space="preserve">. </w:t>
      </w:r>
      <w:r w:rsidR="00682A5E">
        <w:rPr>
          <w:rFonts w:ascii="Arial" w:hAnsi="Arial" w:cs="Arial"/>
        </w:rPr>
        <w:t>Demonstrate k</w:t>
      </w:r>
      <w:r w:rsidR="00335A8D">
        <w:rPr>
          <w:rFonts w:ascii="Arial" w:hAnsi="Arial" w:cs="Arial"/>
        </w:rPr>
        <w:t>nowledge of</w:t>
      </w:r>
      <w:r w:rsidR="00A62916">
        <w:rPr>
          <w:rFonts w:ascii="Arial" w:hAnsi="Arial" w:cs="Arial"/>
        </w:rPr>
        <w:t xml:space="preserve"> </w:t>
      </w:r>
      <w:r w:rsidR="00887AE3">
        <w:rPr>
          <w:rFonts w:ascii="Arial" w:hAnsi="Arial" w:cs="Arial"/>
        </w:rPr>
        <w:t xml:space="preserve">valuation </w:t>
      </w:r>
      <w:r w:rsidR="00A62916">
        <w:rPr>
          <w:rFonts w:ascii="Arial" w:hAnsi="Arial" w:cs="Arial"/>
        </w:rPr>
        <w:t xml:space="preserve">techniques </w:t>
      </w:r>
      <w:r w:rsidR="00887AE3">
        <w:rPr>
          <w:rFonts w:ascii="Arial" w:hAnsi="Arial" w:cs="Arial"/>
        </w:rPr>
        <w:t>for</w:t>
      </w:r>
      <w:r w:rsidR="00A62916">
        <w:rPr>
          <w:rFonts w:ascii="Arial" w:hAnsi="Arial" w:cs="Arial"/>
        </w:rPr>
        <w:t xml:space="preserve"> equity, fixed-income instruments and derivative contracts.</w:t>
      </w:r>
    </w:p>
    <w:p w14:paraId="2ADFF89C" w14:textId="26920071" w:rsidR="004A14C3" w:rsidRDefault="004A14C3" w:rsidP="005C468A">
      <w:pPr>
        <w:spacing w:after="120" w:line="240" w:lineRule="auto"/>
        <w:ind w:left="851" w:right="260" w:hanging="425"/>
        <w:contextualSpacing/>
        <w:rPr>
          <w:rFonts w:ascii="Arial" w:hAnsi="Arial" w:cs="Arial"/>
        </w:rPr>
      </w:pPr>
      <w:r>
        <w:rPr>
          <w:rFonts w:ascii="Arial" w:hAnsi="Arial" w:cs="Arial"/>
        </w:rPr>
        <w:t xml:space="preserve">8.5. </w:t>
      </w:r>
      <w:r w:rsidR="00682A5E">
        <w:rPr>
          <w:rFonts w:ascii="Arial" w:hAnsi="Arial" w:cs="Arial"/>
        </w:rPr>
        <w:t>Demonstrate k</w:t>
      </w:r>
      <w:r>
        <w:rPr>
          <w:rFonts w:ascii="Arial" w:hAnsi="Arial" w:cs="Arial"/>
        </w:rPr>
        <w:t xml:space="preserve">nowledge of </w:t>
      </w:r>
      <w:r w:rsidRPr="004A14C3">
        <w:rPr>
          <w:rFonts w:ascii="Arial" w:hAnsi="Arial" w:cs="Arial"/>
        </w:rPr>
        <w:t>CFA Institute Code of Ethics and Standards of Professional Conduct</w:t>
      </w:r>
      <w:r>
        <w:rPr>
          <w:rFonts w:ascii="Arial" w:hAnsi="Arial" w:cs="Arial"/>
        </w:rPr>
        <w:t xml:space="preserve">. </w:t>
      </w:r>
    </w:p>
    <w:p w14:paraId="4A27B87B" w14:textId="77777777" w:rsidR="005C468A" w:rsidRDefault="005C468A" w:rsidP="005C468A">
      <w:pPr>
        <w:spacing w:after="120" w:line="240" w:lineRule="auto"/>
        <w:ind w:left="851" w:right="260" w:hanging="425"/>
        <w:contextualSpacing/>
        <w:rPr>
          <w:rFonts w:ascii="Arial" w:hAnsi="Arial" w:cs="Arial"/>
        </w:rPr>
      </w:pPr>
    </w:p>
    <w:p w14:paraId="381ABFA0" w14:textId="77777777" w:rsidR="00C729D7" w:rsidRDefault="009A2D37" w:rsidP="005C468A">
      <w:pPr>
        <w:numPr>
          <w:ilvl w:val="0"/>
          <w:numId w:val="1"/>
        </w:numPr>
        <w:spacing w:after="120" w:line="240" w:lineRule="auto"/>
        <w:ind w:left="426" w:right="260" w:hanging="426"/>
        <w:contextualSpacing/>
        <w:rPr>
          <w:rFonts w:ascii="Arial" w:hAnsi="Arial" w:cs="Arial"/>
          <w:b/>
        </w:rPr>
      </w:pPr>
      <w:r w:rsidRPr="00605D5C">
        <w:rPr>
          <w:rFonts w:ascii="Arial" w:hAnsi="Arial" w:cs="Arial"/>
          <w:b/>
        </w:rPr>
        <w:t>The intended generic learning outcomes</w:t>
      </w:r>
      <w:r w:rsidR="00C729D7" w:rsidRPr="00605D5C">
        <w:rPr>
          <w:rFonts w:ascii="Arial" w:hAnsi="Arial" w:cs="Arial"/>
          <w:b/>
        </w:rPr>
        <w:t>.</w:t>
      </w:r>
      <w:r w:rsidR="00C729D7" w:rsidRPr="00605D5C">
        <w:rPr>
          <w:rFonts w:ascii="Arial" w:hAnsi="Arial" w:cs="Arial"/>
          <w:b/>
        </w:rPr>
        <w:br/>
        <w:t>On successfully completing the module students will be able to:</w:t>
      </w:r>
    </w:p>
    <w:p w14:paraId="1A03F30C" w14:textId="49070349" w:rsidR="00771C57" w:rsidRPr="00771C57" w:rsidRDefault="00771C57" w:rsidP="005C468A">
      <w:pPr>
        <w:spacing w:after="120" w:line="240" w:lineRule="auto"/>
        <w:ind w:left="426" w:right="260"/>
        <w:contextualSpacing/>
        <w:rPr>
          <w:rFonts w:ascii="Arial" w:hAnsi="Arial" w:cs="Arial"/>
        </w:rPr>
      </w:pPr>
      <w:r>
        <w:rPr>
          <w:rFonts w:ascii="Arial" w:hAnsi="Arial" w:cs="Arial"/>
        </w:rPr>
        <w:t xml:space="preserve">9.1. </w:t>
      </w:r>
      <w:r w:rsidRPr="00771C57">
        <w:rPr>
          <w:rFonts w:ascii="Arial" w:hAnsi="Arial" w:cs="Arial"/>
        </w:rPr>
        <w:t>Plan work, use relevant sources and study independently.</w:t>
      </w:r>
    </w:p>
    <w:p w14:paraId="681424CB" w14:textId="2976BA92" w:rsidR="00771C57" w:rsidRPr="00771C57" w:rsidRDefault="00771C57" w:rsidP="005C468A">
      <w:pPr>
        <w:spacing w:after="120" w:line="240" w:lineRule="auto"/>
        <w:ind w:left="426" w:right="260"/>
        <w:contextualSpacing/>
        <w:rPr>
          <w:rFonts w:ascii="Arial" w:hAnsi="Arial" w:cs="Arial"/>
        </w:rPr>
      </w:pPr>
      <w:r>
        <w:rPr>
          <w:rFonts w:ascii="Arial" w:hAnsi="Arial" w:cs="Arial"/>
        </w:rPr>
        <w:t xml:space="preserve">9.2. </w:t>
      </w:r>
      <w:r w:rsidRPr="00771C57">
        <w:rPr>
          <w:rFonts w:ascii="Arial" w:hAnsi="Arial" w:cs="Arial"/>
        </w:rPr>
        <w:t>Apply quantitative and problem solving techniques to complex financial data.</w:t>
      </w:r>
    </w:p>
    <w:p w14:paraId="25984A29" w14:textId="6B7D4A26" w:rsidR="00771C57" w:rsidRPr="00771C57" w:rsidRDefault="00771C57" w:rsidP="005C468A">
      <w:pPr>
        <w:spacing w:after="120" w:line="240" w:lineRule="auto"/>
        <w:ind w:left="426" w:right="260"/>
        <w:contextualSpacing/>
        <w:rPr>
          <w:rFonts w:ascii="Arial" w:hAnsi="Arial" w:cs="Arial"/>
        </w:rPr>
      </w:pPr>
      <w:r>
        <w:rPr>
          <w:rFonts w:ascii="Arial" w:eastAsiaTheme="minorHAnsi" w:hAnsi="Arial" w:cs="Arial"/>
          <w:color w:val="000000"/>
          <w:lang w:eastAsia="en-US"/>
        </w:rPr>
        <w:t xml:space="preserve">9.3. </w:t>
      </w:r>
      <w:r w:rsidRPr="00771C57">
        <w:rPr>
          <w:rFonts w:ascii="Arial" w:eastAsiaTheme="minorHAnsi" w:hAnsi="Arial" w:cs="Arial"/>
          <w:color w:val="000000"/>
          <w:lang w:eastAsia="en-US"/>
        </w:rPr>
        <w:t xml:space="preserve">Synthesise arguments and assumptions, and </w:t>
      </w:r>
      <w:r w:rsidRPr="00771C57">
        <w:rPr>
          <w:rFonts w:ascii="Arial" w:hAnsi="Arial" w:cs="Arial"/>
        </w:rPr>
        <w:t>make judgements to offer alternative solutions</w:t>
      </w:r>
      <w:r>
        <w:rPr>
          <w:rFonts w:ascii="Arial" w:eastAsiaTheme="minorHAnsi" w:hAnsi="Arial" w:cs="Arial"/>
          <w:color w:val="000000"/>
          <w:lang w:eastAsia="en-US"/>
        </w:rPr>
        <w:t>.</w:t>
      </w:r>
    </w:p>
    <w:p w14:paraId="281E0F9B" w14:textId="1B33D5B7" w:rsidR="00335A8D" w:rsidRDefault="00771C57" w:rsidP="005C468A">
      <w:pPr>
        <w:spacing w:after="120" w:line="240" w:lineRule="auto"/>
        <w:ind w:left="426" w:right="260"/>
        <w:contextualSpacing/>
        <w:rPr>
          <w:rFonts w:ascii="Arial" w:eastAsiaTheme="minorHAnsi" w:hAnsi="Arial" w:cs="Arial"/>
          <w:color w:val="000000"/>
          <w:lang w:eastAsia="en-US"/>
        </w:rPr>
      </w:pPr>
      <w:r>
        <w:rPr>
          <w:rFonts w:ascii="Arial" w:eastAsiaTheme="minorHAnsi" w:hAnsi="Arial" w:cs="Arial"/>
          <w:color w:val="000000"/>
          <w:lang w:eastAsia="en-US"/>
        </w:rPr>
        <w:t xml:space="preserve">9.4. </w:t>
      </w:r>
      <w:r w:rsidRPr="00771C57">
        <w:rPr>
          <w:rFonts w:ascii="Arial" w:eastAsiaTheme="minorHAnsi" w:hAnsi="Arial" w:cs="Arial"/>
          <w:color w:val="000000"/>
          <w:lang w:eastAsia="en-US"/>
        </w:rPr>
        <w:t>Demonstrate effective communication skills.</w:t>
      </w:r>
    </w:p>
    <w:p w14:paraId="2E9A7C16" w14:textId="77777777" w:rsidR="005C468A" w:rsidRPr="00771C57" w:rsidRDefault="005C468A" w:rsidP="005C468A">
      <w:pPr>
        <w:spacing w:after="120" w:line="240" w:lineRule="auto"/>
        <w:ind w:left="426" w:right="260"/>
        <w:contextualSpacing/>
        <w:rPr>
          <w:rFonts w:ascii="Arial" w:hAnsi="Arial" w:cs="Arial"/>
        </w:rPr>
      </w:pPr>
    </w:p>
    <w:p w14:paraId="57599706" w14:textId="77777777" w:rsidR="009A2D37" w:rsidRPr="00605D5C" w:rsidRDefault="009A2D37" w:rsidP="005C468A">
      <w:pPr>
        <w:numPr>
          <w:ilvl w:val="0"/>
          <w:numId w:val="11"/>
        </w:numPr>
        <w:spacing w:after="120" w:line="240" w:lineRule="auto"/>
        <w:ind w:right="260"/>
        <w:contextualSpacing/>
        <w:jc w:val="both"/>
        <w:rPr>
          <w:rFonts w:ascii="Arial" w:hAnsi="Arial" w:cs="Arial"/>
          <w:b/>
        </w:rPr>
      </w:pPr>
      <w:r w:rsidRPr="00605D5C">
        <w:rPr>
          <w:rFonts w:ascii="Arial" w:hAnsi="Arial" w:cs="Arial"/>
          <w:b/>
        </w:rPr>
        <w:t>A synopsis of the curriculum</w:t>
      </w:r>
    </w:p>
    <w:p w14:paraId="1F1B505E" w14:textId="3B757CC7" w:rsidR="00E02A09" w:rsidRDefault="00887AE3" w:rsidP="005C468A">
      <w:pPr>
        <w:spacing w:after="120" w:line="240" w:lineRule="auto"/>
        <w:ind w:left="426" w:right="260"/>
        <w:contextualSpacing/>
        <w:jc w:val="both"/>
        <w:rPr>
          <w:rFonts w:ascii="Arial" w:hAnsi="Arial" w:cs="Arial"/>
          <w:lang w:val="en"/>
        </w:rPr>
      </w:pPr>
      <w:r>
        <w:rPr>
          <w:rFonts w:ascii="Arial" w:hAnsi="Arial" w:cs="Arial"/>
          <w:lang w:val="en"/>
        </w:rPr>
        <w:t xml:space="preserve">The module will introduce students to the investment environment </w:t>
      </w:r>
      <w:r w:rsidR="00122989">
        <w:rPr>
          <w:rFonts w:ascii="Arial" w:hAnsi="Arial" w:cs="Arial"/>
          <w:lang w:val="en"/>
        </w:rPr>
        <w:t xml:space="preserve">providing an explanation of the major types of markets in which the securities trade, the trading process and the main players in these markets. </w:t>
      </w:r>
      <w:r w:rsidR="00394B5D">
        <w:rPr>
          <w:rFonts w:ascii="Arial" w:hAnsi="Arial" w:cs="Arial"/>
          <w:lang w:val="en"/>
        </w:rPr>
        <w:t xml:space="preserve">It will then follow with a </w:t>
      </w:r>
      <w:r w:rsidR="00306016">
        <w:rPr>
          <w:rFonts w:ascii="Arial" w:hAnsi="Arial" w:cs="Arial"/>
          <w:lang w:val="en"/>
        </w:rPr>
        <w:t xml:space="preserve">detailed discussion of </w:t>
      </w:r>
      <w:r w:rsidR="00394B5D">
        <w:rPr>
          <w:rFonts w:ascii="Arial" w:hAnsi="Arial" w:cs="Arial"/>
          <w:lang w:val="en"/>
        </w:rPr>
        <w:t xml:space="preserve">asset classes, such as stocks, bonds, real estate, commodities and so on. </w:t>
      </w:r>
      <w:r w:rsidR="00306016">
        <w:rPr>
          <w:rFonts w:ascii="Arial" w:hAnsi="Arial" w:cs="Arial"/>
          <w:lang w:val="en"/>
        </w:rPr>
        <w:t>The module will also include a discussion on the asset pricing theories (capital asset pricing model, arbitrage pricing theory and multifactor models). It</w:t>
      </w:r>
      <w:r w:rsidR="00394B5D">
        <w:rPr>
          <w:rFonts w:ascii="Arial" w:hAnsi="Arial" w:cs="Arial"/>
          <w:lang w:val="en"/>
        </w:rPr>
        <w:t xml:space="preserve"> will </w:t>
      </w:r>
      <w:r w:rsidR="00306016">
        <w:rPr>
          <w:rFonts w:ascii="Arial" w:hAnsi="Arial" w:cs="Arial"/>
          <w:lang w:val="en"/>
        </w:rPr>
        <w:t>mainly</w:t>
      </w:r>
      <w:r w:rsidR="00394B5D">
        <w:rPr>
          <w:rFonts w:ascii="Arial" w:hAnsi="Arial" w:cs="Arial"/>
          <w:lang w:val="en"/>
        </w:rPr>
        <w:t xml:space="preserve"> focus on the valuation techniques of financial securities, in particular stocks, bonds, and derivative contracts.</w:t>
      </w:r>
      <w:r w:rsidR="00306016">
        <w:rPr>
          <w:rFonts w:ascii="Arial" w:hAnsi="Arial" w:cs="Arial"/>
          <w:lang w:val="en"/>
        </w:rPr>
        <w:t xml:space="preserve"> </w:t>
      </w:r>
      <w:r w:rsidR="004A14C3">
        <w:rPr>
          <w:rFonts w:ascii="Arial" w:hAnsi="Arial" w:cs="Arial"/>
          <w:lang w:val="en"/>
        </w:rPr>
        <w:t xml:space="preserve">The module will also introduce students to the </w:t>
      </w:r>
      <w:r w:rsidR="004A14C3" w:rsidRPr="004A14C3">
        <w:rPr>
          <w:rFonts w:ascii="Arial" w:hAnsi="Arial" w:cs="Arial"/>
          <w:lang w:val="en"/>
        </w:rPr>
        <w:t>CFA Institute Code of Ethics and Standards of Professional Conduct</w:t>
      </w:r>
      <w:r w:rsidR="004A14C3">
        <w:rPr>
          <w:rFonts w:ascii="Arial" w:hAnsi="Arial" w:cs="Arial"/>
          <w:lang w:val="en"/>
        </w:rPr>
        <w:t xml:space="preserve">. </w:t>
      </w:r>
    </w:p>
    <w:p w14:paraId="7DA688E3" w14:textId="1823E71F" w:rsidR="00306016" w:rsidRDefault="00711F5F" w:rsidP="005C468A">
      <w:pPr>
        <w:spacing w:after="120" w:line="240" w:lineRule="auto"/>
        <w:ind w:left="426" w:right="260"/>
        <w:contextualSpacing/>
        <w:jc w:val="both"/>
        <w:rPr>
          <w:rFonts w:ascii="Arial" w:hAnsi="Arial" w:cs="Arial"/>
          <w:lang w:val="en"/>
        </w:rPr>
      </w:pPr>
      <w:r>
        <w:rPr>
          <w:rFonts w:ascii="Arial" w:hAnsi="Arial" w:cs="Arial"/>
          <w:lang w:val="en"/>
        </w:rPr>
        <w:t>Indicative t</w:t>
      </w:r>
      <w:r w:rsidR="00306016">
        <w:rPr>
          <w:rFonts w:ascii="Arial" w:hAnsi="Arial" w:cs="Arial"/>
          <w:lang w:val="en"/>
        </w:rPr>
        <w:t xml:space="preserve">opics </w:t>
      </w:r>
      <w:r>
        <w:rPr>
          <w:rFonts w:ascii="Arial" w:hAnsi="Arial" w:cs="Arial"/>
          <w:lang w:val="en"/>
        </w:rPr>
        <w:t>may</w:t>
      </w:r>
      <w:r w:rsidR="00306016">
        <w:rPr>
          <w:rFonts w:ascii="Arial" w:hAnsi="Arial" w:cs="Arial"/>
          <w:lang w:val="en"/>
        </w:rPr>
        <w:t xml:space="preserve"> include: </w:t>
      </w:r>
    </w:p>
    <w:p w14:paraId="52D677AC" w14:textId="246E90BC" w:rsidR="00794BB7" w:rsidRPr="00306016" w:rsidRDefault="00794BB7" w:rsidP="005C468A">
      <w:pPr>
        <w:pStyle w:val="ListParagraph"/>
        <w:numPr>
          <w:ilvl w:val="0"/>
          <w:numId w:val="9"/>
        </w:numPr>
        <w:spacing w:after="120" w:line="240" w:lineRule="auto"/>
        <w:ind w:right="260"/>
        <w:jc w:val="both"/>
        <w:rPr>
          <w:rFonts w:ascii="Arial" w:eastAsia="Times New Roman" w:hAnsi="Arial" w:cs="Arial"/>
          <w:lang w:val="en"/>
        </w:rPr>
      </w:pPr>
      <w:r w:rsidRPr="00306016">
        <w:rPr>
          <w:rFonts w:ascii="Arial" w:eastAsia="Times New Roman" w:hAnsi="Arial" w:cs="Arial"/>
          <w:lang w:val="en"/>
        </w:rPr>
        <w:t xml:space="preserve">Investment Environment </w:t>
      </w:r>
    </w:p>
    <w:p w14:paraId="5C02E4A0" w14:textId="5EEE9C00" w:rsidR="003B2062"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A</w:t>
      </w:r>
      <w:r w:rsidR="003C7B71">
        <w:rPr>
          <w:rFonts w:ascii="Arial" w:eastAsia="Times New Roman" w:hAnsi="Arial" w:cs="Arial"/>
          <w:lang w:val="en"/>
        </w:rPr>
        <w:t>sset classes and financial instruments</w:t>
      </w:r>
    </w:p>
    <w:p w14:paraId="7CA8F5B4" w14:textId="77777777" w:rsidR="004A14C3" w:rsidRDefault="00B948D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lastRenderedPageBreak/>
        <w:t xml:space="preserve">Trading of Securities </w:t>
      </w:r>
    </w:p>
    <w:p w14:paraId="633B7FF6" w14:textId="78E6E576" w:rsidR="004A14C3" w:rsidRPr="003C7B71" w:rsidRDefault="004A14C3" w:rsidP="005C468A">
      <w:pPr>
        <w:pStyle w:val="ListParagraph"/>
        <w:numPr>
          <w:ilvl w:val="0"/>
          <w:numId w:val="9"/>
        </w:numPr>
        <w:spacing w:after="120" w:line="240" w:lineRule="auto"/>
        <w:ind w:right="260"/>
        <w:jc w:val="both"/>
        <w:rPr>
          <w:rFonts w:ascii="Arial" w:eastAsia="Times New Roman" w:hAnsi="Arial" w:cs="Arial"/>
          <w:lang w:val="en"/>
        </w:rPr>
      </w:pPr>
      <w:r w:rsidRPr="004A14C3">
        <w:rPr>
          <w:rFonts w:ascii="Arial" w:eastAsia="Times New Roman" w:hAnsi="Arial" w:cs="Arial"/>
          <w:lang w:val="en"/>
        </w:rPr>
        <w:t>CFA Institute Code of Ethics and Standards of Professional Conduct</w:t>
      </w:r>
    </w:p>
    <w:p w14:paraId="5FD023D2" w14:textId="61F6A85E" w:rsidR="003C7B71"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Review of </w:t>
      </w:r>
      <w:r w:rsidR="003C7B71">
        <w:rPr>
          <w:rFonts w:ascii="Arial" w:eastAsia="Times New Roman" w:hAnsi="Arial" w:cs="Arial"/>
          <w:lang w:val="en"/>
        </w:rPr>
        <w:t xml:space="preserve">Equilibrium in Capital Markets (Capital Asset Pricing Model, Efficient Market Hypothesis, Arbitrage Pricing Theory, Multifactor models) </w:t>
      </w:r>
    </w:p>
    <w:p w14:paraId="3D4F552D" w14:textId="27836B7A" w:rsidR="00787E73"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Technical and Fundamental Analysis </w:t>
      </w:r>
    </w:p>
    <w:p w14:paraId="7AE08D93" w14:textId="0E5634E0" w:rsidR="003C7B71"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Security Analysis: Macroeconomic and industry analysis </w:t>
      </w:r>
    </w:p>
    <w:p w14:paraId="1C371FDD" w14:textId="41F0EF29"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Equity Valuation Models </w:t>
      </w:r>
    </w:p>
    <w:p w14:paraId="09CE1464" w14:textId="5524DE12"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Financial Statement Analysis </w:t>
      </w:r>
    </w:p>
    <w:p w14:paraId="6571ADC9" w14:textId="74A62AC9"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Bond prices and yields </w:t>
      </w:r>
    </w:p>
    <w:p w14:paraId="02684185" w14:textId="4C8FA239" w:rsidR="00794BB7"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Term structure of interest rates </w:t>
      </w:r>
    </w:p>
    <w:p w14:paraId="77BEEFC6" w14:textId="3CC4C6E5" w:rsidR="00787E73"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Derivative contracts </w:t>
      </w:r>
    </w:p>
    <w:p w14:paraId="640F0C5E" w14:textId="77777777" w:rsidR="005C468A" w:rsidRDefault="005C468A" w:rsidP="005C468A">
      <w:pPr>
        <w:pStyle w:val="ListParagraph"/>
        <w:numPr>
          <w:ilvl w:val="0"/>
          <w:numId w:val="9"/>
        </w:numPr>
        <w:spacing w:after="120" w:line="240" w:lineRule="auto"/>
        <w:ind w:right="260"/>
        <w:jc w:val="both"/>
        <w:rPr>
          <w:rFonts w:ascii="Arial" w:eastAsia="Times New Roman" w:hAnsi="Arial" w:cs="Arial"/>
          <w:lang w:val="en"/>
        </w:rPr>
      </w:pPr>
    </w:p>
    <w:p w14:paraId="38E93679" w14:textId="77777777" w:rsidR="009A2D37" w:rsidRPr="00605D5C" w:rsidRDefault="002A7F48" w:rsidP="005C468A">
      <w:pPr>
        <w:numPr>
          <w:ilvl w:val="0"/>
          <w:numId w:val="11"/>
        </w:numPr>
        <w:spacing w:after="120" w:line="240" w:lineRule="auto"/>
        <w:ind w:left="426" w:right="260" w:hanging="426"/>
        <w:contextualSpacing/>
        <w:jc w:val="both"/>
        <w:rPr>
          <w:rFonts w:ascii="Arial" w:hAnsi="Arial" w:cs="Arial"/>
          <w:b/>
        </w:rPr>
      </w:pPr>
      <w:r w:rsidRPr="00605D5C">
        <w:rPr>
          <w:rFonts w:ascii="Arial" w:hAnsi="Arial" w:cs="Arial"/>
          <w:b/>
        </w:rPr>
        <w:t>Reading l</w:t>
      </w:r>
      <w:r w:rsidR="009A2D37" w:rsidRPr="00605D5C">
        <w:rPr>
          <w:rFonts w:ascii="Arial" w:hAnsi="Arial" w:cs="Arial"/>
          <w:b/>
        </w:rPr>
        <w:t xml:space="preserve">ist </w:t>
      </w:r>
      <w:r w:rsidR="00274ED7" w:rsidRPr="00605D5C">
        <w:rPr>
          <w:rFonts w:ascii="Arial" w:hAnsi="Arial" w:cs="Arial"/>
          <w:b/>
        </w:rPr>
        <w:t>(Indicative list, current at time of publication. Reading lists will be published annually)</w:t>
      </w:r>
    </w:p>
    <w:p w14:paraId="1B6ACC28" w14:textId="1DF7D127" w:rsidR="00945829" w:rsidRPr="00532318" w:rsidRDefault="004A14C3" w:rsidP="005C468A">
      <w:pPr>
        <w:spacing w:after="0" w:line="240" w:lineRule="auto"/>
        <w:ind w:firstLine="720"/>
        <w:contextualSpacing/>
        <w:rPr>
          <w:rFonts w:ascii="Arial" w:eastAsia="Times New Roman" w:hAnsi="Arial" w:cs="Arial"/>
          <w:spacing w:val="-2"/>
          <w:u w:val="single"/>
          <w:lang w:val="en"/>
        </w:rPr>
      </w:pPr>
      <w:r>
        <w:rPr>
          <w:rFonts w:ascii="Arial" w:eastAsia="Times New Roman" w:hAnsi="Arial" w:cs="Arial"/>
          <w:spacing w:val="-2"/>
          <w:u w:val="single"/>
          <w:lang w:val="en"/>
        </w:rPr>
        <w:t>Core reading</w:t>
      </w:r>
    </w:p>
    <w:p w14:paraId="2A681A0D" w14:textId="4991949A" w:rsidR="00945829" w:rsidRDefault="00945829" w:rsidP="005C468A">
      <w:pPr>
        <w:pStyle w:val="ListParagraph"/>
        <w:spacing w:line="240" w:lineRule="auto"/>
        <w:jc w:val="both"/>
        <w:rPr>
          <w:rFonts w:ascii="Arial" w:eastAsia="Times New Roman" w:hAnsi="Arial" w:cs="Arial"/>
          <w:spacing w:val="-2"/>
          <w:lang w:val="en"/>
        </w:rPr>
      </w:pPr>
      <w:r w:rsidRPr="000065E8">
        <w:rPr>
          <w:rFonts w:ascii="Arial" w:eastAsia="Times New Roman" w:hAnsi="Arial" w:cs="Arial"/>
          <w:spacing w:val="-2"/>
          <w:lang w:val="en"/>
        </w:rPr>
        <w:t xml:space="preserve">Kane, A., Marcus, A. and Bodie, Z. </w:t>
      </w:r>
      <w:r w:rsidR="000669EC">
        <w:rPr>
          <w:rFonts w:ascii="Arial" w:eastAsia="Times New Roman" w:hAnsi="Arial" w:cs="Arial"/>
          <w:spacing w:val="-2"/>
          <w:lang w:val="en"/>
        </w:rPr>
        <w:t>(</w:t>
      </w:r>
      <w:r w:rsidRPr="000065E8">
        <w:rPr>
          <w:rFonts w:ascii="Arial" w:eastAsia="Times New Roman" w:hAnsi="Arial" w:cs="Arial"/>
          <w:spacing w:val="-2"/>
          <w:lang w:val="en"/>
        </w:rPr>
        <w:t>2016</w:t>
      </w:r>
      <w:r w:rsidR="000669EC">
        <w:rPr>
          <w:rFonts w:ascii="Arial" w:eastAsia="Times New Roman" w:hAnsi="Arial" w:cs="Arial"/>
          <w:spacing w:val="-2"/>
          <w:lang w:val="en"/>
        </w:rPr>
        <w:t>)</w:t>
      </w:r>
      <w:r w:rsidRPr="000065E8">
        <w:rPr>
          <w:rFonts w:ascii="Arial" w:eastAsia="Times New Roman" w:hAnsi="Arial" w:cs="Arial"/>
          <w:spacing w:val="-2"/>
          <w:lang w:val="en"/>
        </w:rPr>
        <w:t xml:space="preserve">. </w:t>
      </w:r>
      <w:r w:rsidRPr="00E45E7A">
        <w:rPr>
          <w:rFonts w:ascii="Arial" w:eastAsia="Times New Roman" w:hAnsi="Arial" w:cs="Arial"/>
          <w:i/>
          <w:spacing w:val="-2"/>
          <w:lang w:val="en"/>
        </w:rPr>
        <w:t>Essentials of Investments</w:t>
      </w:r>
      <w:r w:rsidRPr="000065E8">
        <w:rPr>
          <w:rFonts w:ascii="Arial" w:eastAsia="Times New Roman" w:hAnsi="Arial" w:cs="Arial"/>
          <w:spacing w:val="-2"/>
          <w:lang w:val="en"/>
        </w:rPr>
        <w:t>, 10</w:t>
      </w:r>
      <w:r w:rsidRPr="000065E8">
        <w:rPr>
          <w:rFonts w:ascii="Arial" w:eastAsia="Times New Roman" w:hAnsi="Arial" w:cs="Arial"/>
          <w:spacing w:val="-2"/>
          <w:vertAlign w:val="superscript"/>
          <w:lang w:val="en"/>
        </w:rPr>
        <w:t>th</w:t>
      </w:r>
      <w:r w:rsidRPr="000065E8">
        <w:rPr>
          <w:rFonts w:ascii="Arial" w:eastAsia="Times New Roman" w:hAnsi="Arial" w:cs="Arial"/>
          <w:spacing w:val="-2"/>
          <w:lang w:val="en"/>
        </w:rPr>
        <w:t xml:space="preserve"> Edition, </w:t>
      </w:r>
      <w:r w:rsidR="00E45E7A">
        <w:rPr>
          <w:rFonts w:ascii="Arial" w:eastAsia="Times New Roman" w:hAnsi="Arial" w:cs="Arial"/>
          <w:spacing w:val="-2"/>
          <w:lang w:val="en"/>
        </w:rPr>
        <w:t xml:space="preserve">Columbus, OH: </w:t>
      </w:r>
      <w:r w:rsidR="00E45E7A" w:rsidRPr="000065E8">
        <w:rPr>
          <w:rFonts w:ascii="Arial" w:eastAsia="Times New Roman" w:hAnsi="Arial" w:cs="Arial"/>
          <w:spacing w:val="-2"/>
          <w:lang w:val="en"/>
        </w:rPr>
        <w:t xml:space="preserve">McGraw-Hill Education </w:t>
      </w:r>
      <w:r w:rsidRPr="000065E8">
        <w:rPr>
          <w:rFonts w:ascii="Arial" w:eastAsia="Times New Roman" w:hAnsi="Arial" w:cs="Arial"/>
          <w:spacing w:val="-2"/>
          <w:lang w:val="en"/>
        </w:rPr>
        <w:t>ISBN 9780077835422.</w:t>
      </w:r>
    </w:p>
    <w:p w14:paraId="4D611D96" w14:textId="45F64AA4" w:rsidR="004A14C3" w:rsidRDefault="004A14C3" w:rsidP="005C468A">
      <w:pPr>
        <w:pStyle w:val="ListParagraph"/>
        <w:spacing w:line="240" w:lineRule="auto"/>
        <w:jc w:val="both"/>
        <w:rPr>
          <w:rFonts w:ascii="Arial" w:eastAsia="Times New Roman" w:hAnsi="Arial" w:cs="Arial"/>
          <w:spacing w:val="-2"/>
          <w:lang w:val="en"/>
        </w:rPr>
      </w:pPr>
      <w:r w:rsidRPr="004A14C3">
        <w:rPr>
          <w:rFonts w:ascii="Arial" w:eastAsia="Times New Roman" w:hAnsi="Arial" w:cs="Arial"/>
          <w:spacing w:val="-2"/>
          <w:lang w:val="en"/>
        </w:rPr>
        <w:t>Codes, Standards, and Position Papers,</w:t>
      </w:r>
      <w:r>
        <w:rPr>
          <w:rFonts w:ascii="Arial" w:eastAsia="Times New Roman" w:hAnsi="Arial" w:cs="Arial"/>
          <w:spacing w:val="-2"/>
          <w:lang w:val="en"/>
        </w:rPr>
        <w:t xml:space="preserve"> Standards of Practice Handbook. </w:t>
      </w:r>
      <w:r w:rsidR="00465DA7">
        <w:rPr>
          <w:rFonts w:ascii="Arial" w:eastAsia="Times New Roman" w:hAnsi="Arial" w:cs="Arial"/>
          <w:spacing w:val="-2"/>
          <w:lang w:val="en"/>
        </w:rPr>
        <w:t>(</w:t>
      </w:r>
      <w:r>
        <w:rPr>
          <w:rFonts w:ascii="Arial" w:eastAsia="Times New Roman" w:hAnsi="Arial" w:cs="Arial"/>
          <w:spacing w:val="-2"/>
          <w:lang w:val="en"/>
        </w:rPr>
        <w:t>2014</w:t>
      </w:r>
      <w:r w:rsidR="00465DA7">
        <w:rPr>
          <w:rFonts w:ascii="Arial" w:eastAsia="Times New Roman" w:hAnsi="Arial" w:cs="Arial"/>
          <w:spacing w:val="-2"/>
          <w:lang w:val="en"/>
        </w:rPr>
        <w:t>)</w:t>
      </w:r>
      <w:r>
        <w:rPr>
          <w:rFonts w:ascii="Arial" w:eastAsia="Times New Roman" w:hAnsi="Arial" w:cs="Arial"/>
          <w:spacing w:val="-2"/>
          <w:lang w:val="en"/>
        </w:rPr>
        <w:t>.</w:t>
      </w:r>
      <w:r w:rsidRPr="004A14C3">
        <w:rPr>
          <w:rFonts w:ascii="Arial" w:eastAsia="Times New Roman" w:hAnsi="Arial" w:cs="Arial"/>
          <w:spacing w:val="-2"/>
          <w:lang w:val="en"/>
        </w:rPr>
        <w:t xml:space="preserve"> </w:t>
      </w:r>
      <w:r>
        <w:rPr>
          <w:rFonts w:ascii="Arial" w:eastAsia="Times New Roman" w:hAnsi="Arial" w:cs="Arial"/>
          <w:spacing w:val="-2"/>
          <w:lang w:val="en"/>
        </w:rPr>
        <w:t>11</w:t>
      </w:r>
      <w:r w:rsidRPr="004A14C3">
        <w:rPr>
          <w:rFonts w:ascii="Arial" w:eastAsia="Times New Roman" w:hAnsi="Arial" w:cs="Arial"/>
          <w:spacing w:val="-2"/>
          <w:vertAlign w:val="superscript"/>
          <w:lang w:val="en"/>
        </w:rPr>
        <w:t>th</w:t>
      </w:r>
      <w:r>
        <w:rPr>
          <w:rFonts w:ascii="Arial" w:eastAsia="Times New Roman" w:hAnsi="Arial" w:cs="Arial"/>
          <w:spacing w:val="-2"/>
          <w:lang w:val="en"/>
        </w:rPr>
        <w:t xml:space="preserve"> </w:t>
      </w:r>
      <w:r w:rsidRPr="004A14C3">
        <w:rPr>
          <w:rFonts w:ascii="Arial" w:eastAsia="Times New Roman" w:hAnsi="Arial" w:cs="Arial"/>
          <w:spacing w:val="-2"/>
          <w:lang w:val="en"/>
        </w:rPr>
        <w:t>Edition</w:t>
      </w:r>
      <w:r>
        <w:rPr>
          <w:rFonts w:ascii="Arial" w:eastAsia="Times New Roman" w:hAnsi="Arial" w:cs="Arial"/>
          <w:spacing w:val="-2"/>
          <w:lang w:val="en"/>
        </w:rPr>
        <w:t xml:space="preserve">, </w:t>
      </w:r>
      <w:r w:rsidR="00E45E7A">
        <w:rPr>
          <w:rFonts w:ascii="Arial" w:eastAsia="Times New Roman" w:hAnsi="Arial" w:cs="Arial"/>
          <w:spacing w:val="-2"/>
          <w:lang w:val="en"/>
        </w:rPr>
        <w:t xml:space="preserve">London: </w:t>
      </w:r>
      <w:r>
        <w:rPr>
          <w:rFonts w:ascii="Arial" w:eastAsia="Times New Roman" w:hAnsi="Arial" w:cs="Arial"/>
          <w:spacing w:val="-2"/>
          <w:lang w:val="en"/>
        </w:rPr>
        <w:t xml:space="preserve">CFA  </w:t>
      </w:r>
    </w:p>
    <w:p w14:paraId="15745EDD" w14:textId="21B8D70A" w:rsidR="00945829" w:rsidRPr="00532318" w:rsidRDefault="00945829" w:rsidP="005C468A">
      <w:pPr>
        <w:pStyle w:val="ListParagraph"/>
        <w:spacing w:line="240" w:lineRule="auto"/>
        <w:jc w:val="both"/>
        <w:rPr>
          <w:rFonts w:ascii="Arial" w:eastAsia="Times New Roman" w:hAnsi="Arial" w:cs="Arial"/>
          <w:spacing w:val="-2"/>
          <w:u w:val="single"/>
          <w:lang w:val="en"/>
        </w:rPr>
      </w:pPr>
      <w:r w:rsidRPr="00532318">
        <w:rPr>
          <w:rFonts w:ascii="Arial" w:eastAsia="Times New Roman" w:hAnsi="Arial" w:cs="Arial"/>
          <w:spacing w:val="-2"/>
          <w:u w:val="single"/>
          <w:lang w:val="en"/>
        </w:rPr>
        <w:t xml:space="preserve">Additional reading </w:t>
      </w:r>
    </w:p>
    <w:p w14:paraId="50298478" w14:textId="6DA5F948" w:rsidR="00532318" w:rsidRDefault="00E02A09" w:rsidP="005C468A">
      <w:pPr>
        <w:spacing w:after="0" w:line="240" w:lineRule="auto"/>
        <w:ind w:left="720"/>
        <w:contextualSpacing/>
        <w:jc w:val="both"/>
        <w:rPr>
          <w:rFonts w:ascii="Arial" w:eastAsia="Times New Roman" w:hAnsi="Arial" w:cs="Arial"/>
          <w:spacing w:val="-2"/>
          <w:lang w:val="en"/>
        </w:rPr>
      </w:pPr>
      <w:r w:rsidRPr="00532318">
        <w:rPr>
          <w:rFonts w:ascii="Arial" w:eastAsia="Times New Roman" w:hAnsi="Arial" w:cs="Arial"/>
          <w:spacing w:val="-2"/>
          <w:lang w:val="en"/>
        </w:rPr>
        <w:t xml:space="preserve">Fabozzi, F. and Markowitz, H. </w:t>
      </w:r>
      <w:r w:rsidR="000669EC">
        <w:rPr>
          <w:rFonts w:ascii="Arial" w:eastAsia="Times New Roman" w:hAnsi="Arial" w:cs="Arial"/>
          <w:spacing w:val="-2"/>
          <w:lang w:val="en"/>
        </w:rPr>
        <w:t>(</w:t>
      </w:r>
      <w:r w:rsidRPr="00532318">
        <w:rPr>
          <w:rFonts w:ascii="Arial" w:eastAsia="Times New Roman" w:hAnsi="Arial" w:cs="Arial"/>
          <w:spacing w:val="-2"/>
          <w:lang w:val="en"/>
        </w:rPr>
        <w:t>2011</w:t>
      </w:r>
      <w:r w:rsidR="000669EC">
        <w:rPr>
          <w:rFonts w:ascii="Arial" w:eastAsia="Times New Roman" w:hAnsi="Arial" w:cs="Arial"/>
          <w:spacing w:val="-2"/>
          <w:lang w:val="en"/>
        </w:rPr>
        <w:t>)</w:t>
      </w:r>
      <w:r w:rsidRPr="00532318">
        <w:rPr>
          <w:rFonts w:ascii="Arial" w:eastAsia="Times New Roman" w:hAnsi="Arial" w:cs="Arial"/>
          <w:spacing w:val="-2"/>
          <w:lang w:val="en"/>
        </w:rPr>
        <w:t xml:space="preserve">. </w:t>
      </w:r>
      <w:r w:rsidRPr="000669EC">
        <w:rPr>
          <w:rFonts w:ascii="Arial" w:eastAsia="Times New Roman" w:hAnsi="Arial" w:cs="Arial"/>
          <w:i/>
          <w:spacing w:val="-2"/>
          <w:lang w:val="en"/>
        </w:rPr>
        <w:t>The theory and practice of investment management</w:t>
      </w:r>
      <w:r w:rsidRPr="00532318">
        <w:rPr>
          <w:rFonts w:ascii="Arial" w:eastAsia="Times New Roman" w:hAnsi="Arial" w:cs="Arial"/>
          <w:spacing w:val="-2"/>
          <w:lang w:val="en"/>
        </w:rPr>
        <w:t xml:space="preserve">. </w:t>
      </w:r>
      <w:r w:rsidR="000669EC" w:rsidRPr="00532318">
        <w:rPr>
          <w:rFonts w:ascii="Arial" w:eastAsia="Times New Roman" w:hAnsi="Arial" w:cs="Arial"/>
          <w:spacing w:val="-2"/>
          <w:lang w:val="en"/>
        </w:rPr>
        <w:t>2</w:t>
      </w:r>
      <w:r w:rsidR="000669EC" w:rsidRPr="00532318">
        <w:rPr>
          <w:rFonts w:ascii="Arial" w:eastAsia="Times New Roman" w:hAnsi="Arial" w:cs="Arial"/>
          <w:spacing w:val="-2"/>
          <w:vertAlign w:val="superscript"/>
          <w:lang w:val="en"/>
        </w:rPr>
        <w:t>nd</w:t>
      </w:r>
      <w:r w:rsidR="000669EC" w:rsidRPr="00532318">
        <w:rPr>
          <w:rFonts w:ascii="Arial" w:eastAsia="Times New Roman" w:hAnsi="Arial" w:cs="Arial"/>
          <w:spacing w:val="-2"/>
          <w:lang w:val="en"/>
        </w:rPr>
        <w:t xml:space="preserve"> Edition. </w:t>
      </w:r>
      <w:r w:rsidR="00E45E7A">
        <w:rPr>
          <w:rFonts w:ascii="Arial" w:eastAsia="Times New Roman" w:hAnsi="Arial" w:cs="Arial"/>
          <w:spacing w:val="-2"/>
          <w:lang w:val="en"/>
        </w:rPr>
        <w:t xml:space="preserve">Hoboken, NJ: </w:t>
      </w:r>
      <w:r w:rsidRPr="00532318">
        <w:rPr>
          <w:rFonts w:ascii="Arial" w:eastAsia="Times New Roman" w:hAnsi="Arial" w:cs="Arial"/>
          <w:spacing w:val="-2"/>
          <w:lang w:val="en"/>
        </w:rPr>
        <w:t xml:space="preserve">John Wiley and Sons. </w:t>
      </w:r>
    </w:p>
    <w:p w14:paraId="63092258" w14:textId="43B6264B" w:rsidR="00945829" w:rsidRDefault="00945829" w:rsidP="005C468A">
      <w:pPr>
        <w:spacing w:line="240" w:lineRule="auto"/>
        <w:ind w:left="720"/>
        <w:contextualSpacing/>
        <w:jc w:val="both"/>
        <w:rPr>
          <w:rFonts w:ascii="Arial" w:eastAsia="Times New Roman" w:hAnsi="Arial" w:cs="Arial"/>
          <w:spacing w:val="-2"/>
          <w:lang w:val="en"/>
        </w:rPr>
      </w:pPr>
      <w:r w:rsidRPr="00532318">
        <w:rPr>
          <w:rFonts w:ascii="Arial" w:eastAsia="Times New Roman" w:hAnsi="Arial" w:cs="Arial"/>
          <w:spacing w:val="-2"/>
          <w:lang w:val="en"/>
        </w:rPr>
        <w:t xml:space="preserve">Reilly, F. K. and Brown. C.K. </w:t>
      </w:r>
      <w:r w:rsidR="000669EC">
        <w:rPr>
          <w:rFonts w:ascii="Arial" w:eastAsia="Times New Roman" w:hAnsi="Arial" w:cs="Arial"/>
          <w:spacing w:val="-2"/>
          <w:lang w:val="en"/>
        </w:rPr>
        <w:t>(</w:t>
      </w:r>
      <w:r w:rsidRPr="00532318">
        <w:rPr>
          <w:rFonts w:ascii="Arial" w:eastAsia="Times New Roman" w:hAnsi="Arial" w:cs="Arial"/>
          <w:spacing w:val="-2"/>
          <w:lang w:val="en"/>
        </w:rPr>
        <w:t>2011</w:t>
      </w:r>
      <w:r w:rsidR="000669EC">
        <w:rPr>
          <w:rFonts w:ascii="Arial" w:eastAsia="Times New Roman" w:hAnsi="Arial" w:cs="Arial"/>
          <w:spacing w:val="-2"/>
          <w:lang w:val="en"/>
        </w:rPr>
        <w:t>)</w:t>
      </w:r>
      <w:r w:rsidRPr="00532318">
        <w:rPr>
          <w:rFonts w:ascii="Arial" w:eastAsia="Times New Roman" w:hAnsi="Arial" w:cs="Arial"/>
          <w:spacing w:val="-2"/>
          <w:lang w:val="en"/>
        </w:rPr>
        <w:t xml:space="preserve">. </w:t>
      </w:r>
      <w:r w:rsidRPr="000669EC">
        <w:rPr>
          <w:rFonts w:ascii="Arial" w:eastAsia="Times New Roman" w:hAnsi="Arial" w:cs="Arial"/>
          <w:i/>
          <w:spacing w:val="-2"/>
          <w:lang w:val="en"/>
        </w:rPr>
        <w:t>Investment Analysis and Portfolio Management</w:t>
      </w:r>
      <w:r w:rsidRPr="00532318">
        <w:rPr>
          <w:rFonts w:ascii="Arial" w:eastAsia="Times New Roman" w:hAnsi="Arial" w:cs="Arial"/>
          <w:spacing w:val="-2"/>
          <w:lang w:val="en"/>
        </w:rPr>
        <w:t xml:space="preserve">. </w:t>
      </w:r>
      <w:r w:rsidR="00465DA7" w:rsidRPr="00532318">
        <w:rPr>
          <w:rFonts w:ascii="Arial" w:eastAsia="Times New Roman" w:hAnsi="Arial" w:cs="Arial"/>
          <w:spacing w:val="-2"/>
          <w:lang w:val="en"/>
        </w:rPr>
        <w:t>10</w:t>
      </w:r>
      <w:r w:rsidR="00465DA7" w:rsidRPr="00532318">
        <w:rPr>
          <w:rFonts w:ascii="Arial" w:eastAsia="Times New Roman" w:hAnsi="Arial" w:cs="Arial"/>
          <w:spacing w:val="-2"/>
          <w:vertAlign w:val="superscript"/>
          <w:lang w:val="en"/>
        </w:rPr>
        <w:t>th</w:t>
      </w:r>
      <w:r w:rsidR="00465DA7" w:rsidRPr="00532318">
        <w:rPr>
          <w:rFonts w:ascii="Arial" w:eastAsia="Times New Roman" w:hAnsi="Arial" w:cs="Arial"/>
          <w:spacing w:val="-2"/>
          <w:lang w:val="en"/>
        </w:rPr>
        <w:t xml:space="preserve"> Edition.</w:t>
      </w:r>
      <w:r w:rsidR="00465DA7">
        <w:rPr>
          <w:rFonts w:ascii="Arial" w:eastAsia="Times New Roman" w:hAnsi="Arial" w:cs="Arial"/>
          <w:spacing w:val="-2"/>
          <w:lang w:val="en"/>
        </w:rPr>
        <w:t xml:space="preserve"> Boston, MA: </w:t>
      </w:r>
      <w:r w:rsidRPr="00532318">
        <w:rPr>
          <w:rFonts w:ascii="Arial" w:eastAsia="Times New Roman" w:hAnsi="Arial" w:cs="Arial"/>
          <w:spacing w:val="-2"/>
          <w:lang w:val="en"/>
        </w:rPr>
        <w:t xml:space="preserve">Cengage Learning. </w:t>
      </w:r>
    </w:p>
    <w:p w14:paraId="3DE7D87F" w14:textId="77777777" w:rsidR="005C468A" w:rsidRPr="00532318" w:rsidRDefault="005C468A" w:rsidP="005C468A">
      <w:pPr>
        <w:spacing w:line="240" w:lineRule="auto"/>
        <w:ind w:left="720"/>
        <w:contextualSpacing/>
        <w:jc w:val="both"/>
        <w:rPr>
          <w:rFonts w:ascii="Arial" w:eastAsia="Times New Roman" w:hAnsi="Arial" w:cs="Arial"/>
          <w:spacing w:val="-2"/>
          <w:lang w:val="en"/>
        </w:rPr>
      </w:pPr>
    </w:p>
    <w:p w14:paraId="1648F437" w14:textId="77777777" w:rsidR="009A2D37" w:rsidRPr="00605D5C" w:rsidRDefault="009A2D37" w:rsidP="005C468A">
      <w:pPr>
        <w:numPr>
          <w:ilvl w:val="0"/>
          <w:numId w:val="11"/>
        </w:numPr>
        <w:spacing w:after="120" w:line="240" w:lineRule="auto"/>
        <w:ind w:left="426" w:right="260" w:hanging="426"/>
        <w:contextualSpacing/>
        <w:rPr>
          <w:rFonts w:ascii="Arial" w:hAnsi="Arial" w:cs="Arial"/>
          <w:i/>
          <w:iCs/>
        </w:rPr>
      </w:pPr>
      <w:r w:rsidRPr="00605D5C">
        <w:rPr>
          <w:rFonts w:ascii="Arial" w:hAnsi="Arial" w:cs="Arial"/>
          <w:b/>
        </w:rPr>
        <w:t>Learning</w:t>
      </w:r>
      <w:r w:rsidR="002A7F48" w:rsidRPr="00605D5C">
        <w:rPr>
          <w:rFonts w:ascii="Arial" w:hAnsi="Arial" w:cs="Arial"/>
          <w:b/>
        </w:rPr>
        <w:t xml:space="preserve"> and t</w:t>
      </w:r>
      <w:r w:rsidR="006F3F8B" w:rsidRPr="00605D5C">
        <w:rPr>
          <w:rFonts w:ascii="Arial" w:hAnsi="Arial" w:cs="Arial"/>
          <w:b/>
        </w:rPr>
        <w:t>eaching m</w:t>
      </w:r>
      <w:r w:rsidRPr="00605D5C">
        <w:rPr>
          <w:rFonts w:ascii="Arial" w:hAnsi="Arial" w:cs="Arial"/>
          <w:b/>
        </w:rPr>
        <w:t>ethods</w:t>
      </w:r>
    </w:p>
    <w:p w14:paraId="3F99187C" w14:textId="2979DC29" w:rsidR="0027591E" w:rsidRPr="0027591E" w:rsidRDefault="0027591E" w:rsidP="005C468A">
      <w:pPr>
        <w:spacing w:after="120" w:line="240" w:lineRule="auto"/>
        <w:ind w:left="426" w:right="260"/>
        <w:contextualSpacing/>
        <w:jc w:val="both"/>
        <w:rPr>
          <w:rFonts w:ascii="Arial" w:hAnsi="Arial" w:cs="Arial"/>
        </w:rPr>
      </w:pPr>
      <w:r w:rsidRPr="0027591E">
        <w:rPr>
          <w:rFonts w:ascii="Arial" w:hAnsi="Arial" w:cs="Arial"/>
        </w:rPr>
        <w:t xml:space="preserve">Total Contact Hours: </w:t>
      </w:r>
      <w:r>
        <w:rPr>
          <w:rFonts w:ascii="Arial" w:hAnsi="Arial" w:cs="Arial"/>
        </w:rPr>
        <w:t>32</w:t>
      </w:r>
    </w:p>
    <w:p w14:paraId="6F4D229D" w14:textId="5850A940" w:rsidR="0027591E" w:rsidRPr="0027591E" w:rsidRDefault="0027591E" w:rsidP="005C468A">
      <w:pPr>
        <w:spacing w:after="120" w:line="240" w:lineRule="auto"/>
        <w:ind w:left="426" w:right="260"/>
        <w:contextualSpacing/>
        <w:jc w:val="both"/>
        <w:rPr>
          <w:rFonts w:ascii="Arial" w:hAnsi="Arial" w:cs="Arial"/>
        </w:rPr>
      </w:pPr>
      <w:r w:rsidRPr="0027591E">
        <w:rPr>
          <w:rFonts w:ascii="Arial" w:hAnsi="Arial" w:cs="Arial"/>
        </w:rPr>
        <w:t>Private Study Hours:</w:t>
      </w:r>
      <w:r>
        <w:rPr>
          <w:rFonts w:ascii="Arial" w:hAnsi="Arial" w:cs="Arial"/>
        </w:rPr>
        <w:t xml:space="preserve"> 118</w:t>
      </w:r>
    </w:p>
    <w:p w14:paraId="768DF3FE" w14:textId="2D0B7CDA" w:rsidR="0027591E" w:rsidRDefault="00711F5F" w:rsidP="005C468A">
      <w:pPr>
        <w:spacing w:after="120" w:line="240" w:lineRule="auto"/>
        <w:ind w:left="426" w:right="260"/>
        <w:contextualSpacing/>
        <w:jc w:val="both"/>
        <w:rPr>
          <w:rFonts w:ascii="Arial" w:hAnsi="Arial" w:cs="Arial"/>
        </w:rPr>
      </w:pPr>
      <w:r>
        <w:rPr>
          <w:rFonts w:ascii="Arial" w:hAnsi="Arial" w:cs="Arial"/>
        </w:rPr>
        <w:t>Total hours: 150</w:t>
      </w:r>
    </w:p>
    <w:p w14:paraId="2CC190F6" w14:textId="77777777" w:rsidR="005C468A" w:rsidRDefault="005C468A" w:rsidP="005C468A">
      <w:pPr>
        <w:spacing w:after="120" w:line="240" w:lineRule="auto"/>
        <w:ind w:left="426" w:right="260"/>
        <w:contextualSpacing/>
        <w:jc w:val="both"/>
        <w:rPr>
          <w:rFonts w:ascii="Arial" w:hAnsi="Arial" w:cs="Arial"/>
        </w:rPr>
      </w:pPr>
    </w:p>
    <w:p w14:paraId="3DC210E8" w14:textId="77777777" w:rsidR="00B9109B" w:rsidRPr="00605D5C" w:rsidRDefault="00EF4933" w:rsidP="005C468A">
      <w:pPr>
        <w:numPr>
          <w:ilvl w:val="0"/>
          <w:numId w:val="11"/>
        </w:numPr>
        <w:spacing w:after="120" w:line="240" w:lineRule="auto"/>
        <w:ind w:left="426" w:right="260" w:hanging="426"/>
        <w:contextualSpacing/>
        <w:rPr>
          <w:rFonts w:ascii="Arial" w:hAnsi="Arial" w:cs="Arial"/>
          <w:b/>
          <w:i/>
          <w:iCs/>
        </w:rPr>
      </w:pPr>
      <w:r w:rsidRPr="00605D5C">
        <w:rPr>
          <w:rFonts w:ascii="Arial" w:hAnsi="Arial" w:cs="Arial"/>
          <w:b/>
        </w:rPr>
        <w:t>Assessment methods</w:t>
      </w:r>
    </w:p>
    <w:p w14:paraId="5299EC0C" w14:textId="77777777" w:rsidR="00527CD4" w:rsidRDefault="00527CD4" w:rsidP="005C468A">
      <w:pPr>
        <w:pStyle w:val="ListParagraph"/>
        <w:numPr>
          <w:ilvl w:val="1"/>
          <w:numId w:val="17"/>
        </w:numPr>
        <w:spacing w:after="120"/>
        <w:ind w:left="567" w:hanging="567"/>
        <w:rPr>
          <w:rFonts w:ascii="Arial" w:hAnsi="Arial" w:cs="Arial"/>
          <w:iCs/>
        </w:rPr>
      </w:pPr>
      <w:r w:rsidRPr="00696FF5">
        <w:rPr>
          <w:rFonts w:ascii="Arial" w:hAnsi="Arial" w:cs="Arial"/>
          <w:iCs/>
        </w:rPr>
        <w:t>Main assessment methods</w:t>
      </w:r>
    </w:p>
    <w:p w14:paraId="58D5AC9D" w14:textId="66A0E5A3" w:rsidR="0027591E" w:rsidRDefault="0027591E" w:rsidP="005C468A">
      <w:pPr>
        <w:spacing w:after="120" w:line="240" w:lineRule="auto"/>
        <w:ind w:left="426" w:right="260"/>
        <w:contextualSpacing/>
        <w:jc w:val="both"/>
        <w:rPr>
          <w:rFonts w:ascii="Arial" w:hAnsi="Arial" w:cs="Arial"/>
        </w:rPr>
      </w:pPr>
      <w:r>
        <w:rPr>
          <w:rFonts w:ascii="Arial" w:hAnsi="Arial" w:cs="Arial"/>
        </w:rPr>
        <w:t>Exam – Two Hours, closed book: 70%</w:t>
      </w:r>
    </w:p>
    <w:p w14:paraId="39DCCC93" w14:textId="1E7DFF15" w:rsidR="0027591E" w:rsidRDefault="0027591E" w:rsidP="005C468A">
      <w:pPr>
        <w:spacing w:after="120" w:line="240" w:lineRule="auto"/>
        <w:ind w:left="426" w:right="260"/>
        <w:contextualSpacing/>
        <w:jc w:val="both"/>
        <w:rPr>
          <w:rFonts w:ascii="Arial" w:hAnsi="Arial" w:cs="Arial"/>
        </w:rPr>
      </w:pPr>
      <w:r>
        <w:rPr>
          <w:rFonts w:ascii="Arial" w:hAnsi="Arial" w:cs="Arial"/>
        </w:rPr>
        <w:t>Group Report – 2000 words: 30%</w:t>
      </w:r>
    </w:p>
    <w:p w14:paraId="0A48E64E" w14:textId="77777777" w:rsidR="00527CD4" w:rsidRPr="00662108" w:rsidRDefault="00527CD4" w:rsidP="005C468A">
      <w:pPr>
        <w:pStyle w:val="ListParagraph"/>
        <w:numPr>
          <w:ilvl w:val="1"/>
          <w:numId w:val="17"/>
        </w:numPr>
        <w:spacing w:after="120"/>
        <w:ind w:left="567" w:hanging="567"/>
        <w:rPr>
          <w:rFonts w:ascii="Arial" w:hAnsi="Arial" w:cs="Arial"/>
          <w:iCs/>
        </w:rPr>
      </w:pPr>
      <w:r w:rsidRPr="00662108">
        <w:rPr>
          <w:rFonts w:ascii="Arial" w:hAnsi="Arial" w:cs="Arial"/>
          <w:iCs/>
        </w:rPr>
        <w:t xml:space="preserve">Reassessment methods </w:t>
      </w:r>
    </w:p>
    <w:p w14:paraId="7601650B" w14:textId="3EE68D11" w:rsidR="00527CD4" w:rsidRDefault="00554869" w:rsidP="005C468A">
      <w:pPr>
        <w:spacing w:after="120" w:line="240" w:lineRule="auto"/>
        <w:ind w:left="426" w:right="260"/>
        <w:contextualSpacing/>
        <w:jc w:val="both"/>
        <w:rPr>
          <w:rFonts w:ascii="Arial" w:hAnsi="Arial" w:cs="Arial"/>
        </w:rPr>
      </w:pPr>
      <w:r>
        <w:rPr>
          <w:rFonts w:ascii="Arial" w:hAnsi="Arial" w:cs="Arial"/>
        </w:rPr>
        <w:t>100% examination</w:t>
      </w:r>
    </w:p>
    <w:p w14:paraId="2DBE9F9E" w14:textId="77777777" w:rsidR="005C468A" w:rsidRDefault="005C468A" w:rsidP="005C468A">
      <w:pPr>
        <w:spacing w:after="120" w:line="240" w:lineRule="auto"/>
        <w:ind w:left="426" w:right="260"/>
        <w:contextualSpacing/>
        <w:jc w:val="both"/>
        <w:rPr>
          <w:rFonts w:ascii="Arial" w:hAnsi="Arial" w:cs="Arial"/>
        </w:rPr>
      </w:pPr>
    </w:p>
    <w:p w14:paraId="1080B5BF" w14:textId="77777777" w:rsidR="00274ED7" w:rsidRPr="00605D5C" w:rsidRDefault="006F3F8B" w:rsidP="005C468A">
      <w:pPr>
        <w:numPr>
          <w:ilvl w:val="0"/>
          <w:numId w:val="11"/>
        </w:numPr>
        <w:spacing w:after="120" w:line="240" w:lineRule="auto"/>
        <w:ind w:left="426" w:right="260" w:hanging="426"/>
        <w:contextualSpacing/>
        <w:jc w:val="both"/>
        <w:rPr>
          <w:rFonts w:ascii="Arial" w:hAnsi="Arial" w:cs="Arial"/>
          <w:b/>
          <w:iCs/>
        </w:rPr>
      </w:pPr>
      <w:r w:rsidRPr="00605D5C">
        <w:rPr>
          <w:rFonts w:ascii="Arial" w:hAnsi="Arial" w:cs="Arial"/>
          <w:b/>
          <w:iCs/>
        </w:rPr>
        <w:t xml:space="preserve">Map of </w:t>
      </w:r>
      <w:r w:rsidR="002A7F48" w:rsidRPr="00605D5C">
        <w:rPr>
          <w:rFonts w:ascii="Arial" w:hAnsi="Arial" w:cs="Arial"/>
          <w:b/>
          <w:iCs/>
        </w:rPr>
        <w:t xml:space="preserve">module learning outcomes </w:t>
      </w:r>
      <w:r w:rsidR="00B30E07" w:rsidRPr="00605D5C">
        <w:rPr>
          <w:rFonts w:ascii="Arial" w:hAnsi="Arial" w:cs="Arial"/>
          <w:b/>
          <w:iCs/>
        </w:rPr>
        <w:t>(sections 8 &amp; 9)</w:t>
      </w:r>
      <w:r w:rsidR="002A7F48" w:rsidRPr="00605D5C">
        <w:rPr>
          <w:rFonts w:ascii="Arial" w:hAnsi="Arial" w:cs="Arial"/>
          <w:b/>
          <w:iCs/>
        </w:rPr>
        <w:t xml:space="preserve"> to l</w:t>
      </w:r>
      <w:r w:rsidRPr="00605D5C">
        <w:rPr>
          <w:rFonts w:ascii="Arial" w:hAnsi="Arial" w:cs="Arial"/>
          <w:b/>
          <w:iCs/>
        </w:rPr>
        <w:t>earning</w:t>
      </w:r>
      <w:r w:rsidR="00B30E07" w:rsidRPr="00605D5C">
        <w:rPr>
          <w:rFonts w:ascii="Arial" w:hAnsi="Arial" w:cs="Arial"/>
          <w:b/>
          <w:iCs/>
        </w:rPr>
        <w:t xml:space="preserve"> and </w:t>
      </w:r>
      <w:r w:rsidR="002A7F48" w:rsidRPr="00605D5C">
        <w:rPr>
          <w:rFonts w:ascii="Arial" w:hAnsi="Arial" w:cs="Arial"/>
          <w:b/>
          <w:iCs/>
        </w:rPr>
        <w:t>teaching m</w:t>
      </w:r>
      <w:r w:rsidR="00B30E07" w:rsidRPr="00605D5C">
        <w:rPr>
          <w:rFonts w:ascii="Arial" w:hAnsi="Arial" w:cs="Arial"/>
          <w:b/>
          <w:iCs/>
        </w:rPr>
        <w:t>ethods (section12</w:t>
      </w:r>
      <w:r w:rsidRPr="00605D5C">
        <w:rPr>
          <w:rFonts w:ascii="Arial" w:hAnsi="Arial" w:cs="Arial"/>
          <w:b/>
          <w:iCs/>
        </w:rPr>
        <w:t>) and m</w:t>
      </w:r>
      <w:r w:rsidR="002A7F48" w:rsidRPr="00605D5C">
        <w:rPr>
          <w:rFonts w:ascii="Arial" w:hAnsi="Arial" w:cs="Arial"/>
          <w:b/>
          <w:iCs/>
        </w:rPr>
        <w:t>ethods of a</w:t>
      </w:r>
      <w:r w:rsidR="00B30E07" w:rsidRPr="00605D5C">
        <w:rPr>
          <w:rFonts w:ascii="Arial" w:hAnsi="Arial" w:cs="Arial"/>
          <w:b/>
          <w:iCs/>
        </w:rPr>
        <w:t>ssessment (section 13</w:t>
      </w:r>
      <w:r w:rsidR="00EF4933" w:rsidRPr="00605D5C">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711F5F" w:rsidRPr="00605D5C" w14:paraId="4D0B89B5" w14:textId="77777777" w:rsidTr="00E37B65">
        <w:tc>
          <w:tcPr>
            <w:tcW w:w="1267" w:type="pct"/>
            <w:shd w:val="clear" w:color="auto" w:fill="D9D9D9" w:themeFill="background1" w:themeFillShade="D9"/>
          </w:tcPr>
          <w:p w14:paraId="34C92D0A" w14:textId="77777777" w:rsidR="00711F5F" w:rsidRPr="00605D5C" w:rsidRDefault="00711F5F" w:rsidP="005C468A">
            <w:pPr>
              <w:spacing w:after="120"/>
              <w:ind w:left="33"/>
              <w:contextualSpacing/>
              <w:rPr>
                <w:rFonts w:ascii="Arial" w:hAnsi="Arial" w:cs="Arial"/>
                <w:b/>
              </w:rPr>
            </w:pPr>
            <w:r w:rsidRPr="00605D5C">
              <w:rPr>
                <w:rFonts w:ascii="Arial" w:hAnsi="Arial" w:cs="Arial"/>
                <w:b/>
              </w:rPr>
              <w:t>Module learning outcome</w:t>
            </w:r>
          </w:p>
        </w:tc>
        <w:tc>
          <w:tcPr>
            <w:tcW w:w="415" w:type="pct"/>
          </w:tcPr>
          <w:p w14:paraId="1AAD49A9" w14:textId="77777777" w:rsidR="00711F5F" w:rsidRPr="00605D5C" w:rsidRDefault="00711F5F" w:rsidP="005C468A">
            <w:pPr>
              <w:spacing w:after="120"/>
              <w:contextualSpacing/>
              <w:rPr>
                <w:rFonts w:ascii="Arial" w:hAnsi="Arial" w:cs="Arial"/>
                <w:i/>
              </w:rPr>
            </w:pPr>
            <w:r w:rsidRPr="00605D5C">
              <w:rPr>
                <w:rFonts w:ascii="Arial" w:hAnsi="Arial" w:cs="Arial"/>
                <w:i/>
              </w:rPr>
              <w:t>8.1</w:t>
            </w:r>
          </w:p>
        </w:tc>
        <w:tc>
          <w:tcPr>
            <w:tcW w:w="415" w:type="pct"/>
          </w:tcPr>
          <w:p w14:paraId="04EF8B0D" w14:textId="77777777" w:rsidR="00711F5F" w:rsidRPr="00605D5C" w:rsidRDefault="00711F5F" w:rsidP="005C468A">
            <w:pPr>
              <w:spacing w:after="120"/>
              <w:contextualSpacing/>
              <w:rPr>
                <w:rFonts w:ascii="Arial" w:hAnsi="Arial" w:cs="Arial"/>
                <w:i/>
              </w:rPr>
            </w:pPr>
            <w:r w:rsidRPr="00605D5C">
              <w:rPr>
                <w:rFonts w:ascii="Arial" w:hAnsi="Arial" w:cs="Arial"/>
                <w:i/>
              </w:rPr>
              <w:t>8.2</w:t>
            </w:r>
          </w:p>
        </w:tc>
        <w:tc>
          <w:tcPr>
            <w:tcW w:w="415" w:type="pct"/>
          </w:tcPr>
          <w:p w14:paraId="74B61D1A" w14:textId="77777777" w:rsidR="00711F5F" w:rsidRPr="00605D5C" w:rsidRDefault="00711F5F" w:rsidP="005C468A">
            <w:pPr>
              <w:spacing w:after="120"/>
              <w:contextualSpacing/>
              <w:rPr>
                <w:rFonts w:ascii="Arial" w:hAnsi="Arial" w:cs="Arial"/>
                <w:i/>
              </w:rPr>
            </w:pPr>
            <w:r w:rsidRPr="00605D5C">
              <w:rPr>
                <w:rFonts w:ascii="Arial" w:hAnsi="Arial" w:cs="Arial"/>
                <w:i/>
              </w:rPr>
              <w:t>8.3</w:t>
            </w:r>
          </w:p>
        </w:tc>
        <w:tc>
          <w:tcPr>
            <w:tcW w:w="415" w:type="pct"/>
          </w:tcPr>
          <w:p w14:paraId="0987752C" w14:textId="77777777" w:rsidR="00711F5F" w:rsidRPr="00605D5C" w:rsidRDefault="00711F5F" w:rsidP="005C468A">
            <w:pPr>
              <w:spacing w:after="120"/>
              <w:contextualSpacing/>
              <w:rPr>
                <w:rFonts w:ascii="Arial" w:hAnsi="Arial" w:cs="Arial"/>
                <w:i/>
              </w:rPr>
            </w:pPr>
            <w:r w:rsidRPr="00605D5C">
              <w:rPr>
                <w:rFonts w:ascii="Arial" w:hAnsi="Arial" w:cs="Arial"/>
                <w:i/>
              </w:rPr>
              <w:t>8.4</w:t>
            </w:r>
          </w:p>
        </w:tc>
        <w:tc>
          <w:tcPr>
            <w:tcW w:w="415" w:type="pct"/>
          </w:tcPr>
          <w:p w14:paraId="7EB3DCA1" w14:textId="4BDDE4D6" w:rsidR="00711F5F" w:rsidRPr="00605D5C" w:rsidRDefault="00711F5F" w:rsidP="005C468A">
            <w:pPr>
              <w:spacing w:after="120"/>
              <w:contextualSpacing/>
              <w:rPr>
                <w:rFonts w:ascii="Arial" w:hAnsi="Arial" w:cs="Arial"/>
                <w:i/>
              </w:rPr>
            </w:pPr>
            <w:r>
              <w:rPr>
                <w:rFonts w:ascii="Arial" w:hAnsi="Arial" w:cs="Arial"/>
                <w:i/>
              </w:rPr>
              <w:t>8.5</w:t>
            </w:r>
          </w:p>
        </w:tc>
        <w:tc>
          <w:tcPr>
            <w:tcW w:w="415" w:type="pct"/>
          </w:tcPr>
          <w:p w14:paraId="6434D63D" w14:textId="6BB55E72" w:rsidR="00711F5F" w:rsidRPr="00605D5C" w:rsidRDefault="00711F5F" w:rsidP="005C468A">
            <w:pPr>
              <w:spacing w:after="120"/>
              <w:contextualSpacing/>
              <w:rPr>
                <w:rFonts w:ascii="Arial" w:hAnsi="Arial" w:cs="Arial"/>
                <w:i/>
              </w:rPr>
            </w:pPr>
            <w:r w:rsidRPr="00605D5C">
              <w:rPr>
                <w:rFonts w:ascii="Arial" w:hAnsi="Arial" w:cs="Arial"/>
                <w:i/>
              </w:rPr>
              <w:t>9.1</w:t>
            </w:r>
          </w:p>
        </w:tc>
        <w:tc>
          <w:tcPr>
            <w:tcW w:w="415" w:type="pct"/>
          </w:tcPr>
          <w:p w14:paraId="4A922A44" w14:textId="3CE97B88" w:rsidR="00711F5F" w:rsidRPr="00605D5C" w:rsidRDefault="00711F5F" w:rsidP="005C468A">
            <w:pPr>
              <w:spacing w:after="120"/>
              <w:contextualSpacing/>
              <w:rPr>
                <w:rFonts w:ascii="Arial" w:hAnsi="Arial" w:cs="Arial"/>
                <w:i/>
              </w:rPr>
            </w:pPr>
            <w:r w:rsidRPr="00605D5C">
              <w:rPr>
                <w:rFonts w:ascii="Arial" w:hAnsi="Arial" w:cs="Arial"/>
                <w:i/>
              </w:rPr>
              <w:t>9.2</w:t>
            </w:r>
          </w:p>
        </w:tc>
        <w:tc>
          <w:tcPr>
            <w:tcW w:w="415" w:type="pct"/>
          </w:tcPr>
          <w:p w14:paraId="646C3FBA" w14:textId="77777777" w:rsidR="00711F5F" w:rsidRPr="00605D5C" w:rsidRDefault="00711F5F" w:rsidP="005C468A">
            <w:pPr>
              <w:spacing w:after="120"/>
              <w:contextualSpacing/>
              <w:rPr>
                <w:rFonts w:ascii="Arial" w:hAnsi="Arial" w:cs="Arial"/>
                <w:i/>
              </w:rPr>
            </w:pPr>
            <w:r w:rsidRPr="00605D5C">
              <w:rPr>
                <w:rFonts w:ascii="Arial" w:hAnsi="Arial" w:cs="Arial"/>
                <w:i/>
              </w:rPr>
              <w:t>9.3</w:t>
            </w:r>
          </w:p>
        </w:tc>
        <w:tc>
          <w:tcPr>
            <w:tcW w:w="413" w:type="pct"/>
          </w:tcPr>
          <w:p w14:paraId="27D5B849" w14:textId="77777777" w:rsidR="00711F5F" w:rsidRPr="00605D5C" w:rsidRDefault="00711F5F" w:rsidP="005C468A">
            <w:pPr>
              <w:spacing w:after="120"/>
              <w:contextualSpacing/>
              <w:rPr>
                <w:rFonts w:ascii="Arial" w:hAnsi="Arial" w:cs="Arial"/>
                <w:i/>
              </w:rPr>
            </w:pPr>
            <w:r w:rsidRPr="00605D5C">
              <w:rPr>
                <w:rFonts w:ascii="Arial" w:hAnsi="Arial" w:cs="Arial"/>
                <w:i/>
              </w:rPr>
              <w:t>9.4</w:t>
            </w:r>
          </w:p>
        </w:tc>
      </w:tr>
      <w:tr w:rsidR="00711F5F" w:rsidRPr="00605D5C" w14:paraId="030C83A8" w14:textId="77777777" w:rsidTr="00E37B65">
        <w:tc>
          <w:tcPr>
            <w:tcW w:w="1267" w:type="pct"/>
            <w:shd w:val="clear" w:color="auto" w:fill="D9D9D9" w:themeFill="background1" w:themeFillShade="D9"/>
          </w:tcPr>
          <w:p w14:paraId="4EAEBFA4" w14:textId="77777777" w:rsidR="00711F5F" w:rsidRPr="00605D5C" w:rsidRDefault="00711F5F" w:rsidP="005C468A">
            <w:pPr>
              <w:spacing w:after="120"/>
              <w:contextualSpacing/>
              <w:rPr>
                <w:rFonts w:ascii="Arial" w:hAnsi="Arial" w:cs="Arial"/>
                <w:b/>
              </w:rPr>
            </w:pPr>
            <w:r w:rsidRPr="00605D5C">
              <w:rPr>
                <w:rFonts w:ascii="Arial" w:hAnsi="Arial" w:cs="Arial"/>
                <w:b/>
              </w:rPr>
              <w:t>Learning/ teaching method</w:t>
            </w:r>
          </w:p>
        </w:tc>
        <w:tc>
          <w:tcPr>
            <w:tcW w:w="415" w:type="pct"/>
          </w:tcPr>
          <w:p w14:paraId="530034B0" w14:textId="77777777" w:rsidR="00711F5F" w:rsidRPr="00605D5C" w:rsidRDefault="00711F5F" w:rsidP="005C468A">
            <w:pPr>
              <w:spacing w:after="120"/>
              <w:contextualSpacing/>
              <w:rPr>
                <w:rFonts w:ascii="Arial" w:hAnsi="Arial" w:cs="Arial"/>
                <w:b/>
              </w:rPr>
            </w:pPr>
          </w:p>
        </w:tc>
        <w:tc>
          <w:tcPr>
            <w:tcW w:w="415" w:type="pct"/>
          </w:tcPr>
          <w:p w14:paraId="49F21768" w14:textId="77777777" w:rsidR="00711F5F" w:rsidRPr="00605D5C" w:rsidRDefault="00711F5F" w:rsidP="005C468A">
            <w:pPr>
              <w:spacing w:after="120"/>
              <w:contextualSpacing/>
              <w:rPr>
                <w:rFonts w:ascii="Arial" w:hAnsi="Arial" w:cs="Arial"/>
                <w:b/>
              </w:rPr>
            </w:pPr>
          </w:p>
        </w:tc>
        <w:tc>
          <w:tcPr>
            <w:tcW w:w="415" w:type="pct"/>
          </w:tcPr>
          <w:p w14:paraId="6778D7F5" w14:textId="77777777" w:rsidR="00711F5F" w:rsidRPr="00605D5C" w:rsidRDefault="00711F5F" w:rsidP="005C468A">
            <w:pPr>
              <w:spacing w:after="120"/>
              <w:contextualSpacing/>
              <w:rPr>
                <w:rFonts w:ascii="Arial" w:hAnsi="Arial" w:cs="Arial"/>
                <w:b/>
              </w:rPr>
            </w:pPr>
          </w:p>
        </w:tc>
        <w:tc>
          <w:tcPr>
            <w:tcW w:w="415" w:type="pct"/>
          </w:tcPr>
          <w:p w14:paraId="2201B06A" w14:textId="77777777" w:rsidR="00711F5F" w:rsidRPr="00605D5C" w:rsidRDefault="00711F5F" w:rsidP="005C468A">
            <w:pPr>
              <w:spacing w:after="120"/>
              <w:contextualSpacing/>
              <w:rPr>
                <w:rFonts w:ascii="Arial" w:hAnsi="Arial" w:cs="Arial"/>
                <w:b/>
              </w:rPr>
            </w:pPr>
          </w:p>
        </w:tc>
        <w:tc>
          <w:tcPr>
            <w:tcW w:w="415" w:type="pct"/>
          </w:tcPr>
          <w:p w14:paraId="649D01BC" w14:textId="77777777" w:rsidR="00711F5F" w:rsidRPr="00605D5C" w:rsidRDefault="00711F5F" w:rsidP="005C468A">
            <w:pPr>
              <w:spacing w:after="120"/>
              <w:contextualSpacing/>
              <w:rPr>
                <w:rFonts w:ascii="Arial" w:hAnsi="Arial" w:cs="Arial"/>
                <w:b/>
              </w:rPr>
            </w:pPr>
          </w:p>
        </w:tc>
        <w:tc>
          <w:tcPr>
            <w:tcW w:w="415" w:type="pct"/>
          </w:tcPr>
          <w:p w14:paraId="10E18A89" w14:textId="77777777" w:rsidR="00711F5F" w:rsidRPr="00605D5C" w:rsidRDefault="00711F5F" w:rsidP="005C468A">
            <w:pPr>
              <w:spacing w:after="120"/>
              <w:contextualSpacing/>
              <w:rPr>
                <w:rFonts w:ascii="Arial" w:hAnsi="Arial" w:cs="Arial"/>
                <w:b/>
              </w:rPr>
            </w:pPr>
          </w:p>
        </w:tc>
        <w:tc>
          <w:tcPr>
            <w:tcW w:w="415" w:type="pct"/>
          </w:tcPr>
          <w:p w14:paraId="5AAD7330" w14:textId="5A0BC716" w:rsidR="00711F5F" w:rsidRPr="00605D5C" w:rsidRDefault="00711F5F" w:rsidP="005C468A">
            <w:pPr>
              <w:spacing w:after="120"/>
              <w:contextualSpacing/>
              <w:rPr>
                <w:rFonts w:ascii="Arial" w:hAnsi="Arial" w:cs="Arial"/>
                <w:b/>
              </w:rPr>
            </w:pPr>
          </w:p>
        </w:tc>
        <w:tc>
          <w:tcPr>
            <w:tcW w:w="415" w:type="pct"/>
          </w:tcPr>
          <w:p w14:paraId="4B28D3A0" w14:textId="77777777" w:rsidR="00711F5F" w:rsidRPr="00605D5C" w:rsidRDefault="00711F5F" w:rsidP="005C468A">
            <w:pPr>
              <w:spacing w:after="120"/>
              <w:contextualSpacing/>
              <w:rPr>
                <w:rFonts w:ascii="Arial" w:hAnsi="Arial" w:cs="Arial"/>
                <w:b/>
              </w:rPr>
            </w:pPr>
          </w:p>
        </w:tc>
        <w:tc>
          <w:tcPr>
            <w:tcW w:w="413" w:type="pct"/>
          </w:tcPr>
          <w:p w14:paraId="784B7D22" w14:textId="77777777" w:rsidR="00711F5F" w:rsidRPr="00605D5C" w:rsidRDefault="00711F5F" w:rsidP="005C468A">
            <w:pPr>
              <w:spacing w:after="120"/>
              <w:contextualSpacing/>
              <w:rPr>
                <w:rFonts w:ascii="Arial" w:hAnsi="Arial" w:cs="Arial"/>
                <w:b/>
              </w:rPr>
            </w:pPr>
          </w:p>
        </w:tc>
      </w:tr>
      <w:tr w:rsidR="00711F5F" w:rsidRPr="00605D5C" w14:paraId="369780C9" w14:textId="77777777" w:rsidTr="00E37B65">
        <w:tc>
          <w:tcPr>
            <w:tcW w:w="1267" w:type="pct"/>
          </w:tcPr>
          <w:p w14:paraId="122372B7" w14:textId="77777777" w:rsidR="00711F5F" w:rsidRPr="00D03F7E" w:rsidRDefault="00711F5F" w:rsidP="005C468A">
            <w:pPr>
              <w:spacing w:after="120"/>
              <w:contextualSpacing/>
              <w:rPr>
                <w:rFonts w:ascii="Arial" w:hAnsi="Arial" w:cs="Arial"/>
              </w:rPr>
            </w:pPr>
            <w:r w:rsidRPr="00D03F7E">
              <w:rPr>
                <w:rFonts w:ascii="Arial" w:hAnsi="Arial" w:cs="Arial"/>
              </w:rPr>
              <w:t>Private Study</w:t>
            </w:r>
          </w:p>
        </w:tc>
        <w:tc>
          <w:tcPr>
            <w:tcW w:w="415" w:type="pct"/>
          </w:tcPr>
          <w:p w14:paraId="654BF9F1" w14:textId="77777777" w:rsidR="00711F5F" w:rsidRPr="00605D5C" w:rsidRDefault="00711F5F" w:rsidP="005C468A">
            <w:pPr>
              <w:spacing w:after="120"/>
              <w:contextualSpacing/>
              <w:rPr>
                <w:rFonts w:ascii="Arial" w:hAnsi="Arial" w:cs="Arial"/>
                <w:b/>
              </w:rPr>
            </w:pPr>
            <w:r w:rsidRPr="00605D5C">
              <w:rPr>
                <w:rFonts w:ascii="Arial" w:hAnsi="Arial" w:cs="Arial"/>
                <w:b/>
              </w:rPr>
              <w:t>x</w:t>
            </w:r>
          </w:p>
        </w:tc>
        <w:tc>
          <w:tcPr>
            <w:tcW w:w="415" w:type="pct"/>
          </w:tcPr>
          <w:p w14:paraId="2EC08C76" w14:textId="77777777" w:rsidR="00711F5F" w:rsidRPr="00605D5C" w:rsidRDefault="00711F5F" w:rsidP="005C468A">
            <w:pPr>
              <w:contextualSpacing/>
            </w:pPr>
            <w:r w:rsidRPr="00605D5C">
              <w:rPr>
                <w:rFonts w:ascii="Arial" w:hAnsi="Arial" w:cs="Arial"/>
                <w:b/>
              </w:rPr>
              <w:t>x</w:t>
            </w:r>
          </w:p>
        </w:tc>
        <w:tc>
          <w:tcPr>
            <w:tcW w:w="415" w:type="pct"/>
          </w:tcPr>
          <w:p w14:paraId="2BD952A6" w14:textId="77777777" w:rsidR="00711F5F" w:rsidRPr="00605D5C" w:rsidRDefault="00711F5F" w:rsidP="005C468A">
            <w:pPr>
              <w:contextualSpacing/>
            </w:pPr>
            <w:r>
              <w:rPr>
                <w:rFonts w:ascii="Arial" w:hAnsi="Arial" w:cs="Arial"/>
                <w:b/>
              </w:rPr>
              <w:t>x</w:t>
            </w:r>
          </w:p>
        </w:tc>
        <w:tc>
          <w:tcPr>
            <w:tcW w:w="415" w:type="pct"/>
          </w:tcPr>
          <w:p w14:paraId="4B448498" w14:textId="77777777" w:rsidR="00711F5F" w:rsidRPr="00605D5C" w:rsidRDefault="00711F5F" w:rsidP="005C468A">
            <w:pPr>
              <w:contextualSpacing/>
            </w:pPr>
            <w:r w:rsidRPr="00605D5C">
              <w:rPr>
                <w:rFonts w:ascii="Arial" w:hAnsi="Arial" w:cs="Arial"/>
                <w:b/>
              </w:rPr>
              <w:t>x</w:t>
            </w:r>
          </w:p>
        </w:tc>
        <w:tc>
          <w:tcPr>
            <w:tcW w:w="415" w:type="pct"/>
          </w:tcPr>
          <w:p w14:paraId="3CB6EFA6" w14:textId="6CBCA52C"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1F66459D" w14:textId="27F51FF8"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1009998B" w14:textId="378C60B1" w:rsidR="00711F5F" w:rsidRPr="00605D5C" w:rsidRDefault="00711F5F" w:rsidP="005C468A">
            <w:pPr>
              <w:contextualSpacing/>
            </w:pPr>
            <w:r w:rsidRPr="00605D5C">
              <w:rPr>
                <w:rFonts w:ascii="Arial" w:hAnsi="Arial" w:cs="Arial"/>
                <w:b/>
              </w:rPr>
              <w:t>x</w:t>
            </w:r>
          </w:p>
        </w:tc>
        <w:tc>
          <w:tcPr>
            <w:tcW w:w="415" w:type="pct"/>
          </w:tcPr>
          <w:p w14:paraId="5B54201E" w14:textId="77777777" w:rsidR="00711F5F" w:rsidRPr="00605D5C" w:rsidRDefault="00711F5F" w:rsidP="005C468A">
            <w:pPr>
              <w:contextualSpacing/>
            </w:pPr>
            <w:r w:rsidRPr="00605D5C">
              <w:rPr>
                <w:rFonts w:ascii="Arial" w:hAnsi="Arial" w:cs="Arial"/>
                <w:b/>
              </w:rPr>
              <w:t>x</w:t>
            </w:r>
          </w:p>
        </w:tc>
        <w:tc>
          <w:tcPr>
            <w:tcW w:w="413" w:type="pct"/>
          </w:tcPr>
          <w:p w14:paraId="456108B2" w14:textId="72A20000" w:rsidR="00711F5F" w:rsidRPr="00334FA3" w:rsidRDefault="00711F5F" w:rsidP="005C468A">
            <w:pPr>
              <w:contextualSpacing/>
              <w:rPr>
                <w:sz w:val="16"/>
                <w:szCs w:val="16"/>
              </w:rPr>
            </w:pPr>
            <w:r w:rsidRPr="00605D5C">
              <w:rPr>
                <w:rFonts w:ascii="Arial" w:hAnsi="Arial" w:cs="Arial"/>
                <w:b/>
              </w:rPr>
              <w:t>x</w:t>
            </w:r>
          </w:p>
        </w:tc>
      </w:tr>
      <w:tr w:rsidR="00711F5F" w:rsidRPr="00605D5C" w14:paraId="2DE8E426" w14:textId="77777777" w:rsidTr="00E37B65">
        <w:tc>
          <w:tcPr>
            <w:tcW w:w="1267" w:type="pct"/>
          </w:tcPr>
          <w:p w14:paraId="6D347CFA" w14:textId="77777777" w:rsidR="00711F5F" w:rsidRPr="00605D5C" w:rsidRDefault="00711F5F" w:rsidP="005C468A">
            <w:pPr>
              <w:spacing w:after="120"/>
              <w:contextualSpacing/>
              <w:rPr>
                <w:rFonts w:ascii="Arial" w:hAnsi="Arial" w:cs="Arial"/>
                <w:i/>
              </w:rPr>
            </w:pPr>
            <w:r w:rsidRPr="00605D5C">
              <w:rPr>
                <w:rFonts w:ascii="Arial" w:hAnsi="Arial" w:cs="Arial"/>
                <w:i/>
              </w:rPr>
              <w:t>Lecture</w:t>
            </w:r>
          </w:p>
        </w:tc>
        <w:tc>
          <w:tcPr>
            <w:tcW w:w="415" w:type="pct"/>
          </w:tcPr>
          <w:p w14:paraId="7A869DAB" w14:textId="77777777" w:rsidR="00711F5F" w:rsidRPr="00605D5C" w:rsidRDefault="00711F5F" w:rsidP="005C468A">
            <w:pPr>
              <w:contextualSpacing/>
            </w:pPr>
            <w:r w:rsidRPr="00605D5C">
              <w:rPr>
                <w:rFonts w:ascii="Arial" w:hAnsi="Arial" w:cs="Arial"/>
                <w:b/>
              </w:rPr>
              <w:t>x</w:t>
            </w:r>
          </w:p>
        </w:tc>
        <w:tc>
          <w:tcPr>
            <w:tcW w:w="415" w:type="pct"/>
          </w:tcPr>
          <w:p w14:paraId="195B92EC" w14:textId="77777777" w:rsidR="00711F5F" w:rsidRPr="00605D5C" w:rsidRDefault="00711F5F" w:rsidP="005C468A">
            <w:pPr>
              <w:contextualSpacing/>
            </w:pPr>
            <w:r w:rsidRPr="00605D5C">
              <w:rPr>
                <w:rFonts w:ascii="Arial" w:hAnsi="Arial" w:cs="Arial"/>
                <w:b/>
              </w:rPr>
              <w:t>x</w:t>
            </w:r>
          </w:p>
        </w:tc>
        <w:tc>
          <w:tcPr>
            <w:tcW w:w="415" w:type="pct"/>
          </w:tcPr>
          <w:p w14:paraId="69202D7E" w14:textId="77777777" w:rsidR="00711F5F" w:rsidRPr="00605D5C" w:rsidRDefault="00711F5F" w:rsidP="005C468A">
            <w:pPr>
              <w:contextualSpacing/>
            </w:pPr>
            <w:r>
              <w:rPr>
                <w:rFonts w:ascii="Arial" w:hAnsi="Arial" w:cs="Arial"/>
                <w:b/>
              </w:rPr>
              <w:t>x</w:t>
            </w:r>
          </w:p>
        </w:tc>
        <w:tc>
          <w:tcPr>
            <w:tcW w:w="415" w:type="pct"/>
          </w:tcPr>
          <w:p w14:paraId="127E18BD" w14:textId="77777777" w:rsidR="00711F5F" w:rsidRPr="00605D5C" w:rsidRDefault="00711F5F" w:rsidP="005C468A">
            <w:pPr>
              <w:contextualSpacing/>
            </w:pPr>
            <w:r w:rsidRPr="00605D5C">
              <w:rPr>
                <w:rFonts w:ascii="Arial" w:hAnsi="Arial" w:cs="Arial"/>
                <w:b/>
              </w:rPr>
              <w:t>x</w:t>
            </w:r>
          </w:p>
        </w:tc>
        <w:tc>
          <w:tcPr>
            <w:tcW w:w="415" w:type="pct"/>
          </w:tcPr>
          <w:p w14:paraId="1AB16A8D" w14:textId="37209C2E" w:rsidR="00711F5F" w:rsidRPr="00772040" w:rsidRDefault="00711F5F" w:rsidP="005C468A">
            <w:pPr>
              <w:spacing w:after="120"/>
              <w:contextualSpacing/>
              <w:rPr>
                <w:rFonts w:ascii="Arial" w:hAnsi="Arial" w:cs="Arial"/>
                <w:b/>
              </w:rPr>
            </w:pPr>
            <w:r w:rsidRPr="00521997">
              <w:rPr>
                <w:rFonts w:ascii="Arial" w:hAnsi="Arial" w:cs="Arial"/>
                <w:b/>
              </w:rPr>
              <w:t>x</w:t>
            </w:r>
          </w:p>
        </w:tc>
        <w:tc>
          <w:tcPr>
            <w:tcW w:w="415" w:type="pct"/>
          </w:tcPr>
          <w:p w14:paraId="7B67AF28" w14:textId="01D83DF2" w:rsidR="00711F5F" w:rsidRPr="00772040" w:rsidRDefault="00711F5F" w:rsidP="005C468A">
            <w:pPr>
              <w:spacing w:after="120"/>
              <w:contextualSpacing/>
              <w:rPr>
                <w:rFonts w:ascii="Arial" w:hAnsi="Arial" w:cs="Arial"/>
                <w:b/>
              </w:rPr>
            </w:pPr>
            <w:r w:rsidRPr="00772040">
              <w:rPr>
                <w:rFonts w:ascii="Arial" w:hAnsi="Arial" w:cs="Arial"/>
                <w:b/>
              </w:rPr>
              <w:t>x</w:t>
            </w:r>
          </w:p>
        </w:tc>
        <w:tc>
          <w:tcPr>
            <w:tcW w:w="415" w:type="pct"/>
          </w:tcPr>
          <w:p w14:paraId="418A85D2" w14:textId="31894D4F" w:rsidR="00711F5F" w:rsidRPr="00605D5C" w:rsidRDefault="00711F5F" w:rsidP="005C468A">
            <w:pPr>
              <w:spacing w:after="120"/>
              <w:contextualSpacing/>
              <w:rPr>
                <w:rFonts w:ascii="Arial" w:hAnsi="Arial" w:cs="Arial"/>
                <w:b/>
              </w:rPr>
            </w:pPr>
            <w:r w:rsidRPr="00772040">
              <w:rPr>
                <w:rFonts w:ascii="Arial" w:hAnsi="Arial" w:cs="Arial"/>
                <w:b/>
              </w:rPr>
              <w:t>x</w:t>
            </w:r>
          </w:p>
        </w:tc>
        <w:tc>
          <w:tcPr>
            <w:tcW w:w="415" w:type="pct"/>
          </w:tcPr>
          <w:p w14:paraId="7A3C932A" w14:textId="2397BAC5" w:rsidR="00711F5F" w:rsidRPr="00605D5C" w:rsidRDefault="00711F5F" w:rsidP="005C468A">
            <w:pPr>
              <w:spacing w:after="120"/>
              <w:contextualSpacing/>
              <w:rPr>
                <w:rFonts w:ascii="Arial" w:hAnsi="Arial" w:cs="Arial"/>
                <w:b/>
              </w:rPr>
            </w:pPr>
            <w:r w:rsidRPr="00772040">
              <w:rPr>
                <w:rFonts w:ascii="Arial" w:hAnsi="Arial" w:cs="Arial"/>
                <w:b/>
              </w:rPr>
              <w:t>x</w:t>
            </w:r>
          </w:p>
        </w:tc>
        <w:tc>
          <w:tcPr>
            <w:tcW w:w="413" w:type="pct"/>
          </w:tcPr>
          <w:p w14:paraId="00E6B636" w14:textId="77777777" w:rsidR="00711F5F" w:rsidRPr="00334FA3" w:rsidRDefault="00711F5F" w:rsidP="005C468A">
            <w:pPr>
              <w:spacing w:after="120"/>
              <w:contextualSpacing/>
              <w:rPr>
                <w:rFonts w:ascii="Arial" w:hAnsi="Arial" w:cs="Arial"/>
                <w:b/>
                <w:sz w:val="16"/>
                <w:szCs w:val="16"/>
              </w:rPr>
            </w:pPr>
          </w:p>
        </w:tc>
      </w:tr>
      <w:tr w:rsidR="00711F5F" w:rsidRPr="00605D5C" w14:paraId="4B3F9C4B" w14:textId="77777777" w:rsidTr="00E37B65">
        <w:tc>
          <w:tcPr>
            <w:tcW w:w="1267" w:type="pct"/>
          </w:tcPr>
          <w:p w14:paraId="5A8557ED" w14:textId="77777777" w:rsidR="00711F5F" w:rsidRPr="00605D5C" w:rsidRDefault="00711F5F" w:rsidP="005C468A">
            <w:pPr>
              <w:spacing w:after="120"/>
              <w:contextualSpacing/>
              <w:rPr>
                <w:rFonts w:ascii="Arial" w:hAnsi="Arial" w:cs="Arial"/>
                <w:i/>
              </w:rPr>
            </w:pPr>
            <w:r w:rsidRPr="00605D5C">
              <w:rPr>
                <w:rFonts w:ascii="Arial" w:hAnsi="Arial" w:cs="Arial"/>
                <w:i/>
              </w:rPr>
              <w:t>Seminar</w:t>
            </w:r>
          </w:p>
        </w:tc>
        <w:tc>
          <w:tcPr>
            <w:tcW w:w="415" w:type="pct"/>
          </w:tcPr>
          <w:p w14:paraId="18A917E0" w14:textId="77777777" w:rsidR="00711F5F" w:rsidRPr="00605D5C" w:rsidRDefault="00711F5F" w:rsidP="005C468A">
            <w:pPr>
              <w:contextualSpacing/>
            </w:pPr>
            <w:r w:rsidRPr="00605D5C">
              <w:rPr>
                <w:rFonts w:ascii="Arial" w:hAnsi="Arial" w:cs="Arial"/>
                <w:b/>
              </w:rPr>
              <w:t>x</w:t>
            </w:r>
          </w:p>
        </w:tc>
        <w:tc>
          <w:tcPr>
            <w:tcW w:w="415" w:type="pct"/>
          </w:tcPr>
          <w:p w14:paraId="2A05AB17" w14:textId="77777777" w:rsidR="00711F5F" w:rsidRPr="00605D5C" w:rsidRDefault="00711F5F" w:rsidP="005C468A">
            <w:pPr>
              <w:contextualSpacing/>
            </w:pPr>
            <w:r w:rsidRPr="00605D5C">
              <w:rPr>
                <w:rFonts w:ascii="Arial" w:hAnsi="Arial" w:cs="Arial"/>
                <w:b/>
              </w:rPr>
              <w:t>x</w:t>
            </w:r>
          </w:p>
        </w:tc>
        <w:tc>
          <w:tcPr>
            <w:tcW w:w="415" w:type="pct"/>
          </w:tcPr>
          <w:p w14:paraId="36816C78" w14:textId="77777777" w:rsidR="00711F5F" w:rsidRPr="00605D5C" w:rsidRDefault="00711F5F" w:rsidP="005C468A">
            <w:pPr>
              <w:contextualSpacing/>
            </w:pPr>
            <w:r>
              <w:rPr>
                <w:rFonts w:ascii="Arial" w:hAnsi="Arial" w:cs="Arial"/>
                <w:b/>
              </w:rPr>
              <w:t>x</w:t>
            </w:r>
          </w:p>
        </w:tc>
        <w:tc>
          <w:tcPr>
            <w:tcW w:w="415" w:type="pct"/>
          </w:tcPr>
          <w:p w14:paraId="1E2B0CA4" w14:textId="77777777" w:rsidR="00711F5F" w:rsidRPr="00605D5C" w:rsidRDefault="00711F5F" w:rsidP="005C468A">
            <w:pPr>
              <w:contextualSpacing/>
            </w:pPr>
            <w:r w:rsidRPr="00605D5C">
              <w:rPr>
                <w:rFonts w:ascii="Arial" w:hAnsi="Arial" w:cs="Arial"/>
                <w:b/>
              </w:rPr>
              <w:t>x</w:t>
            </w:r>
          </w:p>
        </w:tc>
        <w:tc>
          <w:tcPr>
            <w:tcW w:w="415" w:type="pct"/>
          </w:tcPr>
          <w:p w14:paraId="023E654A" w14:textId="6A31EB10"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40FA921A" w14:textId="5FCD2003"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520C3DDD" w14:textId="53B77B1B" w:rsidR="00711F5F" w:rsidRPr="00605D5C" w:rsidRDefault="00711F5F" w:rsidP="005C468A">
            <w:pPr>
              <w:contextualSpacing/>
            </w:pPr>
            <w:r w:rsidRPr="00605D5C">
              <w:rPr>
                <w:rFonts w:ascii="Arial" w:hAnsi="Arial" w:cs="Arial"/>
                <w:b/>
              </w:rPr>
              <w:t>x</w:t>
            </w:r>
          </w:p>
        </w:tc>
        <w:tc>
          <w:tcPr>
            <w:tcW w:w="415" w:type="pct"/>
          </w:tcPr>
          <w:p w14:paraId="3AAE3BA6" w14:textId="77777777" w:rsidR="00711F5F" w:rsidRPr="00605D5C" w:rsidRDefault="00711F5F" w:rsidP="005C468A">
            <w:pPr>
              <w:contextualSpacing/>
            </w:pPr>
            <w:r w:rsidRPr="00605D5C">
              <w:rPr>
                <w:rFonts w:ascii="Arial" w:hAnsi="Arial" w:cs="Arial"/>
                <w:b/>
              </w:rPr>
              <w:t>x</w:t>
            </w:r>
          </w:p>
        </w:tc>
        <w:tc>
          <w:tcPr>
            <w:tcW w:w="413" w:type="pct"/>
          </w:tcPr>
          <w:p w14:paraId="49332C84" w14:textId="3D260C72" w:rsidR="00711F5F" w:rsidRPr="00334FA3" w:rsidRDefault="00711F5F" w:rsidP="005C468A">
            <w:pPr>
              <w:contextualSpacing/>
              <w:rPr>
                <w:sz w:val="16"/>
                <w:szCs w:val="16"/>
              </w:rPr>
            </w:pPr>
            <w:r w:rsidRPr="00605D5C">
              <w:rPr>
                <w:rFonts w:ascii="Arial" w:hAnsi="Arial" w:cs="Arial"/>
                <w:b/>
              </w:rPr>
              <w:t>x</w:t>
            </w:r>
          </w:p>
        </w:tc>
      </w:tr>
      <w:tr w:rsidR="00711F5F" w:rsidRPr="00605D5C" w14:paraId="3D7FFD3D" w14:textId="77777777" w:rsidTr="00E37B65">
        <w:tc>
          <w:tcPr>
            <w:tcW w:w="1267" w:type="pct"/>
            <w:shd w:val="clear" w:color="auto" w:fill="D9D9D9" w:themeFill="background1" w:themeFillShade="D9"/>
          </w:tcPr>
          <w:p w14:paraId="08688C8F" w14:textId="77777777" w:rsidR="00711F5F" w:rsidRPr="00605D5C" w:rsidRDefault="00711F5F" w:rsidP="005C468A">
            <w:pPr>
              <w:spacing w:after="120"/>
              <w:contextualSpacing/>
              <w:rPr>
                <w:rFonts w:ascii="Arial" w:hAnsi="Arial" w:cs="Arial"/>
                <w:b/>
              </w:rPr>
            </w:pPr>
            <w:r w:rsidRPr="00605D5C">
              <w:rPr>
                <w:rFonts w:ascii="Arial" w:hAnsi="Arial" w:cs="Arial"/>
                <w:b/>
              </w:rPr>
              <w:t>Assessment method</w:t>
            </w:r>
          </w:p>
        </w:tc>
        <w:tc>
          <w:tcPr>
            <w:tcW w:w="415" w:type="pct"/>
          </w:tcPr>
          <w:p w14:paraId="461FE1A8" w14:textId="77777777" w:rsidR="00711F5F" w:rsidRPr="00605D5C" w:rsidRDefault="00711F5F" w:rsidP="005C468A">
            <w:pPr>
              <w:spacing w:after="120"/>
              <w:contextualSpacing/>
              <w:rPr>
                <w:rFonts w:ascii="Arial" w:hAnsi="Arial" w:cs="Arial"/>
                <w:b/>
              </w:rPr>
            </w:pPr>
          </w:p>
        </w:tc>
        <w:tc>
          <w:tcPr>
            <w:tcW w:w="415" w:type="pct"/>
          </w:tcPr>
          <w:p w14:paraId="5020BE1A" w14:textId="77777777" w:rsidR="00711F5F" w:rsidRPr="00605D5C" w:rsidRDefault="00711F5F" w:rsidP="005C468A">
            <w:pPr>
              <w:spacing w:after="120"/>
              <w:contextualSpacing/>
              <w:rPr>
                <w:rFonts w:ascii="Arial" w:hAnsi="Arial" w:cs="Arial"/>
                <w:b/>
              </w:rPr>
            </w:pPr>
          </w:p>
        </w:tc>
        <w:tc>
          <w:tcPr>
            <w:tcW w:w="415" w:type="pct"/>
          </w:tcPr>
          <w:p w14:paraId="1329BDA5" w14:textId="77777777" w:rsidR="00711F5F" w:rsidRPr="00605D5C" w:rsidRDefault="00711F5F" w:rsidP="005C468A">
            <w:pPr>
              <w:spacing w:after="120"/>
              <w:contextualSpacing/>
              <w:rPr>
                <w:rFonts w:ascii="Arial" w:hAnsi="Arial" w:cs="Arial"/>
                <w:b/>
              </w:rPr>
            </w:pPr>
          </w:p>
        </w:tc>
        <w:tc>
          <w:tcPr>
            <w:tcW w:w="415" w:type="pct"/>
          </w:tcPr>
          <w:p w14:paraId="435D2062" w14:textId="77777777" w:rsidR="00711F5F" w:rsidRPr="00605D5C" w:rsidRDefault="00711F5F" w:rsidP="005C468A">
            <w:pPr>
              <w:spacing w:after="120"/>
              <w:contextualSpacing/>
              <w:rPr>
                <w:rFonts w:ascii="Arial" w:hAnsi="Arial" w:cs="Arial"/>
                <w:b/>
              </w:rPr>
            </w:pPr>
          </w:p>
        </w:tc>
        <w:tc>
          <w:tcPr>
            <w:tcW w:w="415" w:type="pct"/>
          </w:tcPr>
          <w:p w14:paraId="2A12810B" w14:textId="77777777" w:rsidR="00711F5F" w:rsidRPr="00605D5C" w:rsidRDefault="00711F5F" w:rsidP="005C468A">
            <w:pPr>
              <w:spacing w:after="120"/>
              <w:contextualSpacing/>
              <w:rPr>
                <w:rFonts w:ascii="Arial" w:hAnsi="Arial" w:cs="Arial"/>
                <w:b/>
              </w:rPr>
            </w:pPr>
          </w:p>
        </w:tc>
        <w:tc>
          <w:tcPr>
            <w:tcW w:w="415" w:type="pct"/>
          </w:tcPr>
          <w:p w14:paraId="5AD1C0ED" w14:textId="77777777" w:rsidR="00711F5F" w:rsidRPr="00605D5C" w:rsidRDefault="00711F5F" w:rsidP="005C468A">
            <w:pPr>
              <w:spacing w:after="120"/>
              <w:contextualSpacing/>
              <w:rPr>
                <w:rFonts w:ascii="Arial" w:hAnsi="Arial" w:cs="Arial"/>
                <w:b/>
              </w:rPr>
            </w:pPr>
          </w:p>
        </w:tc>
        <w:tc>
          <w:tcPr>
            <w:tcW w:w="415" w:type="pct"/>
          </w:tcPr>
          <w:p w14:paraId="1558EEA9" w14:textId="67C3BA5F" w:rsidR="00711F5F" w:rsidRPr="00605D5C" w:rsidRDefault="00711F5F" w:rsidP="005C468A">
            <w:pPr>
              <w:spacing w:after="120"/>
              <w:contextualSpacing/>
              <w:rPr>
                <w:rFonts w:ascii="Arial" w:hAnsi="Arial" w:cs="Arial"/>
                <w:b/>
              </w:rPr>
            </w:pPr>
          </w:p>
        </w:tc>
        <w:tc>
          <w:tcPr>
            <w:tcW w:w="415" w:type="pct"/>
          </w:tcPr>
          <w:p w14:paraId="0FC88D22" w14:textId="77777777" w:rsidR="00711F5F" w:rsidRPr="00605D5C" w:rsidRDefault="00711F5F" w:rsidP="005C468A">
            <w:pPr>
              <w:spacing w:after="120"/>
              <w:contextualSpacing/>
              <w:rPr>
                <w:rFonts w:ascii="Arial" w:hAnsi="Arial" w:cs="Arial"/>
                <w:b/>
              </w:rPr>
            </w:pPr>
          </w:p>
        </w:tc>
        <w:tc>
          <w:tcPr>
            <w:tcW w:w="413" w:type="pct"/>
          </w:tcPr>
          <w:p w14:paraId="1BDB0C9F" w14:textId="77777777" w:rsidR="00711F5F" w:rsidRPr="00334FA3" w:rsidRDefault="00711F5F" w:rsidP="005C468A">
            <w:pPr>
              <w:spacing w:after="120"/>
              <w:contextualSpacing/>
              <w:rPr>
                <w:rFonts w:ascii="Arial" w:hAnsi="Arial" w:cs="Arial"/>
                <w:b/>
                <w:sz w:val="16"/>
                <w:szCs w:val="16"/>
              </w:rPr>
            </w:pPr>
          </w:p>
        </w:tc>
      </w:tr>
      <w:tr w:rsidR="00711F5F" w:rsidRPr="00605D5C" w14:paraId="60BEE4D2" w14:textId="77777777" w:rsidTr="00E37B65">
        <w:tc>
          <w:tcPr>
            <w:tcW w:w="1267" w:type="pct"/>
          </w:tcPr>
          <w:p w14:paraId="7222DFF4" w14:textId="2320D921" w:rsidR="00711F5F" w:rsidRPr="00605D5C" w:rsidRDefault="00711F5F" w:rsidP="005C468A">
            <w:pPr>
              <w:spacing w:after="120"/>
              <w:contextualSpacing/>
              <w:rPr>
                <w:rFonts w:ascii="Arial" w:hAnsi="Arial" w:cs="Arial"/>
                <w:i/>
              </w:rPr>
            </w:pPr>
            <w:r>
              <w:rPr>
                <w:rFonts w:ascii="Arial" w:hAnsi="Arial" w:cs="Arial"/>
                <w:i/>
              </w:rPr>
              <w:t>Group Report (2000 words)</w:t>
            </w:r>
          </w:p>
        </w:tc>
        <w:tc>
          <w:tcPr>
            <w:tcW w:w="415" w:type="pct"/>
          </w:tcPr>
          <w:p w14:paraId="12EC0A28" w14:textId="77777777" w:rsidR="00711F5F" w:rsidRPr="00605D5C" w:rsidRDefault="00711F5F" w:rsidP="005C468A">
            <w:pPr>
              <w:contextualSpacing/>
            </w:pPr>
            <w:r w:rsidRPr="00605D5C">
              <w:rPr>
                <w:rFonts w:ascii="Arial" w:hAnsi="Arial" w:cs="Arial"/>
                <w:b/>
              </w:rPr>
              <w:t>x</w:t>
            </w:r>
          </w:p>
        </w:tc>
        <w:tc>
          <w:tcPr>
            <w:tcW w:w="415" w:type="pct"/>
          </w:tcPr>
          <w:p w14:paraId="044E4B8B" w14:textId="77777777" w:rsidR="00711F5F" w:rsidRPr="00605D5C" w:rsidRDefault="00711F5F" w:rsidP="005C468A">
            <w:pPr>
              <w:contextualSpacing/>
            </w:pPr>
            <w:r w:rsidRPr="00605D5C">
              <w:rPr>
                <w:rFonts w:ascii="Arial" w:hAnsi="Arial" w:cs="Arial"/>
                <w:b/>
              </w:rPr>
              <w:t>x</w:t>
            </w:r>
          </w:p>
        </w:tc>
        <w:tc>
          <w:tcPr>
            <w:tcW w:w="415" w:type="pct"/>
          </w:tcPr>
          <w:p w14:paraId="4AB4D103" w14:textId="77777777" w:rsidR="00711F5F" w:rsidRPr="00605D5C" w:rsidRDefault="00711F5F" w:rsidP="005C468A">
            <w:pPr>
              <w:contextualSpacing/>
            </w:pPr>
            <w:r>
              <w:rPr>
                <w:rFonts w:ascii="Arial" w:hAnsi="Arial" w:cs="Arial"/>
                <w:b/>
              </w:rPr>
              <w:t>x</w:t>
            </w:r>
          </w:p>
        </w:tc>
        <w:tc>
          <w:tcPr>
            <w:tcW w:w="415" w:type="pct"/>
          </w:tcPr>
          <w:p w14:paraId="15C33ECD" w14:textId="77777777" w:rsidR="00711F5F" w:rsidRPr="00605D5C" w:rsidRDefault="00711F5F" w:rsidP="005C468A">
            <w:pPr>
              <w:contextualSpacing/>
            </w:pPr>
            <w:r w:rsidRPr="00605D5C">
              <w:rPr>
                <w:rFonts w:ascii="Arial" w:hAnsi="Arial" w:cs="Arial"/>
                <w:b/>
              </w:rPr>
              <w:t>x</w:t>
            </w:r>
          </w:p>
        </w:tc>
        <w:tc>
          <w:tcPr>
            <w:tcW w:w="415" w:type="pct"/>
          </w:tcPr>
          <w:p w14:paraId="0773EAE4" w14:textId="1B3261D3" w:rsidR="00711F5F" w:rsidRPr="00605D5C" w:rsidRDefault="00711F5F" w:rsidP="005C468A">
            <w:pPr>
              <w:contextualSpacing/>
              <w:rPr>
                <w:rFonts w:ascii="Arial" w:hAnsi="Arial" w:cs="Arial"/>
                <w:b/>
              </w:rPr>
            </w:pPr>
            <w:r w:rsidRPr="00605D5C">
              <w:rPr>
                <w:rFonts w:ascii="Arial" w:hAnsi="Arial" w:cs="Arial"/>
                <w:b/>
              </w:rPr>
              <w:t>x</w:t>
            </w:r>
          </w:p>
        </w:tc>
        <w:tc>
          <w:tcPr>
            <w:tcW w:w="415" w:type="pct"/>
          </w:tcPr>
          <w:p w14:paraId="1519D9AE" w14:textId="35E965FC" w:rsidR="00711F5F" w:rsidRPr="00605D5C" w:rsidRDefault="00711F5F" w:rsidP="005C468A">
            <w:pPr>
              <w:contextualSpacing/>
              <w:rPr>
                <w:rFonts w:ascii="Arial" w:hAnsi="Arial" w:cs="Arial"/>
                <w:b/>
              </w:rPr>
            </w:pPr>
          </w:p>
        </w:tc>
        <w:tc>
          <w:tcPr>
            <w:tcW w:w="415" w:type="pct"/>
          </w:tcPr>
          <w:p w14:paraId="05C9AA95" w14:textId="3BE32BF3" w:rsidR="00711F5F" w:rsidRPr="00605D5C" w:rsidRDefault="00711F5F" w:rsidP="005C468A">
            <w:pPr>
              <w:contextualSpacing/>
            </w:pPr>
            <w:r w:rsidRPr="00605D5C">
              <w:rPr>
                <w:rFonts w:ascii="Arial" w:hAnsi="Arial" w:cs="Arial"/>
                <w:b/>
              </w:rPr>
              <w:t>x</w:t>
            </w:r>
          </w:p>
        </w:tc>
        <w:tc>
          <w:tcPr>
            <w:tcW w:w="415" w:type="pct"/>
          </w:tcPr>
          <w:p w14:paraId="24A1CACE" w14:textId="77777777" w:rsidR="00711F5F" w:rsidRPr="00605D5C" w:rsidRDefault="00711F5F" w:rsidP="005C468A">
            <w:pPr>
              <w:contextualSpacing/>
            </w:pPr>
            <w:r w:rsidRPr="00605D5C">
              <w:rPr>
                <w:rFonts w:ascii="Arial" w:hAnsi="Arial" w:cs="Arial"/>
                <w:b/>
              </w:rPr>
              <w:t>x</w:t>
            </w:r>
          </w:p>
        </w:tc>
        <w:tc>
          <w:tcPr>
            <w:tcW w:w="413" w:type="pct"/>
          </w:tcPr>
          <w:p w14:paraId="6DEE0EE9" w14:textId="7DC9E562" w:rsidR="00711F5F" w:rsidRPr="00334FA3" w:rsidRDefault="00711F5F" w:rsidP="005C468A">
            <w:pPr>
              <w:contextualSpacing/>
              <w:rPr>
                <w:sz w:val="16"/>
                <w:szCs w:val="16"/>
              </w:rPr>
            </w:pPr>
            <w:r w:rsidRPr="00605D5C">
              <w:rPr>
                <w:rFonts w:ascii="Arial" w:hAnsi="Arial" w:cs="Arial"/>
                <w:b/>
              </w:rPr>
              <w:t>x</w:t>
            </w:r>
          </w:p>
        </w:tc>
      </w:tr>
      <w:tr w:rsidR="00711F5F" w:rsidRPr="00605D5C" w14:paraId="748BB3ED" w14:textId="77777777" w:rsidTr="00E37B65">
        <w:tc>
          <w:tcPr>
            <w:tcW w:w="1267" w:type="pct"/>
          </w:tcPr>
          <w:p w14:paraId="165D46F3" w14:textId="77777777" w:rsidR="00711F5F" w:rsidRPr="00465DA7" w:rsidRDefault="00711F5F" w:rsidP="005C468A">
            <w:pPr>
              <w:spacing w:after="120"/>
              <w:contextualSpacing/>
              <w:rPr>
                <w:rFonts w:ascii="Arial" w:hAnsi="Arial" w:cs="Arial"/>
                <w:i/>
              </w:rPr>
            </w:pPr>
            <w:r w:rsidRPr="00465DA7">
              <w:rPr>
                <w:rFonts w:ascii="Arial" w:hAnsi="Arial" w:cs="Arial"/>
                <w:i/>
              </w:rPr>
              <w:t>Examination – two-hour, unseen</w:t>
            </w:r>
          </w:p>
        </w:tc>
        <w:tc>
          <w:tcPr>
            <w:tcW w:w="415" w:type="pct"/>
          </w:tcPr>
          <w:p w14:paraId="6E3605E4" w14:textId="77777777" w:rsidR="00711F5F" w:rsidRPr="00605D5C" w:rsidRDefault="00711F5F" w:rsidP="005C468A">
            <w:pPr>
              <w:contextualSpacing/>
            </w:pPr>
            <w:r w:rsidRPr="00605D5C">
              <w:rPr>
                <w:rFonts w:ascii="Arial" w:hAnsi="Arial" w:cs="Arial"/>
                <w:b/>
              </w:rPr>
              <w:t>x</w:t>
            </w:r>
          </w:p>
        </w:tc>
        <w:tc>
          <w:tcPr>
            <w:tcW w:w="415" w:type="pct"/>
          </w:tcPr>
          <w:p w14:paraId="298CFB0F" w14:textId="77777777" w:rsidR="00711F5F" w:rsidRPr="00605D5C" w:rsidRDefault="00711F5F" w:rsidP="005C468A">
            <w:pPr>
              <w:contextualSpacing/>
            </w:pPr>
            <w:r w:rsidRPr="00605D5C">
              <w:rPr>
                <w:rFonts w:ascii="Arial" w:hAnsi="Arial" w:cs="Arial"/>
                <w:b/>
              </w:rPr>
              <w:t>x</w:t>
            </w:r>
          </w:p>
        </w:tc>
        <w:tc>
          <w:tcPr>
            <w:tcW w:w="415" w:type="pct"/>
          </w:tcPr>
          <w:p w14:paraId="20883269" w14:textId="77777777" w:rsidR="00711F5F" w:rsidRPr="00605D5C" w:rsidRDefault="00711F5F" w:rsidP="005C468A">
            <w:pPr>
              <w:contextualSpacing/>
            </w:pPr>
            <w:r>
              <w:rPr>
                <w:rFonts w:ascii="Arial" w:hAnsi="Arial" w:cs="Arial"/>
                <w:b/>
              </w:rPr>
              <w:t>x</w:t>
            </w:r>
          </w:p>
        </w:tc>
        <w:tc>
          <w:tcPr>
            <w:tcW w:w="415" w:type="pct"/>
          </w:tcPr>
          <w:p w14:paraId="2402B652" w14:textId="77777777" w:rsidR="00711F5F" w:rsidRPr="00605D5C" w:rsidRDefault="00711F5F" w:rsidP="005C468A">
            <w:pPr>
              <w:contextualSpacing/>
            </w:pPr>
            <w:r w:rsidRPr="00605D5C">
              <w:rPr>
                <w:rFonts w:ascii="Arial" w:hAnsi="Arial" w:cs="Arial"/>
                <w:b/>
              </w:rPr>
              <w:t>x</w:t>
            </w:r>
          </w:p>
        </w:tc>
        <w:tc>
          <w:tcPr>
            <w:tcW w:w="415" w:type="pct"/>
          </w:tcPr>
          <w:p w14:paraId="752832E0" w14:textId="6DA1537D"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468EE734" w14:textId="7608D4F0"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1377715E" w14:textId="1BC097DE" w:rsidR="00711F5F" w:rsidRPr="00605D5C" w:rsidRDefault="00711F5F" w:rsidP="005C468A">
            <w:pPr>
              <w:contextualSpacing/>
            </w:pPr>
            <w:r w:rsidRPr="00605D5C">
              <w:rPr>
                <w:rFonts w:ascii="Arial" w:hAnsi="Arial" w:cs="Arial"/>
                <w:b/>
              </w:rPr>
              <w:t>x</w:t>
            </w:r>
          </w:p>
        </w:tc>
        <w:tc>
          <w:tcPr>
            <w:tcW w:w="415" w:type="pct"/>
          </w:tcPr>
          <w:p w14:paraId="6844E8D4" w14:textId="77777777" w:rsidR="00711F5F" w:rsidRPr="00605D5C" w:rsidRDefault="00711F5F" w:rsidP="005C468A">
            <w:pPr>
              <w:contextualSpacing/>
            </w:pPr>
            <w:r w:rsidRPr="00605D5C">
              <w:rPr>
                <w:rFonts w:ascii="Arial" w:hAnsi="Arial" w:cs="Arial"/>
                <w:b/>
              </w:rPr>
              <w:t>x</w:t>
            </w:r>
          </w:p>
        </w:tc>
        <w:tc>
          <w:tcPr>
            <w:tcW w:w="413" w:type="pct"/>
          </w:tcPr>
          <w:p w14:paraId="36A50A5F" w14:textId="7ACDF90F" w:rsidR="00711F5F" w:rsidRPr="00605D5C" w:rsidRDefault="00711F5F" w:rsidP="005C468A">
            <w:pPr>
              <w:spacing w:after="120"/>
              <w:contextualSpacing/>
              <w:rPr>
                <w:rFonts w:ascii="Arial" w:hAnsi="Arial" w:cs="Arial"/>
                <w:b/>
              </w:rPr>
            </w:pPr>
          </w:p>
        </w:tc>
      </w:tr>
    </w:tbl>
    <w:p w14:paraId="2E828E00" w14:textId="03AC08A7" w:rsidR="007A6245" w:rsidRDefault="007A6245" w:rsidP="005C468A">
      <w:pPr>
        <w:spacing w:after="120" w:line="240" w:lineRule="auto"/>
        <w:ind w:left="426" w:right="260"/>
        <w:contextualSpacing/>
        <w:rPr>
          <w:rFonts w:ascii="Arial" w:hAnsi="Arial" w:cs="Arial"/>
          <w:b/>
          <w:iCs/>
        </w:rPr>
      </w:pPr>
    </w:p>
    <w:p w14:paraId="79D4AD01" w14:textId="48D2F191" w:rsidR="005C468A" w:rsidRDefault="005C468A" w:rsidP="005C468A">
      <w:pPr>
        <w:spacing w:after="120" w:line="240" w:lineRule="auto"/>
        <w:ind w:left="426" w:right="260"/>
        <w:contextualSpacing/>
        <w:rPr>
          <w:rFonts w:ascii="Arial" w:hAnsi="Arial" w:cs="Arial"/>
          <w:b/>
          <w:iCs/>
        </w:rPr>
      </w:pPr>
    </w:p>
    <w:p w14:paraId="5F8A2170" w14:textId="77777777" w:rsidR="005C468A" w:rsidRPr="00605D5C" w:rsidRDefault="005C468A" w:rsidP="005C468A">
      <w:pPr>
        <w:spacing w:after="120" w:line="240" w:lineRule="auto"/>
        <w:ind w:left="426" w:right="260"/>
        <w:contextualSpacing/>
        <w:rPr>
          <w:rFonts w:ascii="Arial" w:hAnsi="Arial" w:cs="Arial"/>
          <w:b/>
          <w:iCs/>
        </w:rPr>
      </w:pPr>
    </w:p>
    <w:p w14:paraId="618E5610" w14:textId="77777777" w:rsidR="00D50113" w:rsidRPr="00605D5C" w:rsidRDefault="002A7F48" w:rsidP="005C468A">
      <w:pPr>
        <w:numPr>
          <w:ilvl w:val="0"/>
          <w:numId w:val="11"/>
        </w:numPr>
        <w:spacing w:after="120" w:line="240" w:lineRule="auto"/>
        <w:ind w:left="426" w:right="260" w:hanging="426"/>
        <w:contextualSpacing/>
        <w:jc w:val="both"/>
        <w:rPr>
          <w:rFonts w:ascii="Arial" w:hAnsi="Arial" w:cs="Arial"/>
          <w:iCs/>
        </w:rPr>
      </w:pPr>
      <w:r w:rsidRPr="00605D5C">
        <w:rPr>
          <w:rFonts w:ascii="Arial" w:hAnsi="Arial" w:cs="Arial"/>
          <w:b/>
          <w:bCs/>
        </w:rPr>
        <w:t>Inclusive m</w:t>
      </w:r>
      <w:r w:rsidR="00D50113" w:rsidRPr="00605D5C">
        <w:rPr>
          <w:rFonts w:ascii="Arial" w:hAnsi="Arial" w:cs="Arial"/>
          <w:b/>
          <w:bCs/>
        </w:rPr>
        <w:t xml:space="preserve">odule </w:t>
      </w:r>
      <w:r w:rsidRPr="00605D5C">
        <w:rPr>
          <w:rFonts w:ascii="Arial" w:hAnsi="Arial" w:cs="Arial"/>
          <w:b/>
          <w:bCs/>
        </w:rPr>
        <w:t>d</w:t>
      </w:r>
      <w:r w:rsidR="00D50113" w:rsidRPr="00605D5C">
        <w:rPr>
          <w:rFonts w:ascii="Arial" w:hAnsi="Arial" w:cs="Arial"/>
          <w:b/>
          <w:bCs/>
        </w:rPr>
        <w:t xml:space="preserve">esign </w:t>
      </w:r>
    </w:p>
    <w:p w14:paraId="2C888944"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rPr>
      </w:pPr>
      <w:r w:rsidRPr="00605D5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06CD4C"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rPr>
      </w:pPr>
      <w:r w:rsidRPr="00605D5C">
        <w:rPr>
          <w:rFonts w:ascii="Arial" w:hAnsi="Arial" w:cs="Arial"/>
        </w:rPr>
        <w:t>The inclusive practices in the guidance (see Annex B Appendix A) have been considered in order to support all students in the following areas:</w:t>
      </w:r>
    </w:p>
    <w:p w14:paraId="58FE9D0C"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bCs/>
        </w:rPr>
      </w:pPr>
      <w:r w:rsidRPr="00605D5C">
        <w:rPr>
          <w:rFonts w:ascii="Arial" w:hAnsi="Arial" w:cs="Arial"/>
        </w:rPr>
        <w:t xml:space="preserve">a) </w:t>
      </w:r>
      <w:r w:rsidRPr="00605D5C">
        <w:rPr>
          <w:rFonts w:ascii="Arial" w:hAnsi="Arial" w:cs="Arial"/>
          <w:bCs/>
        </w:rPr>
        <w:t>Accessible resources and curriculum</w:t>
      </w:r>
    </w:p>
    <w:p w14:paraId="3ADBB74B" w14:textId="4F02A0BD" w:rsidR="00D50113" w:rsidRDefault="00D50113" w:rsidP="005C468A">
      <w:pPr>
        <w:tabs>
          <w:tab w:val="left" w:pos="567"/>
        </w:tabs>
        <w:autoSpaceDE w:val="0"/>
        <w:autoSpaceDN w:val="0"/>
        <w:adjustRightInd w:val="0"/>
        <w:spacing w:after="120" w:line="240" w:lineRule="auto"/>
        <w:ind w:left="426" w:right="260"/>
        <w:contextualSpacing/>
        <w:jc w:val="both"/>
        <w:rPr>
          <w:rFonts w:ascii="Arial" w:hAnsi="Arial" w:cs="Arial"/>
          <w:bCs/>
        </w:rPr>
      </w:pPr>
      <w:r w:rsidRPr="00605D5C">
        <w:rPr>
          <w:rFonts w:ascii="Arial" w:hAnsi="Arial" w:cs="Arial"/>
        </w:rPr>
        <w:t xml:space="preserve">b) </w:t>
      </w:r>
      <w:r w:rsidRPr="00605D5C">
        <w:rPr>
          <w:rFonts w:ascii="Arial" w:hAnsi="Arial" w:cs="Arial"/>
          <w:bCs/>
        </w:rPr>
        <w:t>Learning</w:t>
      </w:r>
      <w:r w:rsidR="00D54F04" w:rsidRPr="00605D5C">
        <w:rPr>
          <w:rFonts w:ascii="Arial" w:hAnsi="Arial" w:cs="Arial"/>
          <w:bCs/>
        </w:rPr>
        <w:t>,</w:t>
      </w:r>
      <w:r w:rsidRPr="00605D5C">
        <w:rPr>
          <w:rFonts w:ascii="Arial" w:hAnsi="Arial" w:cs="Arial"/>
          <w:bCs/>
        </w:rPr>
        <w:t xml:space="preserve"> teaching and assessment methods</w:t>
      </w:r>
    </w:p>
    <w:p w14:paraId="32DD6381" w14:textId="77777777" w:rsidR="005C468A" w:rsidRDefault="005C468A" w:rsidP="005C468A">
      <w:pPr>
        <w:tabs>
          <w:tab w:val="left" w:pos="567"/>
        </w:tabs>
        <w:autoSpaceDE w:val="0"/>
        <w:autoSpaceDN w:val="0"/>
        <w:adjustRightInd w:val="0"/>
        <w:spacing w:after="120" w:line="240" w:lineRule="auto"/>
        <w:ind w:left="426" w:right="260"/>
        <w:contextualSpacing/>
        <w:jc w:val="both"/>
        <w:rPr>
          <w:rFonts w:ascii="Arial" w:hAnsi="Arial" w:cs="Arial"/>
          <w:bCs/>
        </w:rPr>
      </w:pPr>
    </w:p>
    <w:p w14:paraId="786B6F1B" w14:textId="77777777" w:rsidR="005D1A1E" w:rsidRPr="00605D5C" w:rsidRDefault="002A7F48" w:rsidP="005C468A">
      <w:pPr>
        <w:numPr>
          <w:ilvl w:val="0"/>
          <w:numId w:val="11"/>
        </w:numPr>
        <w:spacing w:after="120" w:line="240" w:lineRule="auto"/>
        <w:ind w:left="426" w:right="260" w:hanging="426"/>
        <w:contextualSpacing/>
        <w:jc w:val="both"/>
        <w:rPr>
          <w:rFonts w:ascii="Arial" w:hAnsi="Arial" w:cs="Arial"/>
          <w:b/>
        </w:rPr>
      </w:pPr>
      <w:r w:rsidRPr="00605D5C">
        <w:rPr>
          <w:rFonts w:ascii="Arial" w:hAnsi="Arial" w:cs="Arial"/>
          <w:b/>
        </w:rPr>
        <w:t>Campus(es) or c</w:t>
      </w:r>
      <w:r w:rsidR="009A2D37" w:rsidRPr="00605D5C">
        <w:rPr>
          <w:rFonts w:ascii="Arial" w:hAnsi="Arial" w:cs="Arial"/>
          <w:b/>
        </w:rPr>
        <w:t>entre(s) w</w:t>
      </w:r>
      <w:r w:rsidRPr="00605D5C">
        <w:rPr>
          <w:rFonts w:ascii="Arial" w:hAnsi="Arial" w:cs="Arial"/>
          <w:b/>
        </w:rPr>
        <w:t>here module will be delivered</w:t>
      </w:r>
    </w:p>
    <w:p w14:paraId="4C92557F" w14:textId="4C36CF51" w:rsidR="002A7F48" w:rsidRDefault="005D1A1E" w:rsidP="005C468A">
      <w:pPr>
        <w:spacing w:after="120" w:line="240" w:lineRule="auto"/>
        <w:ind w:left="426" w:right="260"/>
        <w:contextualSpacing/>
        <w:jc w:val="both"/>
        <w:rPr>
          <w:rFonts w:ascii="Arial" w:hAnsi="Arial" w:cs="Arial"/>
        </w:rPr>
      </w:pPr>
      <w:r w:rsidRPr="00605D5C">
        <w:rPr>
          <w:rFonts w:ascii="Arial" w:hAnsi="Arial" w:cs="Arial"/>
        </w:rPr>
        <w:t xml:space="preserve">Medway </w:t>
      </w:r>
    </w:p>
    <w:p w14:paraId="6DBC43E5" w14:textId="77777777" w:rsidR="005C468A" w:rsidRDefault="005C468A" w:rsidP="005C468A">
      <w:pPr>
        <w:spacing w:after="120" w:line="240" w:lineRule="auto"/>
        <w:ind w:left="426" w:right="260"/>
        <w:contextualSpacing/>
        <w:jc w:val="both"/>
        <w:rPr>
          <w:rFonts w:ascii="Arial" w:hAnsi="Arial" w:cs="Arial"/>
        </w:rPr>
      </w:pPr>
    </w:p>
    <w:p w14:paraId="4234D51E" w14:textId="77777777" w:rsidR="002A7F48" w:rsidRPr="00605D5C" w:rsidRDefault="002A7F48" w:rsidP="005C468A">
      <w:pPr>
        <w:numPr>
          <w:ilvl w:val="0"/>
          <w:numId w:val="11"/>
        </w:numPr>
        <w:spacing w:after="120" w:line="240" w:lineRule="auto"/>
        <w:ind w:left="425" w:right="261" w:hanging="426"/>
        <w:contextualSpacing/>
        <w:jc w:val="both"/>
        <w:rPr>
          <w:rFonts w:ascii="Arial" w:hAnsi="Arial" w:cs="Arial"/>
          <w:b/>
        </w:rPr>
      </w:pPr>
      <w:r w:rsidRPr="00605D5C">
        <w:rPr>
          <w:rFonts w:ascii="Arial" w:hAnsi="Arial" w:cs="Arial"/>
          <w:b/>
        </w:rPr>
        <w:t xml:space="preserve">Internationalisation </w:t>
      </w:r>
    </w:p>
    <w:p w14:paraId="7FE0A4E7" w14:textId="71A0DE82" w:rsidR="00FC0AF6" w:rsidRDefault="00100018" w:rsidP="005C468A">
      <w:pPr>
        <w:autoSpaceDE w:val="0"/>
        <w:autoSpaceDN w:val="0"/>
        <w:adjustRightInd w:val="0"/>
        <w:spacing w:after="120" w:line="240" w:lineRule="auto"/>
        <w:ind w:left="425" w:right="261"/>
        <w:contextualSpacing/>
        <w:jc w:val="both"/>
        <w:rPr>
          <w:rFonts w:ascii="Arial" w:hAnsi="Arial" w:cs="Arial"/>
        </w:rPr>
      </w:pPr>
      <w:r>
        <w:rPr>
          <w:rFonts w:ascii="Arial" w:hAnsi="Arial" w:cs="Arial"/>
        </w:rPr>
        <w:t>L</w:t>
      </w:r>
      <w:r w:rsidR="001352B2" w:rsidRPr="001352B2">
        <w:rPr>
          <w:rFonts w:ascii="Arial" w:hAnsi="Arial" w:cs="Arial"/>
        </w:rPr>
        <w:t xml:space="preserve">ectures notes and seminar questions </w:t>
      </w:r>
      <w:r>
        <w:rPr>
          <w:rFonts w:ascii="Arial" w:hAnsi="Arial" w:cs="Arial"/>
        </w:rPr>
        <w:t xml:space="preserve">will be based on financial information (asset classes, financial securities, trading processes, etc.) collected from financial markets in various countries. </w:t>
      </w:r>
    </w:p>
    <w:p w14:paraId="438520E8" w14:textId="77777777" w:rsidR="005C468A" w:rsidRPr="00605D5C" w:rsidRDefault="005C468A" w:rsidP="005C468A">
      <w:pPr>
        <w:autoSpaceDE w:val="0"/>
        <w:autoSpaceDN w:val="0"/>
        <w:adjustRightInd w:val="0"/>
        <w:spacing w:after="120" w:line="240" w:lineRule="auto"/>
        <w:ind w:left="425" w:right="261"/>
        <w:contextualSpacing/>
        <w:jc w:val="both"/>
        <w:rPr>
          <w:rFonts w:ascii="Arial" w:hAnsi="Arial" w:cs="Arial"/>
        </w:rPr>
      </w:pPr>
      <w:bookmarkStart w:id="0" w:name="_GoBack"/>
      <w:bookmarkEnd w:id="0"/>
    </w:p>
    <w:p w14:paraId="2AF2EDAA" w14:textId="77777777" w:rsidR="00641D6D" w:rsidRPr="00605D5C" w:rsidRDefault="00641D6D" w:rsidP="005C468A">
      <w:pPr>
        <w:pBdr>
          <w:bottom w:val="single" w:sz="6" w:space="1" w:color="auto"/>
        </w:pBdr>
        <w:spacing w:after="120" w:line="240" w:lineRule="auto"/>
        <w:ind w:right="261"/>
        <w:contextualSpacing/>
        <w:rPr>
          <w:rFonts w:ascii="Arial" w:hAnsi="Arial" w:cs="Arial"/>
        </w:rPr>
      </w:pPr>
    </w:p>
    <w:p w14:paraId="44946BEC" w14:textId="77777777" w:rsidR="00441E76" w:rsidRPr="00605D5C" w:rsidRDefault="00422B69" w:rsidP="005C468A">
      <w:pPr>
        <w:spacing w:after="120" w:line="240" w:lineRule="auto"/>
        <w:ind w:right="260"/>
        <w:contextualSpacing/>
        <w:rPr>
          <w:rFonts w:ascii="Arial" w:hAnsi="Arial" w:cs="Arial"/>
          <w:b/>
          <w:sz w:val="20"/>
        </w:rPr>
      </w:pPr>
      <w:r w:rsidRPr="00605D5C">
        <w:rPr>
          <w:rFonts w:ascii="Arial" w:hAnsi="Arial" w:cs="Arial"/>
          <w:b/>
          <w:sz w:val="20"/>
        </w:rPr>
        <w:t>FACULTIES SUPPORT OFFICE</w:t>
      </w:r>
      <w:r w:rsidR="00441E76" w:rsidRPr="00605D5C">
        <w:rPr>
          <w:rFonts w:ascii="Arial" w:hAnsi="Arial" w:cs="Arial"/>
          <w:b/>
          <w:sz w:val="20"/>
        </w:rPr>
        <w:t xml:space="preserve"> USE ONLY</w:t>
      </w:r>
      <w:r w:rsidR="00C612A8" w:rsidRPr="00605D5C">
        <w:rPr>
          <w:rFonts w:ascii="Arial" w:hAnsi="Arial" w:cs="Arial"/>
          <w:b/>
          <w:sz w:val="20"/>
        </w:rPr>
        <w:t xml:space="preserve"> </w:t>
      </w:r>
    </w:p>
    <w:p w14:paraId="0CFD1C6C" w14:textId="77777777" w:rsidR="00D83563" w:rsidRPr="00605D5C" w:rsidRDefault="00D83563" w:rsidP="005C468A">
      <w:pPr>
        <w:spacing w:after="120" w:line="240" w:lineRule="auto"/>
        <w:ind w:right="260"/>
        <w:contextualSpacing/>
        <w:rPr>
          <w:rFonts w:ascii="Arial" w:hAnsi="Arial" w:cs="Arial"/>
          <w:b/>
          <w:sz w:val="20"/>
        </w:rPr>
      </w:pPr>
      <w:r w:rsidRPr="00605D5C">
        <w:rPr>
          <w:rFonts w:ascii="Arial" w:hAnsi="Arial" w:cs="Arial"/>
          <w:b/>
          <w:sz w:val="20"/>
        </w:rPr>
        <w:t>Revision record – all revisions must be recorded in the grid and full details of the change retained in the appropriate committee records.</w:t>
      </w:r>
    </w:p>
    <w:p w14:paraId="65380CFC" w14:textId="36100232" w:rsidR="00422B69" w:rsidRPr="00605D5C" w:rsidRDefault="00422B69" w:rsidP="005C468A">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5D5C" w:rsidRPr="00605D5C" w14:paraId="37F1148B" w14:textId="77777777" w:rsidTr="00694309">
        <w:trPr>
          <w:trHeight w:val="317"/>
        </w:trPr>
        <w:tc>
          <w:tcPr>
            <w:tcW w:w="1526" w:type="dxa"/>
          </w:tcPr>
          <w:p w14:paraId="325710C4"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Date approved</w:t>
            </w:r>
          </w:p>
        </w:tc>
        <w:tc>
          <w:tcPr>
            <w:tcW w:w="1701" w:type="dxa"/>
          </w:tcPr>
          <w:p w14:paraId="512AF449" w14:textId="77777777" w:rsidR="00422B69" w:rsidRPr="00605D5C" w:rsidRDefault="00422B69" w:rsidP="005C468A">
            <w:pPr>
              <w:spacing w:after="120"/>
              <w:contextualSpacing/>
              <w:rPr>
                <w:rFonts w:ascii="Arial" w:hAnsi="Arial" w:cs="Arial"/>
                <w:sz w:val="18"/>
              </w:rPr>
            </w:pPr>
            <w:r w:rsidRPr="00605D5C">
              <w:rPr>
                <w:rFonts w:ascii="Arial" w:hAnsi="Arial" w:cs="Arial"/>
                <w:sz w:val="18"/>
              </w:rPr>
              <w:t>Major/minor revision</w:t>
            </w:r>
          </w:p>
        </w:tc>
        <w:tc>
          <w:tcPr>
            <w:tcW w:w="2410" w:type="dxa"/>
          </w:tcPr>
          <w:p w14:paraId="77EA807D" w14:textId="77777777" w:rsidR="00422B69" w:rsidRPr="00605D5C" w:rsidRDefault="00422B69" w:rsidP="005C468A">
            <w:pPr>
              <w:spacing w:after="120"/>
              <w:ind w:right="-34"/>
              <w:contextualSpacing/>
              <w:rPr>
                <w:rFonts w:ascii="Arial" w:hAnsi="Arial" w:cs="Arial"/>
                <w:sz w:val="18"/>
              </w:rPr>
            </w:pPr>
            <w:r w:rsidRPr="00605D5C">
              <w:rPr>
                <w:rFonts w:ascii="Arial" w:hAnsi="Arial" w:cs="Arial"/>
                <w:sz w:val="18"/>
              </w:rPr>
              <w:t>Start date of the delivery of  revised version</w:t>
            </w:r>
          </w:p>
        </w:tc>
        <w:tc>
          <w:tcPr>
            <w:tcW w:w="2448" w:type="dxa"/>
          </w:tcPr>
          <w:p w14:paraId="7A5031CB"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Section revised</w:t>
            </w:r>
          </w:p>
        </w:tc>
        <w:tc>
          <w:tcPr>
            <w:tcW w:w="2597" w:type="dxa"/>
          </w:tcPr>
          <w:p w14:paraId="719338A5"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Impacts PLOs</w:t>
            </w:r>
            <w:r w:rsidR="00694309" w:rsidRPr="00605D5C">
              <w:rPr>
                <w:rFonts w:ascii="Arial" w:hAnsi="Arial" w:cs="Arial"/>
                <w:sz w:val="18"/>
              </w:rPr>
              <w:t xml:space="preserve"> (</w:t>
            </w:r>
            <w:r w:rsidR="001A425B" w:rsidRPr="00605D5C">
              <w:rPr>
                <w:rFonts w:ascii="Arial" w:hAnsi="Arial" w:cs="Arial"/>
                <w:sz w:val="18"/>
              </w:rPr>
              <w:t>Q6&amp;7 cover sheet)</w:t>
            </w:r>
          </w:p>
        </w:tc>
      </w:tr>
      <w:tr w:rsidR="00605D5C" w:rsidRPr="00605D5C" w14:paraId="155325C9" w14:textId="77777777" w:rsidTr="00694309">
        <w:trPr>
          <w:trHeight w:val="305"/>
        </w:trPr>
        <w:tc>
          <w:tcPr>
            <w:tcW w:w="1526" w:type="dxa"/>
          </w:tcPr>
          <w:p w14:paraId="36ADE30D" w14:textId="77777777" w:rsidR="00422B69" w:rsidRPr="00605D5C" w:rsidRDefault="00422B69" w:rsidP="005C468A">
            <w:pPr>
              <w:spacing w:after="120"/>
              <w:ind w:right="-330"/>
              <w:contextualSpacing/>
              <w:rPr>
                <w:rFonts w:ascii="Arial" w:hAnsi="Arial" w:cs="Arial"/>
              </w:rPr>
            </w:pPr>
          </w:p>
        </w:tc>
        <w:tc>
          <w:tcPr>
            <w:tcW w:w="1701" w:type="dxa"/>
          </w:tcPr>
          <w:p w14:paraId="47EC394C" w14:textId="77777777" w:rsidR="00422B69" w:rsidRPr="00605D5C" w:rsidRDefault="00422B69" w:rsidP="005C468A">
            <w:pPr>
              <w:spacing w:after="120"/>
              <w:ind w:right="-330"/>
              <w:contextualSpacing/>
              <w:rPr>
                <w:rFonts w:ascii="Arial" w:hAnsi="Arial" w:cs="Arial"/>
              </w:rPr>
            </w:pPr>
          </w:p>
        </w:tc>
        <w:tc>
          <w:tcPr>
            <w:tcW w:w="2410" w:type="dxa"/>
          </w:tcPr>
          <w:p w14:paraId="4C5EEEB4" w14:textId="77777777" w:rsidR="00422B69" w:rsidRPr="00605D5C" w:rsidRDefault="00422B69" w:rsidP="005C468A">
            <w:pPr>
              <w:spacing w:after="120"/>
              <w:ind w:right="-330"/>
              <w:contextualSpacing/>
              <w:rPr>
                <w:rFonts w:ascii="Arial" w:hAnsi="Arial" w:cs="Arial"/>
              </w:rPr>
            </w:pPr>
          </w:p>
        </w:tc>
        <w:tc>
          <w:tcPr>
            <w:tcW w:w="2448" w:type="dxa"/>
          </w:tcPr>
          <w:p w14:paraId="70F83DEA" w14:textId="77777777" w:rsidR="00422B69" w:rsidRPr="00605D5C" w:rsidRDefault="00422B69" w:rsidP="005C468A">
            <w:pPr>
              <w:spacing w:after="120"/>
              <w:ind w:right="-330"/>
              <w:contextualSpacing/>
              <w:rPr>
                <w:rFonts w:ascii="Arial" w:hAnsi="Arial" w:cs="Arial"/>
              </w:rPr>
            </w:pPr>
          </w:p>
        </w:tc>
        <w:tc>
          <w:tcPr>
            <w:tcW w:w="2597" w:type="dxa"/>
          </w:tcPr>
          <w:p w14:paraId="7E6C21A1" w14:textId="77777777" w:rsidR="00422B69" w:rsidRPr="00605D5C" w:rsidRDefault="00422B69" w:rsidP="005C468A">
            <w:pPr>
              <w:spacing w:after="120"/>
              <w:ind w:right="-330"/>
              <w:contextualSpacing/>
              <w:rPr>
                <w:rFonts w:ascii="Arial" w:hAnsi="Arial" w:cs="Arial"/>
              </w:rPr>
            </w:pPr>
          </w:p>
        </w:tc>
      </w:tr>
      <w:tr w:rsidR="00302082" w:rsidRPr="00605D5C" w14:paraId="772D1231" w14:textId="77777777" w:rsidTr="00694309">
        <w:trPr>
          <w:trHeight w:val="305"/>
        </w:trPr>
        <w:tc>
          <w:tcPr>
            <w:tcW w:w="1526" w:type="dxa"/>
          </w:tcPr>
          <w:p w14:paraId="31DD5315" w14:textId="77777777" w:rsidR="00422B69" w:rsidRPr="00605D5C" w:rsidRDefault="00422B69" w:rsidP="005C468A">
            <w:pPr>
              <w:spacing w:after="120"/>
              <w:ind w:right="-330"/>
              <w:contextualSpacing/>
              <w:rPr>
                <w:rFonts w:ascii="Arial" w:hAnsi="Arial" w:cs="Arial"/>
              </w:rPr>
            </w:pPr>
          </w:p>
        </w:tc>
        <w:tc>
          <w:tcPr>
            <w:tcW w:w="1701" w:type="dxa"/>
          </w:tcPr>
          <w:p w14:paraId="12C915E9" w14:textId="77777777" w:rsidR="00422B69" w:rsidRPr="00605D5C" w:rsidRDefault="00422B69" w:rsidP="005C468A">
            <w:pPr>
              <w:spacing w:after="120"/>
              <w:ind w:right="-330"/>
              <w:contextualSpacing/>
              <w:rPr>
                <w:rFonts w:ascii="Arial" w:hAnsi="Arial" w:cs="Arial"/>
              </w:rPr>
            </w:pPr>
          </w:p>
        </w:tc>
        <w:tc>
          <w:tcPr>
            <w:tcW w:w="2410" w:type="dxa"/>
          </w:tcPr>
          <w:p w14:paraId="475A57D9" w14:textId="77777777" w:rsidR="00422B69" w:rsidRPr="00605D5C" w:rsidRDefault="00422B69" w:rsidP="005C468A">
            <w:pPr>
              <w:spacing w:after="120"/>
              <w:ind w:right="-330"/>
              <w:contextualSpacing/>
              <w:rPr>
                <w:rFonts w:ascii="Arial" w:hAnsi="Arial" w:cs="Arial"/>
              </w:rPr>
            </w:pPr>
          </w:p>
        </w:tc>
        <w:tc>
          <w:tcPr>
            <w:tcW w:w="2448" w:type="dxa"/>
          </w:tcPr>
          <w:p w14:paraId="6FE8EF41" w14:textId="77777777" w:rsidR="00422B69" w:rsidRPr="00605D5C" w:rsidRDefault="00422B69" w:rsidP="005C468A">
            <w:pPr>
              <w:spacing w:after="120"/>
              <w:ind w:right="-330"/>
              <w:contextualSpacing/>
              <w:rPr>
                <w:rFonts w:ascii="Arial" w:hAnsi="Arial" w:cs="Arial"/>
              </w:rPr>
            </w:pPr>
          </w:p>
        </w:tc>
        <w:tc>
          <w:tcPr>
            <w:tcW w:w="2597" w:type="dxa"/>
          </w:tcPr>
          <w:p w14:paraId="562F7F22" w14:textId="77777777" w:rsidR="00422B69" w:rsidRPr="00605D5C" w:rsidRDefault="00422B69" w:rsidP="005C468A">
            <w:pPr>
              <w:spacing w:after="120"/>
              <w:ind w:right="-330"/>
              <w:contextualSpacing/>
              <w:rPr>
                <w:rFonts w:ascii="Arial" w:hAnsi="Arial" w:cs="Arial"/>
              </w:rPr>
            </w:pPr>
          </w:p>
        </w:tc>
      </w:tr>
    </w:tbl>
    <w:p w14:paraId="171FCFA6" w14:textId="77777777" w:rsidR="00D83563" w:rsidRPr="00605D5C" w:rsidRDefault="00D83563" w:rsidP="005C468A">
      <w:pPr>
        <w:spacing w:after="120" w:line="240" w:lineRule="auto"/>
        <w:ind w:right="-330"/>
        <w:contextualSpacing/>
        <w:rPr>
          <w:rFonts w:ascii="Arial" w:hAnsi="Arial" w:cs="Arial"/>
        </w:rPr>
      </w:pPr>
    </w:p>
    <w:sectPr w:rsidR="00D83563" w:rsidRPr="00605D5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50FB" w14:textId="77777777" w:rsidR="002D2AEB" w:rsidRDefault="002D2AEB" w:rsidP="009A2D37">
      <w:pPr>
        <w:spacing w:after="0" w:line="240" w:lineRule="auto"/>
      </w:pPr>
      <w:r>
        <w:separator/>
      </w:r>
    </w:p>
  </w:endnote>
  <w:endnote w:type="continuationSeparator" w:id="0">
    <w:p w14:paraId="3D3FD693" w14:textId="77777777" w:rsidR="002D2AEB" w:rsidRDefault="002D2AEB" w:rsidP="009A2D37">
      <w:pPr>
        <w:spacing w:after="0" w:line="240" w:lineRule="auto"/>
      </w:pPr>
      <w:r>
        <w:continuationSeparator/>
      </w:r>
    </w:p>
  </w:endnote>
  <w:endnote w:type="continuationNotice" w:id="1">
    <w:p w14:paraId="02AE1C8B" w14:textId="77777777" w:rsidR="002D2AEB" w:rsidRDefault="002D2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8D7B4F" w14:textId="10D68EEC" w:rsidR="008B2543" w:rsidRDefault="0019787E" w:rsidP="009A2D37">
        <w:pPr>
          <w:pStyle w:val="Footer"/>
          <w:jc w:val="center"/>
        </w:pPr>
        <w:r>
          <w:fldChar w:fldCharType="begin"/>
        </w:r>
        <w:r>
          <w:instrText xml:space="preserve"> PAGE   \* MERGEFORMAT </w:instrText>
        </w:r>
        <w:r>
          <w:fldChar w:fldCharType="separate"/>
        </w:r>
        <w:r w:rsidR="00563BA4">
          <w:rPr>
            <w:noProof/>
          </w:rPr>
          <w:t>3</w:t>
        </w:r>
        <w:r>
          <w:rPr>
            <w:noProof/>
          </w:rPr>
          <w:fldChar w:fldCharType="end"/>
        </w:r>
      </w:p>
    </w:sdtContent>
  </w:sdt>
  <w:p w14:paraId="5CC083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027F" w14:textId="77777777" w:rsidR="002D2AEB" w:rsidRDefault="002D2AEB" w:rsidP="009A2D37">
      <w:pPr>
        <w:spacing w:after="0" w:line="240" w:lineRule="auto"/>
      </w:pPr>
      <w:r>
        <w:separator/>
      </w:r>
    </w:p>
  </w:footnote>
  <w:footnote w:type="continuationSeparator" w:id="0">
    <w:p w14:paraId="77D8A1C7" w14:textId="77777777" w:rsidR="002D2AEB" w:rsidRDefault="002D2AEB" w:rsidP="009A2D37">
      <w:pPr>
        <w:spacing w:after="0" w:line="240" w:lineRule="auto"/>
      </w:pPr>
      <w:r>
        <w:continuationSeparator/>
      </w:r>
    </w:p>
  </w:footnote>
  <w:footnote w:type="continuationNotice" w:id="1">
    <w:p w14:paraId="7C772553" w14:textId="77777777" w:rsidR="002D2AEB" w:rsidRDefault="002D2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3D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3E87B5" wp14:editId="66E915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D30B21" w14:textId="77777777" w:rsidR="008B2543" w:rsidRPr="008C00F8" w:rsidRDefault="008B2543" w:rsidP="005E6D38">
    <w:pPr>
      <w:pStyle w:val="Heading1"/>
      <w:spacing w:before="60" w:after="60"/>
      <w:rPr>
        <w:rFonts w:ascii="Arial" w:hAnsi="Arial" w:cs="Arial"/>
      </w:rPr>
    </w:pPr>
  </w:p>
  <w:p w14:paraId="5C5EAE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0F33" w14:textId="0C15B9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3100E" wp14:editId="1FEB9D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E4DBA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FD80E62"/>
    <w:multiLevelType w:val="hybridMultilevel"/>
    <w:tmpl w:val="4B3CC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D3AE72F4"/>
    <w:lvl w:ilvl="0">
      <w:start w:val="1"/>
      <w:numFmt w:val="decimal"/>
      <w:lvlText w:val="%1."/>
      <w:lvlJc w:val="left"/>
      <w:pPr>
        <w:ind w:left="720"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24CE2269"/>
    <w:multiLevelType w:val="hybridMultilevel"/>
    <w:tmpl w:val="593CBB20"/>
    <w:lvl w:ilvl="0" w:tplc="DCCAE6FE">
      <w:start w:val="9"/>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5CD6ADC"/>
    <w:multiLevelType w:val="multilevel"/>
    <w:tmpl w:val="734ED734"/>
    <w:lvl w:ilvl="0">
      <w:start w:val="9"/>
      <w:numFmt w:val="decimal"/>
      <w:lvlText w:val="%1."/>
      <w:lvlJc w:val="left"/>
      <w:pPr>
        <w:ind w:left="360" w:hanging="360"/>
      </w:pPr>
      <w:rPr>
        <w:rFonts w:eastAsiaTheme="minorHAnsi" w:hint="default"/>
        <w:color w:val="000000"/>
      </w:rPr>
    </w:lvl>
    <w:lvl w:ilvl="1">
      <w:start w:val="4"/>
      <w:numFmt w:val="decimal"/>
      <w:lvlText w:val="%1.%2."/>
      <w:lvlJc w:val="left"/>
      <w:pPr>
        <w:ind w:left="720" w:hanging="7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7" w15:restartNumberingAfterBreak="0">
    <w:nsid w:val="287D0A79"/>
    <w:multiLevelType w:val="multilevel"/>
    <w:tmpl w:val="6BBC7BB6"/>
    <w:lvl w:ilvl="0">
      <w:start w:val="10"/>
      <w:numFmt w:val="decimal"/>
      <w:lvlText w:val="%1."/>
      <w:lvlJc w:val="left"/>
      <w:pPr>
        <w:ind w:left="360" w:hanging="360"/>
      </w:pPr>
      <w:rPr>
        <w:rFonts w:hint="default"/>
        <w:b w:val="0"/>
        <w:i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824F94"/>
    <w:multiLevelType w:val="hybridMultilevel"/>
    <w:tmpl w:val="5FFCAD86"/>
    <w:lvl w:ilvl="0" w:tplc="DCCAE6FE">
      <w:start w:val="9"/>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6FF65B1"/>
    <w:multiLevelType w:val="hybridMultilevel"/>
    <w:tmpl w:val="B99C1450"/>
    <w:lvl w:ilvl="0" w:tplc="C5A27D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3"/>
  </w:num>
  <w:num w:numId="14">
    <w:abstractNumId w:val="2"/>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E8"/>
    <w:rsid w:val="000068D4"/>
    <w:rsid w:val="00010A16"/>
    <w:rsid w:val="0001243F"/>
    <w:rsid w:val="00013310"/>
    <w:rsid w:val="00021EA0"/>
    <w:rsid w:val="00025992"/>
    <w:rsid w:val="00027937"/>
    <w:rsid w:val="00030C9E"/>
    <w:rsid w:val="00031E67"/>
    <w:rsid w:val="000408CC"/>
    <w:rsid w:val="00045373"/>
    <w:rsid w:val="000510E9"/>
    <w:rsid w:val="00055605"/>
    <w:rsid w:val="00060A15"/>
    <w:rsid w:val="00063A2F"/>
    <w:rsid w:val="000669EC"/>
    <w:rsid w:val="000678D3"/>
    <w:rsid w:val="00094810"/>
    <w:rsid w:val="000B2B8D"/>
    <w:rsid w:val="000B737B"/>
    <w:rsid w:val="000C0294"/>
    <w:rsid w:val="000C7A1C"/>
    <w:rsid w:val="000D2A8A"/>
    <w:rsid w:val="000D32AC"/>
    <w:rsid w:val="000E20C1"/>
    <w:rsid w:val="000E3B73"/>
    <w:rsid w:val="000F6C56"/>
    <w:rsid w:val="000F7FBF"/>
    <w:rsid w:val="00100018"/>
    <w:rsid w:val="00106BE5"/>
    <w:rsid w:val="00110947"/>
    <w:rsid w:val="00111906"/>
    <w:rsid w:val="00111CB3"/>
    <w:rsid w:val="00117577"/>
    <w:rsid w:val="00117793"/>
    <w:rsid w:val="001206E4"/>
    <w:rsid w:val="001214D3"/>
    <w:rsid w:val="00121BFC"/>
    <w:rsid w:val="00122989"/>
    <w:rsid w:val="00123817"/>
    <w:rsid w:val="001352B2"/>
    <w:rsid w:val="001402AD"/>
    <w:rsid w:val="00147B93"/>
    <w:rsid w:val="001540CE"/>
    <w:rsid w:val="0015717B"/>
    <w:rsid w:val="00157ACA"/>
    <w:rsid w:val="00160427"/>
    <w:rsid w:val="00162D46"/>
    <w:rsid w:val="00172793"/>
    <w:rsid w:val="00180558"/>
    <w:rsid w:val="001811E5"/>
    <w:rsid w:val="00183B34"/>
    <w:rsid w:val="00185F46"/>
    <w:rsid w:val="00196C6A"/>
    <w:rsid w:val="0019787E"/>
    <w:rsid w:val="001A1300"/>
    <w:rsid w:val="001A425B"/>
    <w:rsid w:val="001A609B"/>
    <w:rsid w:val="001B1B28"/>
    <w:rsid w:val="001B27FB"/>
    <w:rsid w:val="001C4A85"/>
    <w:rsid w:val="001C5443"/>
    <w:rsid w:val="001D0C7D"/>
    <w:rsid w:val="001D1F2D"/>
    <w:rsid w:val="001D2314"/>
    <w:rsid w:val="001D6398"/>
    <w:rsid w:val="001E1F45"/>
    <w:rsid w:val="001E5681"/>
    <w:rsid w:val="001E62C1"/>
    <w:rsid w:val="001F0779"/>
    <w:rsid w:val="001F15D5"/>
    <w:rsid w:val="001F3C3E"/>
    <w:rsid w:val="00201C5F"/>
    <w:rsid w:val="0020243A"/>
    <w:rsid w:val="0021578E"/>
    <w:rsid w:val="00227582"/>
    <w:rsid w:val="002308BE"/>
    <w:rsid w:val="002370CB"/>
    <w:rsid w:val="002407C0"/>
    <w:rsid w:val="002461AF"/>
    <w:rsid w:val="002465A1"/>
    <w:rsid w:val="00264576"/>
    <w:rsid w:val="0026585A"/>
    <w:rsid w:val="00266735"/>
    <w:rsid w:val="00273CF0"/>
    <w:rsid w:val="002748D4"/>
    <w:rsid w:val="00274ED7"/>
    <w:rsid w:val="0027591E"/>
    <w:rsid w:val="00284246"/>
    <w:rsid w:val="0028461D"/>
    <w:rsid w:val="0028590C"/>
    <w:rsid w:val="00290F0A"/>
    <w:rsid w:val="00292C46"/>
    <w:rsid w:val="002938D6"/>
    <w:rsid w:val="00294A58"/>
    <w:rsid w:val="00294B73"/>
    <w:rsid w:val="002A0C18"/>
    <w:rsid w:val="002A219B"/>
    <w:rsid w:val="002A22DB"/>
    <w:rsid w:val="002A7F48"/>
    <w:rsid w:val="002B20F5"/>
    <w:rsid w:val="002B2A1A"/>
    <w:rsid w:val="002B35BB"/>
    <w:rsid w:val="002B71F2"/>
    <w:rsid w:val="002D2AEB"/>
    <w:rsid w:val="002E20C3"/>
    <w:rsid w:val="002E71C0"/>
    <w:rsid w:val="002F05F4"/>
    <w:rsid w:val="002F0CE4"/>
    <w:rsid w:val="002F23EF"/>
    <w:rsid w:val="002F2626"/>
    <w:rsid w:val="00302082"/>
    <w:rsid w:val="00306016"/>
    <w:rsid w:val="0030651D"/>
    <w:rsid w:val="00306620"/>
    <w:rsid w:val="00310DD7"/>
    <w:rsid w:val="003262B9"/>
    <w:rsid w:val="003319DD"/>
    <w:rsid w:val="00334A02"/>
    <w:rsid w:val="00334FA3"/>
    <w:rsid w:val="00335875"/>
    <w:rsid w:val="00335A8D"/>
    <w:rsid w:val="00335FBE"/>
    <w:rsid w:val="00352D8E"/>
    <w:rsid w:val="00356B68"/>
    <w:rsid w:val="0035702D"/>
    <w:rsid w:val="003604D4"/>
    <w:rsid w:val="0036174D"/>
    <w:rsid w:val="003627B0"/>
    <w:rsid w:val="00374DF6"/>
    <w:rsid w:val="003759B0"/>
    <w:rsid w:val="00375F84"/>
    <w:rsid w:val="00376E34"/>
    <w:rsid w:val="003804E7"/>
    <w:rsid w:val="003934D2"/>
    <w:rsid w:val="00394B5D"/>
    <w:rsid w:val="003973A1"/>
    <w:rsid w:val="003A5DA0"/>
    <w:rsid w:val="003A5EEB"/>
    <w:rsid w:val="003A6143"/>
    <w:rsid w:val="003B2062"/>
    <w:rsid w:val="003B35F4"/>
    <w:rsid w:val="003B7C76"/>
    <w:rsid w:val="003C3E0C"/>
    <w:rsid w:val="003C776B"/>
    <w:rsid w:val="003C7B71"/>
    <w:rsid w:val="003D4A1C"/>
    <w:rsid w:val="003D7AA0"/>
    <w:rsid w:val="003E1FF7"/>
    <w:rsid w:val="003E311D"/>
    <w:rsid w:val="003F4066"/>
    <w:rsid w:val="003F4470"/>
    <w:rsid w:val="003F5A04"/>
    <w:rsid w:val="003F67CD"/>
    <w:rsid w:val="00402ED7"/>
    <w:rsid w:val="004114F8"/>
    <w:rsid w:val="00422B69"/>
    <w:rsid w:val="00423D86"/>
    <w:rsid w:val="0042452D"/>
    <w:rsid w:val="00424C90"/>
    <w:rsid w:val="00436BE9"/>
    <w:rsid w:val="00441E76"/>
    <w:rsid w:val="004443DA"/>
    <w:rsid w:val="00446A75"/>
    <w:rsid w:val="004474A2"/>
    <w:rsid w:val="00460925"/>
    <w:rsid w:val="00460A9A"/>
    <w:rsid w:val="00465DA7"/>
    <w:rsid w:val="00471C6C"/>
    <w:rsid w:val="00472023"/>
    <w:rsid w:val="00477759"/>
    <w:rsid w:val="00486993"/>
    <w:rsid w:val="00492DA4"/>
    <w:rsid w:val="00496AA3"/>
    <w:rsid w:val="00497C98"/>
    <w:rsid w:val="004A14C3"/>
    <w:rsid w:val="004A39D7"/>
    <w:rsid w:val="004A55FA"/>
    <w:rsid w:val="004A66D4"/>
    <w:rsid w:val="004B5D03"/>
    <w:rsid w:val="004C1EC4"/>
    <w:rsid w:val="004D035C"/>
    <w:rsid w:val="004D3BA4"/>
    <w:rsid w:val="004E7D00"/>
    <w:rsid w:val="004F01D2"/>
    <w:rsid w:val="004F3C18"/>
    <w:rsid w:val="004F4328"/>
    <w:rsid w:val="005005E4"/>
    <w:rsid w:val="00513689"/>
    <w:rsid w:val="0051375A"/>
    <w:rsid w:val="00521097"/>
    <w:rsid w:val="00521997"/>
    <w:rsid w:val="00527CD4"/>
    <w:rsid w:val="0053059E"/>
    <w:rsid w:val="00531E2E"/>
    <w:rsid w:val="00532318"/>
    <w:rsid w:val="00532F6F"/>
    <w:rsid w:val="00533663"/>
    <w:rsid w:val="005460C2"/>
    <w:rsid w:val="005526FB"/>
    <w:rsid w:val="0055280A"/>
    <w:rsid w:val="00554869"/>
    <w:rsid w:val="005548E1"/>
    <w:rsid w:val="0055585D"/>
    <w:rsid w:val="0056127B"/>
    <w:rsid w:val="00561D26"/>
    <w:rsid w:val="00563BA4"/>
    <w:rsid w:val="00564738"/>
    <w:rsid w:val="00567EC9"/>
    <w:rsid w:val="00571630"/>
    <w:rsid w:val="00573B0F"/>
    <w:rsid w:val="005759F4"/>
    <w:rsid w:val="005779D1"/>
    <w:rsid w:val="0058041A"/>
    <w:rsid w:val="0058743D"/>
    <w:rsid w:val="00587BF7"/>
    <w:rsid w:val="00592034"/>
    <w:rsid w:val="0059477B"/>
    <w:rsid w:val="00596884"/>
    <w:rsid w:val="005A14B5"/>
    <w:rsid w:val="005B5A98"/>
    <w:rsid w:val="005C1A4F"/>
    <w:rsid w:val="005C27D7"/>
    <w:rsid w:val="005C468A"/>
    <w:rsid w:val="005D1A1E"/>
    <w:rsid w:val="005D7CD0"/>
    <w:rsid w:val="005E1A3A"/>
    <w:rsid w:val="005E6ADC"/>
    <w:rsid w:val="005E6D10"/>
    <w:rsid w:val="005E6D38"/>
    <w:rsid w:val="005E7B3F"/>
    <w:rsid w:val="005F040F"/>
    <w:rsid w:val="005F2C42"/>
    <w:rsid w:val="005F5E43"/>
    <w:rsid w:val="006043FC"/>
    <w:rsid w:val="006050CF"/>
    <w:rsid w:val="00605D5C"/>
    <w:rsid w:val="006253AA"/>
    <w:rsid w:val="00626023"/>
    <w:rsid w:val="00633150"/>
    <w:rsid w:val="00637A50"/>
    <w:rsid w:val="00641D6D"/>
    <w:rsid w:val="0064364E"/>
    <w:rsid w:val="006438F3"/>
    <w:rsid w:val="00645C5B"/>
    <w:rsid w:val="00647907"/>
    <w:rsid w:val="00651A82"/>
    <w:rsid w:val="006525E9"/>
    <w:rsid w:val="0066747B"/>
    <w:rsid w:val="006725EC"/>
    <w:rsid w:val="006738A3"/>
    <w:rsid w:val="00674ED0"/>
    <w:rsid w:val="00682650"/>
    <w:rsid w:val="00682A5E"/>
    <w:rsid w:val="00683609"/>
    <w:rsid w:val="00684851"/>
    <w:rsid w:val="00694309"/>
    <w:rsid w:val="00695285"/>
    <w:rsid w:val="00697CC9"/>
    <w:rsid w:val="006A6BB4"/>
    <w:rsid w:val="006A787C"/>
    <w:rsid w:val="006A7FB0"/>
    <w:rsid w:val="006C2A9A"/>
    <w:rsid w:val="006C423D"/>
    <w:rsid w:val="006C46EF"/>
    <w:rsid w:val="006C4C67"/>
    <w:rsid w:val="006C700D"/>
    <w:rsid w:val="006C7772"/>
    <w:rsid w:val="006D13C0"/>
    <w:rsid w:val="006D2DB7"/>
    <w:rsid w:val="006D41AB"/>
    <w:rsid w:val="006D444F"/>
    <w:rsid w:val="006F1A15"/>
    <w:rsid w:val="006F3F8B"/>
    <w:rsid w:val="00700488"/>
    <w:rsid w:val="00703404"/>
    <w:rsid w:val="00703F92"/>
    <w:rsid w:val="00704637"/>
    <w:rsid w:val="007105E4"/>
    <w:rsid w:val="00711F5F"/>
    <w:rsid w:val="00714EE5"/>
    <w:rsid w:val="00720270"/>
    <w:rsid w:val="00724362"/>
    <w:rsid w:val="00727780"/>
    <w:rsid w:val="00733F24"/>
    <w:rsid w:val="0073792C"/>
    <w:rsid w:val="00754069"/>
    <w:rsid w:val="007667DF"/>
    <w:rsid w:val="0077080B"/>
    <w:rsid w:val="00771C57"/>
    <w:rsid w:val="00772040"/>
    <w:rsid w:val="00787070"/>
    <w:rsid w:val="00787E73"/>
    <w:rsid w:val="007906FD"/>
    <w:rsid w:val="00794BB7"/>
    <w:rsid w:val="00797197"/>
    <w:rsid w:val="007972A7"/>
    <w:rsid w:val="007A22E0"/>
    <w:rsid w:val="007A2BA2"/>
    <w:rsid w:val="007A6245"/>
    <w:rsid w:val="007B0F94"/>
    <w:rsid w:val="007B1DB2"/>
    <w:rsid w:val="007B375B"/>
    <w:rsid w:val="007B412A"/>
    <w:rsid w:val="007B635E"/>
    <w:rsid w:val="007B7724"/>
    <w:rsid w:val="007B7CDC"/>
    <w:rsid w:val="007C74B4"/>
    <w:rsid w:val="007D4FA0"/>
    <w:rsid w:val="007E3412"/>
    <w:rsid w:val="007E4932"/>
    <w:rsid w:val="007F393D"/>
    <w:rsid w:val="00801EB5"/>
    <w:rsid w:val="008029AF"/>
    <w:rsid w:val="00802FFA"/>
    <w:rsid w:val="008102E5"/>
    <w:rsid w:val="008111B4"/>
    <w:rsid w:val="008133F0"/>
    <w:rsid w:val="00815880"/>
    <w:rsid w:val="008205CC"/>
    <w:rsid w:val="0082322C"/>
    <w:rsid w:val="00823942"/>
    <w:rsid w:val="00827FFD"/>
    <w:rsid w:val="00854535"/>
    <w:rsid w:val="00856EB3"/>
    <w:rsid w:val="00863C96"/>
    <w:rsid w:val="00864A72"/>
    <w:rsid w:val="008707F3"/>
    <w:rsid w:val="00873E9F"/>
    <w:rsid w:val="00874047"/>
    <w:rsid w:val="008778CB"/>
    <w:rsid w:val="00881545"/>
    <w:rsid w:val="00883A3E"/>
    <w:rsid w:val="00885D57"/>
    <w:rsid w:val="00887AE3"/>
    <w:rsid w:val="0089148D"/>
    <w:rsid w:val="00891E0D"/>
    <w:rsid w:val="008A0F36"/>
    <w:rsid w:val="008B2543"/>
    <w:rsid w:val="008B4B6E"/>
    <w:rsid w:val="008D10B9"/>
    <w:rsid w:val="008D1D96"/>
    <w:rsid w:val="008D7401"/>
    <w:rsid w:val="008E386A"/>
    <w:rsid w:val="00903DF6"/>
    <w:rsid w:val="00921CF6"/>
    <w:rsid w:val="00924EF0"/>
    <w:rsid w:val="00934D7B"/>
    <w:rsid w:val="00944720"/>
    <w:rsid w:val="00945829"/>
    <w:rsid w:val="00947180"/>
    <w:rsid w:val="00954B17"/>
    <w:rsid w:val="009567BE"/>
    <w:rsid w:val="009676FA"/>
    <w:rsid w:val="009679E0"/>
    <w:rsid w:val="00977632"/>
    <w:rsid w:val="00982A8E"/>
    <w:rsid w:val="00987DB4"/>
    <w:rsid w:val="00993C6A"/>
    <w:rsid w:val="00996204"/>
    <w:rsid w:val="009A26CB"/>
    <w:rsid w:val="009A2BC2"/>
    <w:rsid w:val="009A2D37"/>
    <w:rsid w:val="009A7587"/>
    <w:rsid w:val="009B0A69"/>
    <w:rsid w:val="009B10F0"/>
    <w:rsid w:val="009C2474"/>
    <w:rsid w:val="009C3CAF"/>
    <w:rsid w:val="009C7082"/>
    <w:rsid w:val="009D0006"/>
    <w:rsid w:val="009D068C"/>
    <w:rsid w:val="009E4700"/>
    <w:rsid w:val="009E5DF4"/>
    <w:rsid w:val="009F2290"/>
    <w:rsid w:val="009F3A2A"/>
    <w:rsid w:val="009F5774"/>
    <w:rsid w:val="009F731F"/>
    <w:rsid w:val="00A021FE"/>
    <w:rsid w:val="00A07BF3"/>
    <w:rsid w:val="00A1270E"/>
    <w:rsid w:val="00A15342"/>
    <w:rsid w:val="00A3007E"/>
    <w:rsid w:val="00A32048"/>
    <w:rsid w:val="00A41F06"/>
    <w:rsid w:val="00A50FD4"/>
    <w:rsid w:val="00A52DB4"/>
    <w:rsid w:val="00A56CF4"/>
    <w:rsid w:val="00A618E1"/>
    <w:rsid w:val="00A62916"/>
    <w:rsid w:val="00A629B9"/>
    <w:rsid w:val="00A65E2E"/>
    <w:rsid w:val="00A70C20"/>
    <w:rsid w:val="00A739F9"/>
    <w:rsid w:val="00A74292"/>
    <w:rsid w:val="00A76ED1"/>
    <w:rsid w:val="00A776DE"/>
    <w:rsid w:val="00A80640"/>
    <w:rsid w:val="00A87FFD"/>
    <w:rsid w:val="00A97038"/>
    <w:rsid w:val="00AA3C15"/>
    <w:rsid w:val="00AA6330"/>
    <w:rsid w:val="00AC7501"/>
    <w:rsid w:val="00AD748B"/>
    <w:rsid w:val="00AE4865"/>
    <w:rsid w:val="00AF50EE"/>
    <w:rsid w:val="00B04A77"/>
    <w:rsid w:val="00B0591D"/>
    <w:rsid w:val="00B13402"/>
    <w:rsid w:val="00B14BC2"/>
    <w:rsid w:val="00B17024"/>
    <w:rsid w:val="00B17CD2"/>
    <w:rsid w:val="00B213D2"/>
    <w:rsid w:val="00B248BA"/>
    <w:rsid w:val="00B24B56"/>
    <w:rsid w:val="00B30E07"/>
    <w:rsid w:val="00B34ADD"/>
    <w:rsid w:val="00B40211"/>
    <w:rsid w:val="00B52FF5"/>
    <w:rsid w:val="00B5498B"/>
    <w:rsid w:val="00B57219"/>
    <w:rsid w:val="00B658A3"/>
    <w:rsid w:val="00B746A8"/>
    <w:rsid w:val="00B7664D"/>
    <w:rsid w:val="00B80989"/>
    <w:rsid w:val="00B82631"/>
    <w:rsid w:val="00B9109B"/>
    <w:rsid w:val="00B927AE"/>
    <w:rsid w:val="00B93721"/>
    <w:rsid w:val="00B937B1"/>
    <w:rsid w:val="00B948D3"/>
    <w:rsid w:val="00BA453C"/>
    <w:rsid w:val="00BA4E02"/>
    <w:rsid w:val="00BB2A6D"/>
    <w:rsid w:val="00BB4189"/>
    <w:rsid w:val="00BC19F7"/>
    <w:rsid w:val="00BC4163"/>
    <w:rsid w:val="00BC41ED"/>
    <w:rsid w:val="00BD009E"/>
    <w:rsid w:val="00BD0EF8"/>
    <w:rsid w:val="00BD7A8C"/>
    <w:rsid w:val="00BE2126"/>
    <w:rsid w:val="00BE368F"/>
    <w:rsid w:val="00BE3B17"/>
    <w:rsid w:val="00BE7DA8"/>
    <w:rsid w:val="00BF51AB"/>
    <w:rsid w:val="00BF716B"/>
    <w:rsid w:val="00BF7233"/>
    <w:rsid w:val="00C02AA2"/>
    <w:rsid w:val="00C04C95"/>
    <w:rsid w:val="00C0708F"/>
    <w:rsid w:val="00C12613"/>
    <w:rsid w:val="00C16DEF"/>
    <w:rsid w:val="00C2492F"/>
    <w:rsid w:val="00C3744A"/>
    <w:rsid w:val="00C4002A"/>
    <w:rsid w:val="00C41727"/>
    <w:rsid w:val="00C46912"/>
    <w:rsid w:val="00C612A8"/>
    <w:rsid w:val="00C67631"/>
    <w:rsid w:val="00C729D7"/>
    <w:rsid w:val="00C817FC"/>
    <w:rsid w:val="00C83354"/>
    <w:rsid w:val="00C84004"/>
    <w:rsid w:val="00C843F6"/>
    <w:rsid w:val="00C84507"/>
    <w:rsid w:val="00C862C7"/>
    <w:rsid w:val="00CA3254"/>
    <w:rsid w:val="00CB11CE"/>
    <w:rsid w:val="00CC031A"/>
    <w:rsid w:val="00CC25A2"/>
    <w:rsid w:val="00CC41C5"/>
    <w:rsid w:val="00CD5481"/>
    <w:rsid w:val="00CD7F07"/>
    <w:rsid w:val="00CE04F3"/>
    <w:rsid w:val="00CE12D8"/>
    <w:rsid w:val="00CE4574"/>
    <w:rsid w:val="00CE70E6"/>
    <w:rsid w:val="00CF2E1E"/>
    <w:rsid w:val="00CF5B1F"/>
    <w:rsid w:val="00D02E99"/>
    <w:rsid w:val="00D03F7E"/>
    <w:rsid w:val="00D13357"/>
    <w:rsid w:val="00D13A13"/>
    <w:rsid w:val="00D22ED0"/>
    <w:rsid w:val="00D2689A"/>
    <w:rsid w:val="00D50113"/>
    <w:rsid w:val="00D54F04"/>
    <w:rsid w:val="00D6304C"/>
    <w:rsid w:val="00D65506"/>
    <w:rsid w:val="00D7192C"/>
    <w:rsid w:val="00D73F66"/>
    <w:rsid w:val="00D773CF"/>
    <w:rsid w:val="00D83563"/>
    <w:rsid w:val="00D8448F"/>
    <w:rsid w:val="00DA64B6"/>
    <w:rsid w:val="00DB5C9D"/>
    <w:rsid w:val="00DD02E6"/>
    <w:rsid w:val="00DF665B"/>
    <w:rsid w:val="00E009FB"/>
    <w:rsid w:val="00E0152A"/>
    <w:rsid w:val="00E02A09"/>
    <w:rsid w:val="00E03394"/>
    <w:rsid w:val="00E066E5"/>
    <w:rsid w:val="00E15F89"/>
    <w:rsid w:val="00E22F03"/>
    <w:rsid w:val="00E233C1"/>
    <w:rsid w:val="00E330D0"/>
    <w:rsid w:val="00E37B65"/>
    <w:rsid w:val="00E45E7A"/>
    <w:rsid w:val="00E51404"/>
    <w:rsid w:val="00E53D71"/>
    <w:rsid w:val="00E574C9"/>
    <w:rsid w:val="00E610DE"/>
    <w:rsid w:val="00E66167"/>
    <w:rsid w:val="00E71F2F"/>
    <w:rsid w:val="00E77786"/>
    <w:rsid w:val="00E806FB"/>
    <w:rsid w:val="00E9531A"/>
    <w:rsid w:val="00EA68CF"/>
    <w:rsid w:val="00EB1C2D"/>
    <w:rsid w:val="00EB5965"/>
    <w:rsid w:val="00EC1810"/>
    <w:rsid w:val="00EC3FCC"/>
    <w:rsid w:val="00ED32FF"/>
    <w:rsid w:val="00EF039B"/>
    <w:rsid w:val="00EF4933"/>
    <w:rsid w:val="00EF5044"/>
    <w:rsid w:val="00F01956"/>
    <w:rsid w:val="00F116CE"/>
    <w:rsid w:val="00F176DE"/>
    <w:rsid w:val="00F21C47"/>
    <w:rsid w:val="00F244E2"/>
    <w:rsid w:val="00F2649A"/>
    <w:rsid w:val="00F340DE"/>
    <w:rsid w:val="00F43542"/>
    <w:rsid w:val="00F477F9"/>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BBE"/>
    <w:rsid w:val="00FC0291"/>
    <w:rsid w:val="00FC0AF6"/>
    <w:rsid w:val="00FC1C92"/>
    <w:rsid w:val="00FD333B"/>
    <w:rsid w:val="00FD689C"/>
    <w:rsid w:val="00FD705C"/>
    <w:rsid w:val="00FD777A"/>
    <w:rsid w:val="00FE260B"/>
    <w:rsid w:val="00FE3D5C"/>
    <w:rsid w:val="00FE692E"/>
    <w:rsid w:val="00FF316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5D214"/>
  <w15:docId w15:val="{A913431E-FEEB-45F8-AC36-0EF3E22F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733F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733F24"/>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D719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47387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174808">
      <w:bodyDiv w:val="1"/>
      <w:marLeft w:val="0"/>
      <w:marRight w:val="0"/>
      <w:marTop w:val="0"/>
      <w:marBottom w:val="0"/>
      <w:divBdr>
        <w:top w:val="none" w:sz="0" w:space="0" w:color="auto"/>
        <w:left w:val="none" w:sz="0" w:space="0" w:color="auto"/>
        <w:bottom w:val="none" w:sz="0" w:space="0" w:color="auto"/>
        <w:right w:val="none" w:sz="0" w:space="0" w:color="auto"/>
      </w:divBdr>
    </w:div>
    <w:div w:id="1512334341">
      <w:bodyDiv w:val="1"/>
      <w:marLeft w:val="0"/>
      <w:marRight w:val="0"/>
      <w:marTop w:val="0"/>
      <w:marBottom w:val="0"/>
      <w:divBdr>
        <w:top w:val="none" w:sz="0" w:space="0" w:color="auto"/>
        <w:left w:val="none" w:sz="0" w:space="0" w:color="auto"/>
        <w:bottom w:val="none" w:sz="0" w:space="0" w:color="auto"/>
        <w:right w:val="none" w:sz="0" w:space="0" w:color="auto"/>
      </w:divBdr>
      <w:divsChild>
        <w:div w:id="1389065376">
          <w:marLeft w:val="0"/>
          <w:marRight w:val="0"/>
          <w:marTop w:val="0"/>
          <w:marBottom w:val="0"/>
          <w:divBdr>
            <w:top w:val="none" w:sz="0" w:space="0" w:color="auto"/>
            <w:left w:val="none" w:sz="0" w:space="0" w:color="auto"/>
            <w:bottom w:val="none" w:sz="0" w:space="0" w:color="auto"/>
            <w:right w:val="none" w:sz="0" w:space="0" w:color="auto"/>
          </w:divBdr>
          <w:divsChild>
            <w:div w:id="843864623">
              <w:marLeft w:val="0"/>
              <w:marRight w:val="0"/>
              <w:marTop w:val="0"/>
              <w:marBottom w:val="0"/>
              <w:divBdr>
                <w:top w:val="none" w:sz="0" w:space="0" w:color="auto"/>
                <w:left w:val="none" w:sz="0" w:space="0" w:color="auto"/>
                <w:bottom w:val="none" w:sz="0" w:space="0" w:color="auto"/>
                <w:right w:val="none" w:sz="0" w:space="0" w:color="auto"/>
              </w:divBdr>
              <w:divsChild>
                <w:div w:id="38288102">
                  <w:marLeft w:val="0"/>
                  <w:marRight w:val="0"/>
                  <w:marTop w:val="0"/>
                  <w:marBottom w:val="0"/>
                  <w:divBdr>
                    <w:top w:val="none" w:sz="0" w:space="0" w:color="auto"/>
                    <w:left w:val="none" w:sz="0" w:space="0" w:color="auto"/>
                    <w:bottom w:val="none" w:sz="0" w:space="0" w:color="auto"/>
                    <w:right w:val="none" w:sz="0" w:space="0" w:color="auto"/>
                  </w:divBdr>
                  <w:divsChild>
                    <w:div w:id="459036478">
                      <w:marLeft w:val="0"/>
                      <w:marRight w:val="0"/>
                      <w:marTop w:val="0"/>
                      <w:marBottom w:val="0"/>
                      <w:divBdr>
                        <w:top w:val="none" w:sz="0" w:space="0" w:color="auto"/>
                        <w:left w:val="none" w:sz="0" w:space="0" w:color="auto"/>
                        <w:bottom w:val="none" w:sz="0" w:space="0" w:color="auto"/>
                        <w:right w:val="none" w:sz="0" w:space="0" w:color="auto"/>
                      </w:divBdr>
                      <w:divsChild>
                        <w:div w:id="2124419734">
                          <w:marLeft w:val="0"/>
                          <w:marRight w:val="0"/>
                          <w:marTop w:val="0"/>
                          <w:marBottom w:val="0"/>
                          <w:divBdr>
                            <w:top w:val="none" w:sz="0" w:space="0" w:color="auto"/>
                            <w:left w:val="none" w:sz="0" w:space="0" w:color="auto"/>
                            <w:bottom w:val="none" w:sz="0" w:space="0" w:color="auto"/>
                            <w:right w:val="none" w:sz="0" w:space="0" w:color="auto"/>
                          </w:divBdr>
                          <w:divsChild>
                            <w:div w:id="1728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380">
      <w:bodyDiv w:val="1"/>
      <w:marLeft w:val="0"/>
      <w:marRight w:val="0"/>
      <w:marTop w:val="0"/>
      <w:marBottom w:val="0"/>
      <w:divBdr>
        <w:top w:val="none" w:sz="0" w:space="0" w:color="auto"/>
        <w:left w:val="none" w:sz="0" w:space="0" w:color="auto"/>
        <w:bottom w:val="none" w:sz="0" w:space="0" w:color="auto"/>
        <w:right w:val="none" w:sz="0" w:space="0" w:color="auto"/>
      </w:divBdr>
      <w:divsChild>
        <w:div w:id="123696843">
          <w:marLeft w:val="0"/>
          <w:marRight w:val="0"/>
          <w:marTop w:val="0"/>
          <w:marBottom w:val="0"/>
          <w:divBdr>
            <w:top w:val="none" w:sz="0" w:space="0" w:color="auto"/>
            <w:left w:val="none" w:sz="0" w:space="0" w:color="auto"/>
            <w:bottom w:val="none" w:sz="0" w:space="0" w:color="auto"/>
            <w:right w:val="none" w:sz="0" w:space="0" w:color="auto"/>
          </w:divBdr>
          <w:divsChild>
            <w:div w:id="539827656">
              <w:marLeft w:val="0"/>
              <w:marRight w:val="0"/>
              <w:marTop w:val="0"/>
              <w:marBottom w:val="0"/>
              <w:divBdr>
                <w:top w:val="none" w:sz="0" w:space="0" w:color="auto"/>
                <w:left w:val="none" w:sz="0" w:space="0" w:color="auto"/>
                <w:bottom w:val="none" w:sz="0" w:space="0" w:color="auto"/>
                <w:right w:val="none" w:sz="0" w:space="0" w:color="auto"/>
              </w:divBdr>
              <w:divsChild>
                <w:div w:id="1468746294">
                  <w:marLeft w:val="0"/>
                  <w:marRight w:val="0"/>
                  <w:marTop w:val="0"/>
                  <w:marBottom w:val="0"/>
                  <w:divBdr>
                    <w:top w:val="none" w:sz="0" w:space="0" w:color="auto"/>
                    <w:left w:val="none" w:sz="0" w:space="0" w:color="auto"/>
                    <w:bottom w:val="none" w:sz="0" w:space="0" w:color="auto"/>
                    <w:right w:val="none" w:sz="0" w:space="0" w:color="auto"/>
                  </w:divBdr>
                  <w:divsChild>
                    <w:div w:id="1446340637">
                      <w:marLeft w:val="0"/>
                      <w:marRight w:val="0"/>
                      <w:marTop w:val="0"/>
                      <w:marBottom w:val="0"/>
                      <w:divBdr>
                        <w:top w:val="none" w:sz="0" w:space="0" w:color="auto"/>
                        <w:left w:val="none" w:sz="0" w:space="0" w:color="auto"/>
                        <w:bottom w:val="none" w:sz="0" w:space="0" w:color="auto"/>
                        <w:right w:val="none" w:sz="0" w:space="0" w:color="auto"/>
                      </w:divBdr>
                      <w:divsChild>
                        <w:div w:id="1248808707">
                          <w:marLeft w:val="0"/>
                          <w:marRight w:val="0"/>
                          <w:marTop w:val="0"/>
                          <w:marBottom w:val="0"/>
                          <w:divBdr>
                            <w:top w:val="none" w:sz="0" w:space="0" w:color="auto"/>
                            <w:left w:val="none" w:sz="0" w:space="0" w:color="auto"/>
                            <w:bottom w:val="none" w:sz="0" w:space="0" w:color="auto"/>
                            <w:right w:val="none" w:sz="0" w:space="0" w:color="auto"/>
                          </w:divBdr>
                          <w:divsChild>
                            <w:div w:id="18426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68156-876F-4C26-AAC6-DC77E6B8E643}">
  <ds:schemaRefs>
    <ds:schemaRef ds:uri="http://schemas.openxmlformats.org/officeDocument/2006/bibliography"/>
  </ds:schemaRefs>
</ds:datastoreItem>
</file>

<file path=customXml/itemProps2.xml><?xml version="1.0" encoding="utf-8"?>
<ds:datastoreItem xmlns:ds="http://schemas.openxmlformats.org/officeDocument/2006/customXml" ds:itemID="{7C6F1326-D5AA-4FC7-B54A-23208680AC1B}"/>
</file>

<file path=customXml/itemProps3.xml><?xml version="1.0" encoding="utf-8"?>
<ds:datastoreItem xmlns:ds="http://schemas.openxmlformats.org/officeDocument/2006/customXml" ds:itemID="{DF8D2816-B790-4D89-ADBE-563D9114C9E9}"/>
</file>

<file path=customXml/itemProps4.xml><?xml version="1.0" encoding="utf-8"?>
<ds:datastoreItem xmlns:ds="http://schemas.openxmlformats.org/officeDocument/2006/customXml" ds:itemID="{45FF6A86-C5EB-4504-8DA9-DC7216CECD98}"/>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2019-07-24T11:06:00Z</dcterms:created>
  <dcterms:modified xsi:type="dcterms:W3CDTF">2019-07-24T11:06:00Z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