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F85C"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Title of the module</w:t>
      </w:r>
    </w:p>
    <w:p w14:paraId="6A7BCA18" w14:textId="01909282" w:rsidR="009A2D37" w:rsidRDefault="00BD4C45" w:rsidP="00713A4E">
      <w:pPr>
        <w:spacing w:after="120" w:line="240" w:lineRule="auto"/>
        <w:ind w:left="426" w:right="260"/>
        <w:contextualSpacing/>
        <w:jc w:val="both"/>
        <w:rPr>
          <w:rFonts w:ascii="Arial" w:hAnsi="Arial" w:cs="Arial"/>
        </w:rPr>
      </w:pPr>
      <w:r>
        <w:rPr>
          <w:rFonts w:ascii="Arial" w:hAnsi="Arial" w:cs="Arial"/>
        </w:rPr>
        <w:t xml:space="preserve">BUSN7660 (CB766): </w:t>
      </w:r>
      <w:r w:rsidR="003F4BCD">
        <w:rPr>
          <w:rFonts w:ascii="Arial" w:hAnsi="Arial" w:cs="Arial"/>
        </w:rPr>
        <w:t>Derivatives</w:t>
      </w:r>
    </w:p>
    <w:p w14:paraId="22513795" w14:textId="77777777" w:rsidR="00713A4E" w:rsidRPr="00530970" w:rsidRDefault="00713A4E" w:rsidP="00713A4E">
      <w:pPr>
        <w:spacing w:after="120" w:line="240" w:lineRule="auto"/>
        <w:ind w:left="426" w:right="260"/>
        <w:contextualSpacing/>
        <w:jc w:val="both"/>
        <w:rPr>
          <w:rFonts w:ascii="Arial" w:hAnsi="Arial" w:cs="Arial"/>
        </w:rPr>
      </w:pPr>
    </w:p>
    <w:p w14:paraId="2A04F168"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1AADF1D5" w14:textId="02CDCF37" w:rsidR="009A2D37" w:rsidRDefault="00530970" w:rsidP="00713A4E">
      <w:pPr>
        <w:spacing w:after="120" w:line="240" w:lineRule="auto"/>
        <w:ind w:left="426" w:right="260"/>
        <w:contextualSpacing/>
        <w:rPr>
          <w:rFonts w:ascii="Arial" w:hAnsi="Arial" w:cs="Arial"/>
          <w:iCs/>
        </w:rPr>
      </w:pPr>
      <w:r>
        <w:rPr>
          <w:rFonts w:ascii="Arial" w:hAnsi="Arial" w:cs="Arial"/>
          <w:iCs/>
        </w:rPr>
        <w:t xml:space="preserve">Kent Business School </w:t>
      </w:r>
    </w:p>
    <w:p w14:paraId="2C932296" w14:textId="77777777" w:rsidR="00713A4E" w:rsidRPr="0036174D" w:rsidRDefault="00713A4E" w:rsidP="00713A4E">
      <w:pPr>
        <w:spacing w:after="120" w:line="240" w:lineRule="auto"/>
        <w:ind w:left="426" w:right="260"/>
        <w:contextualSpacing/>
        <w:rPr>
          <w:rFonts w:ascii="Arial" w:hAnsi="Arial" w:cs="Arial"/>
          <w:iCs/>
        </w:rPr>
      </w:pPr>
    </w:p>
    <w:p w14:paraId="1E23440F" w14:textId="77777777" w:rsidR="009A2D37" w:rsidRPr="00302082" w:rsidRDefault="002A7F48" w:rsidP="00713A4E">
      <w:pPr>
        <w:numPr>
          <w:ilvl w:val="0"/>
          <w:numId w:val="1"/>
        </w:numPr>
        <w:spacing w:after="120" w:line="240" w:lineRule="auto"/>
        <w:ind w:left="426" w:right="260" w:hanging="426"/>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F6B875" w14:textId="0F6846EA" w:rsidR="009A2D37" w:rsidRDefault="001C18C6" w:rsidP="00713A4E">
      <w:pPr>
        <w:spacing w:after="120" w:line="240" w:lineRule="auto"/>
        <w:ind w:left="426" w:right="260"/>
        <w:contextualSpacing/>
        <w:rPr>
          <w:rFonts w:ascii="Arial" w:hAnsi="Arial" w:cs="Arial"/>
          <w:iCs/>
        </w:rPr>
      </w:pPr>
      <w:r>
        <w:rPr>
          <w:rFonts w:ascii="Arial" w:hAnsi="Arial" w:cs="Arial"/>
          <w:iCs/>
        </w:rPr>
        <w:t>Level 5</w:t>
      </w:r>
    </w:p>
    <w:p w14:paraId="2E752A18" w14:textId="77777777" w:rsidR="00713A4E" w:rsidRPr="0036174D" w:rsidRDefault="00713A4E" w:rsidP="00713A4E">
      <w:pPr>
        <w:spacing w:after="120" w:line="240" w:lineRule="auto"/>
        <w:ind w:left="426" w:right="260"/>
        <w:contextualSpacing/>
        <w:rPr>
          <w:rFonts w:ascii="Arial" w:hAnsi="Arial" w:cs="Arial"/>
          <w:iCs/>
        </w:rPr>
      </w:pPr>
    </w:p>
    <w:p w14:paraId="190F458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number of credits and the ECTS value which the module </w:t>
      </w:r>
      <w:proofErr w:type="gramStart"/>
      <w:r w:rsidRPr="00302082">
        <w:rPr>
          <w:rFonts w:ascii="Arial" w:hAnsi="Arial" w:cs="Arial"/>
          <w:b/>
        </w:rPr>
        <w:t>represents</w:t>
      </w:r>
      <w:proofErr w:type="gramEnd"/>
      <w:r w:rsidRPr="00302082">
        <w:rPr>
          <w:rFonts w:ascii="Arial" w:hAnsi="Arial" w:cs="Arial"/>
          <w:b/>
        </w:rPr>
        <w:t xml:space="preserve"> </w:t>
      </w:r>
    </w:p>
    <w:p w14:paraId="79EA605E" w14:textId="10797C49" w:rsidR="009A2D37" w:rsidRDefault="00530970" w:rsidP="00713A4E">
      <w:pPr>
        <w:spacing w:after="120" w:line="240" w:lineRule="auto"/>
        <w:ind w:left="426" w:right="260"/>
        <w:contextualSpacing/>
        <w:rPr>
          <w:rFonts w:ascii="Arial" w:hAnsi="Arial" w:cs="Arial"/>
        </w:rPr>
      </w:pPr>
      <w:r>
        <w:rPr>
          <w:rFonts w:ascii="Arial" w:hAnsi="Arial" w:cs="Arial"/>
        </w:rPr>
        <w:t xml:space="preserve">15 Credits (7.5 ECTS) </w:t>
      </w:r>
    </w:p>
    <w:p w14:paraId="1FA1A535" w14:textId="77777777" w:rsidR="00713A4E" w:rsidRPr="0036174D" w:rsidRDefault="00713A4E" w:rsidP="00713A4E">
      <w:pPr>
        <w:spacing w:after="120" w:line="240" w:lineRule="auto"/>
        <w:ind w:left="426" w:right="260"/>
        <w:contextualSpacing/>
        <w:rPr>
          <w:rFonts w:ascii="Arial" w:hAnsi="Arial" w:cs="Arial"/>
        </w:rPr>
      </w:pPr>
    </w:p>
    <w:p w14:paraId="2F7FF5AE"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Which term(s) the module is to be taught in (or other teaching pattern)</w:t>
      </w:r>
    </w:p>
    <w:p w14:paraId="5B00CDAE" w14:textId="081785A1" w:rsidR="009A2D37" w:rsidRDefault="003F4BCD" w:rsidP="00713A4E">
      <w:pPr>
        <w:spacing w:after="120" w:line="240" w:lineRule="auto"/>
        <w:ind w:left="426" w:right="260"/>
        <w:contextualSpacing/>
        <w:rPr>
          <w:rFonts w:ascii="Arial" w:hAnsi="Arial" w:cs="Arial"/>
          <w:iCs/>
        </w:rPr>
      </w:pPr>
      <w:r w:rsidRPr="0097125A">
        <w:rPr>
          <w:rFonts w:ascii="Arial" w:hAnsi="Arial" w:cs="Arial"/>
          <w:iCs/>
        </w:rPr>
        <w:t>Spring</w:t>
      </w:r>
    </w:p>
    <w:p w14:paraId="096E31C8" w14:textId="77777777" w:rsidR="00713A4E" w:rsidRPr="0036174D" w:rsidRDefault="00713A4E" w:rsidP="00713A4E">
      <w:pPr>
        <w:spacing w:after="120" w:line="240" w:lineRule="auto"/>
        <w:ind w:left="426" w:right="260"/>
        <w:contextualSpacing/>
        <w:rPr>
          <w:rFonts w:ascii="Arial" w:hAnsi="Arial" w:cs="Arial"/>
          <w:iCs/>
        </w:rPr>
      </w:pPr>
    </w:p>
    <w:p w14:paraId="48DF724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Prerequisite and co-requisite modules</w:t>
      </w:r>
    </w:p>
    <w:p w14:paraId="3F2F5D51" w14:textId="2EAA42AD" w:rsidR="009A2D37" w:rsidRDefault="00E373FD" w:rsidP="00713A4E">
      <w:pPr>
        <w:spacing w:after="120" w:line="240" w:lineRule="auto"/>
        <w:ind w:left="426" w:right="260"/>
        <w:contextualSpacing/>
        <w:rPr>
          <w:rFonts w:ascii="Arial" w:hAnsi="Arial" w:cs="Arial"/>
          <w:color w:val="000000"/>
        </w:rPr>
      </w:pPr>
      <w:r w:rsidRPr="00E373FD">
        <w:rPr>
          <w:rFonts w:ascii="Arial" w:hAnsi="Arial" w:cs="Arial"/>
        </w:rPr>
        <w:t>Prerequisite</w:t>
      </w:r>
      <w:r>
        <w:rPr>
          <w:rFonts w:ascii="Arial" w:hAnsi="Arial" w:cs="Arial"/>
        </w:rPr>
        <w:t xml:space="preserve">: </w:t>
      </w:r>
      <w:r w:rsidR="00BD4C45">
        <w:rPr>
          <w:rFonts w:ascii="Arial" w:hAnsi="Arial" w:cs="Arial"/>
        </w:rPr>
        <w:t>BUSN3750</w:t>
      </w:r>
      <w:r w:rsidRPr="00E373FD">
        <w:rPr>
          <w:rFonts w:ascii="Arial" w:hAnsi="Arial" w:cs="Arial"/>
        </w:rPr>
        <w:t xml:space="preserve"> </w:t>
      </w:r>
      <w:r w:rsidR="001C18C6" w:rsidRPr="001C18C6">
        <w:rPr>
          <w:rFonts w:ascii="Arial" w:hAnsi="Arial" w:cs="Arial"/>
        </w:rPr>
        <w:t xml:space="preserve">Fundamentals of Finance and Investments; </w:t>
      </w:r>
      <w:r w:rsidR="00BD4C45">
        <w:rPr>
          <w:rFonts w:ascii="Arial" w:hAnsi="Arial" w:cs="Arial"/>
        </w:rPr>
        <w:t>BUSN3760</w:t>
      </w:r>
      <w:r>
        <w:rPr>
          <w:rFonts w:ascii="Arial" w:hAnsi="Arial" w:cs="Arial"/>
        </w:rPr>
        <w:t xml:space="preserve"> </w:t>
      </w:r>
      <w:r w:rsidR="001C18C6" w:rsidRPr="001C18C6">
        <w:rPr>
          <w:rFonts w:ascii="Arial" w:hAnsi="Arial" w:cs="Arial"/>
          <w:color w:val="000000"/>
        </w:rPr>
        <w:t>Introduction to Financial Markets and Instruments</w:t>
      </w:r>
    </w:p>
    <w:p w14:paraId="54CCAEC7" w14:textId="77777777" w:rsidR="00713A4E" w:rsidRPr="001C18C6" w:rsidRDefault="00713A4E" w:rsidP="00713A4E">
      <w:pPr>
        <w:spacing w:after="120" w:line="240" w:lineRule="auto"/>
        <w:ind w:left="426" w:right="260"/>
        <w:contextualSpacing/>
        <w:rPr>
          <w:rFonts w:ascii="Arial" w:hAnsi="Arial" w:cs="Arial"/>
          <w:iCs/>
        </w:rPr>
      </w:pPr>
    </w:p>
    <w:p w14:paraId="171BB24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 xml:space="preserve">The programmes of study to which the module </w:t>
      </w:r>
      <w:proofErr w:type="gramStart"/>
      <w:r w:rsidRPr="00302082">
        <w:rPr>
          <w:rFonts w:ascii="Arial" w:hAnsi="Arial" w:cs="Arial"/>
          <w:b/>
        </w:rPr>
        <w:t>contributes</w:t>
      </w:r>
      <w:proofErr w:type="gramEnd"/>
    </w:p>
    <w:p w14:paraId="1C9272E8" w14:textId="2D295545" w:rsidR="009A2D37" w:rsidRDefault="00530970" w:rsidP="00713A4E">
      <w:pPr>
        <w:spacing w:after="120" w:line="240" w:lineRule="auto"/>
        <w:ind w:left="426" w:right="260"/>
        <w:contextualSpacing/>
        <w:rPr>
          <w:rFonts w:ascii="Arial" w:hAnsi="Arial" w:cs="Arial"/>
          <w:iCs/>
        </w:rPr>
      </w:pPr>
      <w:r w:rsidRPr="00530970">
        <w:rPr>
          <w:rFonts w:ascii="Arial" w:hAnsi="Arial" w:cs="Arial"/>
          <w:iCs/>
        </w:rPr>
        <w:t xml:space="preserve">BSc (Hons) Finance and Investment </w:t>
      </w:r>
      <w:r w:rsidR="003F46DA">
        <w:rPr>
          <w:rFonts w:ascii="Arial" w:hAnsi="Arial" w:cs="Arial"/>
          <w:iCs/>
        </w:rPr>
        <w:t>and associated programmes</w:t>
      </w:r>
    </w:p>
    <w:p w14:paraId="25B901CD" w14:textId="77777777" w:rsidR="00713A4E" w:rsidRPr="0036174D" w:rsidRDefault="00713A4E" w:rsidP="00713A4E">
      <w:pPr>
        <w:spacing w:after="120" w:line="240" w:lineRule="auto"/>
        <w:ind w:left="426" w:right="260"/>
        <w:contextualSpacing/>
        <w:rPr>
          <w:rFonts w:ascii="Arial" w:hAnsi="Arial" w:cs="Arial"/>
          <w:iCs/>
        </w:rPr>
      </w:pPr>
    </w:p>
    <w:p w14:paraId="394EFB75" w14:textId="229EC995" w:rsidR="009A2D37" w:rsidRDefault="009A2D37" w:rsidP="00713A4E">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5161F">
        <w:rPr>
          <w:rFonts w:ascii="Arial" w:hAnsi="Arial" w:cs="Arial"/>
          <w:b/>
        </w:rPr>
        <w:t>be able to</w:t>
      </w:r>
      <w:r w:rsidR="00C729D7" w:rsidRPr="00302082">
        <w:rPr>
          <w:rFonts w:ascii="Arial" w:hAnsi="Arial" w:cs="Arial"/>
          <w:b/>
        </w:rPr>
        <w:t>:</w:t>
      </w:r>
    </w:p>
    <w:p w14:paraId="261194CB" w14:textId="760DC950" w:rsidR="00437DB2" w:rsidRPr="00406478" w:rsidRDefault="0015161F" w:rsidP="00713A4E">
      <w:pPr>
        <w:pStyle w:val="ListParagraph"/>
        <w:numPr>
          <w:ilvl w:val="1"/>
          <w:numId w:val="1"/>
        </w:numPr>
        <w:spacing w:after="120" w:line="240" w:lineRule="auto"/>
        <w:ind w:left="851" w:right="260" w:hanging="425"/>
        <w:rPr>
          <w:rFonts w:ascii="Arial" w:hAnsi="Arial" w:cs="Arial"/>
        </w:rPr>
      </w:pPr>
      <w:r w:rsidRPr="00406478">
        <w:rPr>
          <w:rFonts w:ascii="Arial" w:hAnsi="Arial" w:cs="Arial"/>
        </w:rPr>
        <w:t>Demonstrate k</w:t>
      </w:r>
      <w:r w:rsidR="00437DB2" w:rsidRPr="00406478">
        <w:rPr>
          <w:rFonts w:ascii="Arial" w:hAnsi="Arial" w:cs="Arial"/>
        </w:rPr>
        <w:t>nowledge and critical understanding of common derivative instruments</w:t>
      </w:r>
      <w:r w:rsidR="00B335D3" w:rsidRPr="00406478">
        <w:rPr>
          <w:rFonts w:ascii="Arial" w:hAnsi="Arial" w:cs="Arial"/>
        </w:rPr>
        <w:t xml:space="preserve">, </w:t>
      </w:r>
      <w:r w:rsidR="00437DB2" w:rsidRPr="00406478">
        <w:rPr>
          <w:rFonts w:ascii="Arial" w:hAnsi="Arial" w:cs="Arial"/>
        </w:rPr>
        <w:t xml:space="preserve">their </w:t>
      </w:r>
      <w:proofErr w:type="gramStart"/>
      <w:r w:rsidR="00437DB2" w:rsidRPr="00406478">
        <w:rPr>
          <w:rFonts w:ascii="Arial" w:hAnsi="Arial" w:cs="Arial"/>
        </w:rPr>
        <w:t>characteristics</w:t>
      </w:r>
      <w:proofErr w:type="gramEnd"/>
      <w:r w:rsidR="00B335D3" w:rsidRPr="00406478">
        <w:rPr>
          <w:rFonts w:ascii="Arial" w:hAnsi="Arial" w:cs="Arial"/>
        </w:rPr>
        <w:t xml:space="preserve"> and potential uses</w:t>
      </w:r>
      <w:r w:rsidR="00ED676F" w:rsidRPr="00406478">
        <w:rPr>
          <w:rFonts w:ascii="Arial" w:hAnsi="Arial" w:cs="Arial"/>
        </w:rPr>
        <w:t>.</w:t>
      </w:r>
    </w:p>
    <w:p w14:paraId="0B85E8B2" w14:textId="78F385D4" w:rsidR="0095013F" w:rsidRDefault="0015161F" w:rsidP="00713A4E">
      <w:pPr>
        <w:pStyle w:val="ListParagraph"/>
        <w:numPr>
          <w:ilvl w:val="1"/>
          <w:numId w:val="1"/>
        </w:numPr>
        <w:spacing w:after="120" w:line="240" w:lineRule="auto"/>
        <w:ind w:left="851" w:right="260" w:hanging="425"/>
        <w:rPr>
          <w:rFonts w:ascii="Arial" w:hAnsi="Arial" w:cs="Arial"/>
        </w:rPr>
      </w:pPr>
      <w:r>
        <w:rPr>
          <w:rFonts w:ascii="Arial" w:hAnsi="Arial" w:cs="Arial"/>
        </w:rPr>
        <w:t>U</w:t>
      </w:r>
      <w:r w:rsidR="00437DB2">
        <w:rPr>
          <w:rFonts w:ascii="Arial" w:hAnsi="Arial" w:cs="Arial"/>
        </w:rPr>
        <w:t xml:space="preserve">se derivative instruments for risk management </w:t>
      </w:r>
      <w:r w:rsidR="00B335D3">
        <w:rPr>
          <w:rFonts w:ascii="Arial" w:hAnsi="Arial" w:cs="Arial"/>
        </w:rPr>
        <w:t xml:space="preserve">and arbitrage </w:t>
      </w:r>
      <w:r w:rsidR="00437DB2">
        <w:rPr>
          <w:rFonts w:ascii="Arial" w:hAnsi="Arial" w:cs="Arial"/>
        </w:rPr>
        <w:t>purposes</w:t>
      </w:r>
      <w:r w:rsidR="00ED676F">
        <w:rPr>
          <w:rFonts w:ascii="Arial" w:hAnsi="Arial" w:cs="Arial"/>
        </w:rPr>
        <w:t>.</w:t>
      </w:r>
    </w:p>
    <w:p w14:paraId="2B3CA9F1" w14:textId="1BECA93B" w:rsidR="00437DB2" w:rsidRDefault="0015161F" w:rsidP="00713A4E">
      <w:pPr>
        <w:pStyle w:val="ListParagraph"/>
        <w:numPr>
          <w:ilvl w:val="1"/>
          <w:numId w:val="1"/>
        </w:numPr>
        <w:spacing w:after="120" w:line="240" w:lineRule="auto"/>
        <w:ind w:left="851" w:right="260" w:hanging="425"/>
        <w:rPr>
          <w:rFonts w:ascii="Arial" w:hAnsi="Arial" w:cs="Arial"/>
        </w:rPr>
      </w:pPr>
      <w:r>
        <w:rPr>
          <w:rFonts w:ascii="Arial" w:hAnsi="Arial" w:cs="Arial"/>
        </w:rPr>
        <w:t>Demonstrate k</w:t>
      </w:r>
      <w:r w:rsidR="00437DB2">
        <w:rPr>
          <w:rFonts w:ascii="Arial" w:hAnsi="Arial" w:cs="Arial"/>
        </w:rPr>
        <w:t>nowledge and critical understanding of how to value forward, futures, and options contracts</w:t>
      </w:r>
      <w:r w:rsidR="00ED676F">
        <w:rPr>
          <w:rFonts w:ascii="Arial" w:hAnsi="Arial" w:cs="Arial"/>
        </w:rPr>
        <w:t>.</w:t>
      </w:r>
    </w:p>
    <w:p w14:paraId="51503BA5" w14:textId="61EC259D" w:rsidR="00437DB2" w:rsidRPr="00E70A55" w:rsidRDefault="0015161F" w:rsidP="00713A4E">
      <w:pPr>
        <w:pStyle w:val="ListParagraph"/>
        <w:numPr>
          <w:ilvl w:val="1"/>
          <w:numId w:val="1"/>
        </w:numPr>
        <w:spacing w:after="120" w:line="240" w:lineRule="auto"/>
        <w:ind w:left="851" w:right="260" w:hanging="425"/>
        <w:rPr>
          <w:rFonts w:ascii="Arial" w:hAnsi="Arial" w:cs="Arial"/>
        </w:rPr>
      </w:pPr>
      <w:r>
        <w:rPr>
          <w:rFonts w:ascii="Arial" w:hAnsi="Arial" w:cs="Arial"/>
        </w:rPr>
        <w:t>V</w:t>
      </w:r>
      <w:r w:rsidR="00ED676F">
        <w:rPr>
          <w:rFonts w:ascii="Arial" w:hAnsi="Arial" w:cs="Arial"/>
        </w:rPr>
        <w:t>alue derivative instruments using alternative methods.</w:t>
      </w:r>
    </w:p>
    <w:p w14:paraId="0E0D1285" w14:textId="77777777" w:rsidR="00C729D7" w:rsidRPr="00302082" w:rsidRDefault="009A2D37" w:rsidP="00713A4E">
      <w:pPr>
        <w:numPr>
          <w:ilvl w:val="0"/>
          <w:numId w:val="1"/>
        </w:numPr>
        <w:spacing w:after="120" w:line="240" w:lineRule="auto"/>
        <w:ind w:left="426" w:right="260" w:hanging="426"/>
        <w:contextualSpacing/>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68C292C" w14:textId="5C10C5B1" w:rsidR="0063623F" w:rsidRDefault="00C52516" w:rsidP="00713A4E">
      <w:pPr>
        <w:pStyle w:val="ListParagraph"/>
        <w:numPr>
          <w:ilvl w:val="1"/>
          <w:numId w:val="1"/>
        </w:numPr>
        <w:spacing w:after="120" w:line="240" w:lineRule="auto"/>
        <w:ind w:left="851" w:right="260" w:hanging="425"/>
        <w:rPr>
          <w:rFonts w:ascii="Arial" w:hAnsi="Arial" w:cs="Arial"/>
        </w:rPr>
      </w:pPr>
      <w:r>
        <w:rPr>
          <w:rFonts w:ascii="Arial" w:hAnsi="Arial" w:cs="Arial"/>
        </w:rPr>
        <w:t>R</w:t>
      </w:r>
      <w:r w:rsidRPr="00C61587">
        <w:rPr>
          <w:rFonts w:ascii="Arial" w:hAnsi="Arial" w:cs="Arial"/>
        </w:rPr>
        <w:t xml:space="preserve">esearch, plan, </w:t>
      </w:r>
      <w:r>
        <w:rPr>
          <w:rFonts w:ascii="Arial" w:hAnsi="Arial" w:cs="Arial"/>
        </w:rPr>
        <w:t>and work independently</w:t>
      </w:r>
      <w:r w:rsidRPr="00C61587">
        <w:rPr>
          <w:rFonts w:ascii="Arial" w:hAnsi="Arial" w:cs="Arial"/>
        </w:rPr>
        <w:t>.</w:t>
      </w:r>
    </w:p>
    <w:p w14:paraId="7A9A4B53" w14:textId="77777777" w:rsidR="00A47C71" w:rsidRPr="0063623F" w:rsidRDefault="00A47C71" w:rsidP="00713A4E">
      <w:pPr>
        <w:pStyle w:val="ListParagraph"/>
        <w:numPr>
          <w:ilvl w:val="1"/>
          <w:numId w:val="1"/>
        </w:numPr>
        <w:spacing w:after="120" w:line="240" w:lineRule="auto"/>
        <w:ind w:left="851" w:right="260" w:hanging="425"/>
        <w:rPr>
          <w:rFonts w:ascii="Arial" w:hAnsi="Arial" w:cs="Arial"/>
        </w:rPr>
      </w:pPr>
      <w:bookmarkStart w:id="0" w:name="_Hlk497059738"/>
      <w:r>
        <w:rPr>
          <w:rFonts w:ascii="Arial" w:hAnsi="Arial" w:cs="Arial"/>
        </w:rPr>
        <w:t>Understand risk management and arbitrage techniques</w:t>
      </w:r>
      <w:r w:rsidRPr="00406478">
        <w:rPr>
          <w:rFonts w:ascii="Arial" w:hAnsi="Arial" w:cs="Arial"/>
        </w:rPr>
        <w:t xml:space="preserve">. </w:t>
      </w:r>
    </w:p>
    <w:bookmarkEnd w:id="0"/>
    <w:p w14:paraId="260C5417" w14:textId="2BC1B941" w:rsidR="00C52516" w:rsidRDefault="00C52516" w:rsidP="00713A4E">
      <w:pPr>
        <w:pStyle w:val="ListParagraph"/>
        <w:numPr>
          <w:ilvl w:val="1"/>
          <w:numId w:val="1"/>
        </w:numPr>
        <w:spacing w:after="120" w:line="240" w:lineRule="auto"/>
        <w:ind w:left="851" w:right="260" w:hanging="425"/>
        <w:rPr>
          <w:rFonts w:ascii="Arial" w:hAnsi="Arial" w:cs="Arial"/>
        </w:rPr>
      </w:pPr>
      <w:r>
        <w:rPr>
          <w:rFonts w:ascii="Arial" w:hAnsi="Arial" w:cs="Arial"/>
        </w:rPr>
        <w:t>Apply quantitative and</w:t>
      </w:r>
      <w:r w:rsidRPr="00433096">
        <w:rPr>
          <w:rFonts w:ascii="Arial" w:hAnsi="Arial" w:cs="Arial"/>
        </w:rPr>
        <w:t xml:space="preserve"> </w:t>
      </w:r>
      <w:proofErr w:type="gramStart"/>
      <w:r w:rsidRPr="00433096">
        <w:rPr>
          <w:rFonts w:ascii="Arial" w:hAnsi="Arial" w:cs="Arial"/>
        </w:rPr>
        <w:t>prob</w:t>
      </w:r>
      <w:r>
        <w:rPr>
          <w:rFonts w:ascii="Arial" w:hAnsi="Arial" w:cs="Arial"/>
        </w:rPr>
        <w:t>lem solving</w:t>
      </w:r>
      <w:proofErr w:type="gramEnd"/>
      <w:r>
        <w:rPr>
          <w:rFonts w:ascii="Arial" w:hAnsi="Arial" w:cs="Arial"/>
        </w:rPr>
        <w:t xml:space="preserve"> </w:t>
      </w:r>
      <w:r w:rsidR="00BE5887">
        <w:rPr>
          <w:rFonts w:ascii="Arial" w:hAnsi="Arial" w:cs="Arial"/>
        </w:rPr>
        <w:t>techniques</w:t>
      </w:r>
      <w:r w:rsidR="00E97515">
        <w:rPr>
          <w:rFonts w:ascii="Arial" w:hAnsi="Arial" w:cs="Arial"/>
        </w:rPr>
        <w:t xml:space="preserve"> to complete or abstract data.</w:t>
      </w:r>
    </w:p>
    <w:p w14:paraId="4202B778" w14:textId="301C817A" w:rsidR="00C52516" w:rsidRPr="00C52516" w:rsidRDefault="00E97515" w:rsidP="00713A4E">
      <w:pPr>
        <w:pStyle w:val="ListParagraph"/>
        <w:numPr>
          <w:ilvl w:val="1"/>
          <w:numId w:val="1"/>
        </w:numPr>
        <w:spacing w:after="120" w:line="240" w:lineRule="auto"/>
        <w:ind w:left="851" w:right="260" w:hanging="425"/>
        <w:rPr>
          <w:rFonts w:ascii="Arial" w:hAnsi="Arial" w:cs="Arial"/>
        </w:rPr>
      </w:pPr>
      <w:r w:rsidRPr="00406478">
        <w:rPr>
          <w:rFonts w:ascii="Arial" w:hAnsi="Arial" w:cs="Arial"/>
        </w:rPr>
        <w:t>C</w:t>
      </w:r>
      <w:r w:rsidR="0063623F" w:rsidRPr="00406478">
        <w:rPr>
          <w:rFonts w:ascii="Arial" w:hAnsi="Arial" w:cs="Arial"/>
        </w:rPr>
        <w:t>ritically evaluate ar</w:t>
      </w:r>
      <w:r w:rsidRPr="00406478">
        <w:rPr>
          <w:rFonts w:ascii="Arial" w:hAnsi="Arial" w:cs="Arial"/>
        </w:rPr>
        <w:t>guments and</w:t>
      </w:r>
      <w:r w:rsidR="0063623F" w:rsidRPr="00406478">
        <w:rPr>
          <w:rFonts w:ascii="Arial" w:hAnsi="Arial" w:cs="Arial"/>
        </w:rPr>
        <w:t xml:space="preserve"> </w:t>
      </w:r>
      <w:proofErr w:type="gramStart"/>
      <w:r w:rsidR="0063623F" w:rsidRPr="00406478">
        <w:rPr>
          <w:rFonts w:ascii="Arial" w:hAnsi="Arial" w:cs="Arial"/>
        </w:rPr>
        <w:t xml:space="preserve">assumptions, </w:t>
      </w:r>
      <w:r w:rsidRPr="00406478">
        <w:rPr>
          <w:rFonts w:ascii="Arial" w:hAnsi="Arial" w:cs="Arial"/>
        </w:rPr>
        <w:t>and</w:t>
      </w:r>
      <w:proofErr w:type="gramEnd"/>
      <w:r w:rsidRPr="00406478">
        <w:rPr>
          <w:rFonts w:ascii="Arial" w:hAnsi="Arial" w:cs="Arial"/>
        </w:rPr>
        <w:t xml:space="preserve"> </w:t>
      </w:r>
      <w:r w:rsidR="0063623F">
        <w:rPr>
          <w:rFonts w:ascii="Arial" w:hAnsi="Arial" w:cs="Arial"/>
        </w:rPr>
        <w:t xml:space="preserve">make judgements </w:t>
      </w:r>
      <w:r>
        <w:rPr>
          <w:rFonts w:ascii="Arial" w:hAnsi="Arial" w:cs="Arial"/>
        </w:rPr>
        <w:t>to</w:t>
      </w:r>
      <w:r w:rsidR="0063623F">
        <w:rPr>
          <w:rFonts w:ascii="Arial" w:hAnsi="Arial" w:cs="Arial"/>
        </w:rPr>
        <w:t xml:space="preserve"> offer alternative solutions</w:t>
      </w:r>
      <w:r w:rsidR="00C52516">
        <w:rPr>
          <w:rFonts w:ascii="Arial" w:hAnsi="Arial" w:cs="Arial"/>
        </w:rPr>
        <w:t>.</w:t>
      </w:r>
    </w:p>
    <w:p w14:paraId="7D454A83" w14:textId="77777777" w:rsidR="009A2D37" w:rsidRPr="00302082" w:rsidRDefault="009A2D37" w:rsidP="00713A4E">
      <w:pPr>
        <w:numPr>
          <w:ilvl w:val="0"/>
          <w:numId w:val="1"/>
        </w:numPr>
        <w:spacing w:after="120" w:line="240" w:lineRule="auto"/>
        <w:ind w:left="426" w:right="260" w:hanging="426"/>
        <w:contextualSpacing/>
        <w:jc w:val="both"/>
        <w:rPr>
          <w:rFonts w:ascii="Arial" w:hAnsi="Arial" w:cs="Arial"/>
          <w:b/>
        </w:rPr>
      </w:pPr>
      <w:r w:rsidRPr="00302082">
        <w:rPr>
          <w:rFonts w:ascii="Arial" w:hAnsi="Arial" w:cs="Arial"/>
          <w:b/>
        </w:rPr>
        <w:t>A synopsis of the curriculum</w:t>
      </w:r>
    </w:p>
    <w:p w14:paraId="66486E36" w14:textId="66B6A3DB" w:rsidR="009A2D37" w:rsidRPr="001C18C6" w:rsidRDefault="0026757F" w:rsidP="00713A4E">
      <w:pPr>
        <w:spacing w:after="120" w:line="240" w:lineRule="auto"/>
        <w:ind w:left="426" w:right="260"/>
        <w:contextualSpacing/>
        <w:rPr>
          <w:rFonts w:ascii="Arial" w:hAnsi="Arial" w:cs="Arial"/>
        </w:rPr>
      </w:pPr>
      <w:r>
        <w:rPr>
          <w:rFonts w:ascii="Arial" w:hAnsi="Arial" w:cs="Arial"/>
          <w:iCs/>
        </w:rPr>
        <w:t xml:space="preserve">This module </w:t>
      </w:r>
      <w:r w:rsidR="003F4BCD">
        <w:rPr>
          <w:rFonts w:ascii="Arial" w:hAnsi="Arial" w:cs="Arial"/>
          <w:iCs/>
        </w:rPr>
        <w:t>is concerned with derivative securities used by the investors for hedging (risk management), speculation and arbitrage purposes. In this module students learn about various derivative instruments such as forwards, futures and options contracts on a range of different underlying assets. These underlying assets could be physical assets</w:t>
      </w:r>
      <w:r w:rsidR="00437DB2">
        <w:rPr>
          <w:rFonts w:ascii="Arial" w:hAnsi="Arial" w:cs="Arial"/>
          <w:iCs/>
        </w:rPr>
        <w:t xml:space="preserve"> such as commodities (gold, oil, etc.)</w:t>
      </w:r>
      <w:r w:rsidR="003F4BCD">
        <w:rPr>
          <w:rFonts w:ascii="Arial" w:hAnsi="Arial" w:cs="Arial"/>
          <w:iCs/>
        </w:rPr>
        <w:t xml:space="preserve"> or financial securities</w:t>
      </w:r>
      <w:r w:rsidR="00437DB2">
        <w:rPr>
          <w:rFonts w:ascii="Arial" w:hAnsi="Arial" w:cs="Arial"/>
          <w:iCs/>
        </w:rPr>
        <w:t xml:space="preserve"> (currencies, stocks, etc.)</w:t>
      </w:r>
      <w:r w:rsidR="003F4BCD">
        <w:rPr>
          <w:rFonts w:ascii="Arial" w:hAnsi="Arial" w:cs="Arial"/>
          <w:iCs/>
        </w:rPr>
        <w:t xml:space="preserve">. Students also learn about </w:t>
      </w:r>
      <w:r w:rsidR="00437DB2">
        <w:rPr>
          <w:rFonts w:ascii="Arial" w:hAnsi="Arial" w:cs="Arial"/>
          <w:iCs/>
        </w:rPr>
        <w:t>how these derivative instruments</w:t>
      </w:r>
      <w:r w:rsidR="003F4BCD">
        <w:rPr>
          <w:rFonts w:ascii="Arial" w:hAnsi="Arial" w:cs="Arial"/>
          <w:iCs/>
        </w:rPr>
        <w:t xml:space="preserve"> are valued. The </w:t>
      </w:r>
      <w:proofErr w:type="gramStart"/>
      <w:r w:rsidR="003F4BCD">
        <w:rPr>
          <w:rFonts w:ascii="Arial" w:hAnsi="Arial" w:cs="Arial"/>
          <w:iCs/>
        </w:rPr>
        <w:t>main focus</w:t>
      </w:r>
      <w:proofErr w:type="gramEnd"/>
      <w:r w:rsidR="003F4BCD">
        <w:rPr>
          <w:rFonts w:ascii="Arial" w:hAnsi="Arial" w:cs="Arial"/>
          <w:iCs/>
        </w:rPr>
        <w:t xml:space="preserve"> behind the use of these derivatives would be from risk management</w:t>
      </w:r>
      <w:r w:rsidR="00BD272F">
        <w:rPr>
          <w:rFonts w:ascii="Arial" w:hAnsi="Arial" w:cs="Arial"/>
          <w:iCs/>
        </w:rPr>
        <w:t xml:space="preserve"> perspective</w:t>
      </w:r>
      <w:r w:rsidR="00371996">
        <w:rPr>
          <w:rFonts w:ascii="Arial" w:hAnsi="Arial" w:cs="Arial"/>
          <w:iCs/>
        </w:rPr>
        <w:t>.</w:t>
      </w:r>
      <w:r w:rsidR="00F51648">
        <w:rPr>
          <w:rFonts w:ascii="Arial" w:hAnsi="Arial" w:cs="Arial"/>
          <w:iCs/>
        </w:rPr>
        <w:t xml:space="preserve"> </w:t>
      </w:r>
      <w:r w:rsidR="003F46DA">
        <w:rPr>
          <w:rFonts w:ascii="Arial" w:hAnsi="Arial" w:cs="Arial"/>
          <w:iCs/>
        </w:rPr>
        <w:t>T</w:t>
      </w:r>
      <w:r>
        <w:rPr>
          <w:rFonts w:ascii="Arial" w:hAnsi="Arial" w:cs="Arial"/>
          <w:iCs/>
        </w:rPr>
        <w:t xml:space="preserve">his module aims to cover the following </w:t>
      </w:r>
      <w:r w:rsidR="003F46DA">
        <w:rPr>
          <w:rFonts w:ascii="Arial" w:hAnsi="Arial" w:cs="Arial"/>
          <w:iCs/>
        </w:rPr>
        <w:t xml:space="preserve">indicative </w:t>
      </w:r>
      <w:r>
        <w:rPr>
          <w:rFonts w:ascii="Arial" w:hAnsi="Arial" w:cs="Arial"/>
          <w:iCs/>
        </w:rPr>
        <w:t>topics:</w:t>
      </w:r>
    </w:p>
    <w:p w14:paraId="03B8F9BE" w14:textId="77777777" w:rsidR="00BD272F" w:rsidRPr="00BD272F" w:rsidRDefault="00437DB2" w:rsidP="00713A4E">
      <w:pPr>
        <w:pStyle w:val="ListParagraph"/>
        <w:numPr>
          <w:ilvl w:val="0"/>
          <w:numId w:val="12"/>
        </w:numPr>
        <w:spacing w:after="120" w:line="240" w:lineRule="auto"/>
        <w:ind w:right="260"/>
        <w:rPr>
          <w:rFonts w:ascii="Arial" w:hAnsi="Arial" w:cs="Arial"/>
          <w:iCs/>
        </w:rPr>
      </w:pPr>
      <w:r>
        <w:rPr>
          <w:rFonts w:ascii="Arial" w:hAnsi="Arial" w:cs="Arial"/>
          <w:iCs/>
        </w:rPr>
        <w:t>Types of derivative instruments and their c</w:t>
      </w:r>
      <w:r w:rsidR="00BD272F" w:rsidRPr="00BD272F">
        <w:rPr>
          <w:rFonts w:ascii="Arial" w:hAnsi="Arial" w:cs="Arial"/>
          <w:iCs/>
        </w:rPr>
        <w:t>haracteristics</w:t>
      </w:r>
    </w:p>
    <w:p w14:paraId="6A51A59E" w14:textId="77777777" w:rsidR="00BD272F" w:rsidRPr="00BD272F" w:rsidRDefault="00BD272F" w:rsidP="00713A4E">
      <w:pPr>
        <w:pStyle w:val="ListParagraph"/>
        <w:numPr>
          <w:ilvl w:val="0"/>
          <w:numId w:val="12"/>
        </w:numPr>
        <w:spacing w:after="120" w:line="240" w:lineRule="auto"/>
        <w:ind w:right="260"/>
        <w:rPr>
          <w:rFonts w:ascii="Arial" w:hAnsi="Arial" w:cs="Arial"/>
          <w:iCs/>
        </w:rPr>
      </w:pPr>
      <w:r w:rsidRPr="00BD272F">
        <w:rPr>
          <w:rFonts w:ascii="Arial" w:hAnsi="Arial" w:cs="Arial"/>
          <w:iCs/>
        </w:rPr>
        <w:t xml:space="preserve">Forward </w:t>
      </w:r>
      <w:r w:rsidR="00437DB2">
        <w:rPr>
          <w:rFonts w:ascii="Arial" w:hAnsi="Arial" w:cs="Arial"/>
          <w:iCs/>
        </w:rPr>
        <w:t>contracts</w:t>
      </w:r>
      <w:r w:rsidRPr="00BD272F">
        <w:rPr>
          <w:rFonts w:ascii="Arial" w:hAnsi="Arial" w:cs="Arial"/>
          <w:iCs/>
        </w:rPr>
        <w:t xml:space="preserve"> and </w:t>
      </w:r>
      <w:r w:rsidR="00437DB2">
        <w:rPr>
          <w:rFonts w:ascii="Arial" w:hAnsi="Arial" w:cs="Arial"/>
          <w:iCs/>
        </w:rPr>
        <w:t>their valuation</w:t>
      </w:r>
    </w:p>
    <w:p w14:paraId="594B960F" w14:textId="77777777" w:rsidR="00BD272F" w:rsidRPr="00BD272F" w:rsidRDefault="00BD272F" w:rsidP="00713A4E">
      <w:pPr>
        <w:pStyle w:val="ListParagraph"/>
        <w:numPr>
          <w:ilvl w:val="0"/>
          <w:numId w:val="12"/>
        </w:numPr>
        <w:spacing w:after="120" w:line="240" w:lineRule="auto"/>
        <w:ind w:right="260"/>
        <w:rPr>
          <w:rFonts w:ascii="Arial" w:hAnsi="Arial" w:cs="Arial"/>
          <w:iCs/>
        </w:rPr>
      </w:pPr>
      <w:r w:rsidRPr="00BD272F">
        <w:rPr>
          <w:rFonts w:ascii="Arial" w:hAnsi="Arial" w:cs="Arial"/>
          <w:iCs/>
        </w:rPr>
        <w:t xml:space="preserve">Futures </w:t>
      </w:r>
      <w:r w:rsidR="00437DB2">
        <w:rPr>
          <w:rFonts w:ascii="Arial" w:hAnsi="Arial" w:cs="Arial"/>
          <w:iCs/>
        </w:rPr>
        <w:t>contracts</w:t>
      </w:r>
      <w:r w:rsidRPr="00BD272F">
        <w:rPr>
          <w:rFonts w:ascii="Arial" w:hAnsi="Arial" w:cs="Arial"/>
          <w:iCs/>
        </w:rPr>
        <w:t xml:space="preserve"> and </w:t>
      </w:r>
      <w:r w:rsidR="00437DB2">
        <w:rPr>
          <w:rFonts w:ascii="Arial" w:hAnsi="Arial" w:cs="Arial"/>
          <w:iCs/>
        </w:rPr>
        <w:t>their valuation</w:t>
      </w:r>
    </w:p>
    <w:p w14:paraId="43C89A5C" w14:textId="77777777" w:rsidR="00BD272F" w:rsidRPr="00BD272F" w:rsidRDefault="00BD272F" w:rsidP="00713A4E">
      <w:pPr>
        <w:pStyle w:val="ListParagraph"/>
        <w:numPr>
          <w:ilvl w:val="0"/>
          <w:numId w:val="12"/>
        </w:numPr>
        <w:spacing w:after="120" w:line="240" w:lineRule="auto"/>
        <w:ind w:right="260"/>
        <w:rPr>
          <w:rFonts w:ascii="Arial" w:hAnsi="Arial" w:cs="Arial"/>
          <w:iCs/>
        </w:rPr>
      </w:pPr>
      <w:r w:rsidRPr="00BD272F">
        <w:rPr>
          <w:rFonts w:ascii="Arial" w:hAnsi="Arial" w:cs="Arial"/>
          <w:iCs/>
        </w:rPr>
        <w:t xml:space="preserve">Options </w:t>
      </w:r>
      <w:r w:rsidR="00437DB2">
        <w:rPr>
          <w:rFonts w:ascii="Arial" w:hAnsi="Arial" w:cs="Arial"/>
          <w:iCs/>
        </w:rPr>
        <w:t xml:space="preserve">contracts </w:t>
      </w:r>
      <w:r w:rsidRPr="00BD272F">
        <w:rPr>
          <w:rFonts w:ascii="Arial" w:hAnsi="Arial" w:cs="Arial"/>
          <w:iCs/>
        </w:rPr>
        <w:t xml:space="preserve">and </w:t>
      </w:r>
      <w:r w:rsidR="00437DB2">
        <w:rPr>
          <w:rFonts w:ascii="Arial" w:hAnsi="Arial" w:cs="Arial"/>
          <w:iCs/>
        </w:rPr>
        <w:t>their valuation</w:t>
      </w:r>
    </w:p>
    <w:p w14:paraId="01D69E42" w14:textId="77777777" w:rsidR="00F51648" w:rsidRPr="00CF711B" w:rsidRDefault="00437DB2" w:rsidP="00713A4E">
      <w:pPr>
        <w:pStyle w:val="ListParagraph"/>
        <w:numPr>
          <w:ilvl w:val="0"/>
          <w:numId w:val="12"/>
        </w:numPr>
        <w:spacing w:after="120" w:line="240" w:lineRule="auto"/>
        <w:ind w:right="260"/>
        <w:rPr>
          <w:rFonts w:ascii="Arial" w:hAnsi="Arial" w:cs="Arial"/>
          <w:iCs/>
        </w:rPr>
      </w:pPr>
      <w:r>
        <w:rPr>
          <w:rFonts w:ascii="Arial" w:hAnsi="Arial" w:cs="Arial"/>
          <w:iCs/>
        </w:rPr>
        <w:t>Uses of derivatives in portfolio m</w:t>
      </w:r>
      <w:r w:rsidR="00BD272F" w:rsidRPr="00BD272F">
        <w:rPr>
          <w:rFonts w:ascii="Arial" w:hAnsi="Arial" w:cs="Arial"/>
          <w:iCs/>
        </w:rPr>
        <w:t>anagement</w:t>
      </w:r>
    </w:p>
    <w:p w14:paraId="2181ED7F" w14:textId="69678303" w:rsidR="006A14A3" w:rsidRDefault="006A14A3" w:rsidP="00713A4E">
      <w:pPr>
        <w:contextualSpacing/>
        <w:rPr>
          <w:rFonts w:ascii="Arial" w:hAnsi="Arial" w:cs="Arial"/>
          <w:iCs/>
        </w:rPr>
      </w:pPr>
      <w:r>
        <w:rPr>
          <w:rFonts w:ascii="Arial" w:hAnsi="Arial" w:cs="Arial"/>
          <w:iCs/>
        </w:rPr>
        <w:br w:type="page"/>
      </w:r>
    </w:p>
    <w:p w14:paraId="1080D85D" w14:textId="77777777" w:rsidR="009A2D37" w:rsidRPr="00302082" w:rsidRDefault="002A7F48" w:rsidP="00713A4E">
      <w:pPr>
        <w:numPr>
          <w:ilvl w:val="0"/>
          <w:numId w:val="1"/>
        </w:numPr>
        <w:spacing w:after="120" w:line="240" w:lineRule="auto"/>
        <w:ind w:left="426" w:right="260" w:hanging="426"/>
        <w:contextualSpacing/>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9F92D3F" w14:textId="77777777" w:rsidR="0075103F" w:rsidRPr="00BD272F" w:rsidRDefault="00BD272F" w:rsidP="00713A4E">
      <w:pPr>
        <w:pStyle w:val="ListParagraph"/>
        <w:numPr>
          <w:ilvl w:val="0"/>
          <w:numId w:val="12"/>
        </w:numPr>
        <w:spacing w:after="0" w:line="240" w:lineRule="auto"/>
        <w:jc w:val="both"/>
        <w:rPr>
          <w:rFonts w:ascii="Arial" w:hAnsi="Arial" w:cs="Arial"/>
        </w:rPr>
      </w:pPr>
      <w:r w:rsidRPr="00BD272F">
        <w:rPr>
          <w:rFonts w:ascii="Arial" w:hAnsi="Arial" w:cs="Arial"/>
        </w:rPr>
        <w:t xml:space="preserve">Hull, J. C. (2011), </w:t>
      </w:r>
      <w:r w:rsidRPr="00FB4D49">
        <w:rPr>
          <w:rFonts w:ascii="Arial" w:hAnsi="Arial" w:cs="Arial"/>
          <w:i/>
        </w:rPr>
        <w:t>Fundamentals of Futures and Options Markets</w:t>
      </w:r>
      <w:r w:rsidRPr="00BD272F">
        <w:rPr>
          <w:rFonts w:ascii="Arial" w:hAnsi="Arial" w:cs="Arial"/>
        </w:rPr>
        <w:t>, 7</w:t>
      </w:r>
      <w:r w:rsidRPr="00BD272F">
        <w:rPr>
          <w:rFonts w:ascii="Arial" w:hAnsi="Arial" w:cs="Arial"/>
          <w:vertAlign w:val="superscript"/>
        </w:rPr>
        <w:t>th</w:t>
      </w:r>
      <w:r w:rsidRPr="00BD272F">
        <w:rPr>
          <w:rFonts w:ascii="Arial" w:hAnsi="Arial" w:cs="Arial"/>
        </w:rPr>
        <w:t xml:space="preserve"> Edition, London: Pearson Education</w:t>
      </w:r>
    </w:p>
    <w:p w14:paraId="27498BFA" w14:textId="0BE53B31" w:rsidR="00593B39" w:rsidRPr="00BD272F" w:rsidRDefault="0075103F" w:rsidP="00713A4E">
      <w:pPr>
        <w:pStyle w:val="ListParagraph"/>
        <w:numPr>
          <w:ilvl w:val="0"/>
          <w:numId w:val="12"/>
        </w:numPr>
        <w:spacing w:after="0" w:line="240" w:lineRule="auto"/>
        <w:jc w:val="both"/>
        <w:rPr>
          <w:rFonts w:ascii="Arial" w:hAnsi="Arial" w:cs="Arial"/>
        </w:rPr>
      </w:pPr>
      <w:r w:rsidRPr="00BD272F">
        <w:rPr>
          <w:rFonts w:ascii="Arial" w:hAnsi="Arial" w:cs="Arial"/>
        </w:rPr>
        <w:t>Brealey, A., Myers, S., and Allen, F. (201</w:t>
      </w:r>
      <w:r w:rsidR="00C7017A" w:rsidRPr="00BD272F">
        <w:rPr>
          <w:rFonts w:ascii="Arial" w:hAnsi="Arial" w:cs="Arial"/>
        </w:rPr>
        <w:t>7)</w:t>
      </w:r>
      <w:r w:rsidRPr="00BD272F">
        <w:rPr>
          <w:rFonts w:ascii="Arial" w:hAnsi="Arial" w:cs="Arial"/>
        </w:rPr>
        <w:t xml:space="preserve"> </w:t>
      </w:r>
      <w:r w:rsidRPr="00FB4D49">
        <w:rPr>
          <w:rFonts w:ascii="Arial" w:hAnsi="Arial" w:cs="Arial"/>
          <w:i/>
        </w:rPr>
        <w:t>Principles of Corporate Finance</w:t>
      </w:r>
      <w:r w:rsidRPr="00BD272F">
        <w:rPr>
          <w:rFonts w:ascii="Arial" w:hAnsi="Arial" w:cs="Arial"/>
        </w:rPr>
        <w:t xml:space="preserve">, Global Edition, </w:t>
      </w:r>
      <w:r w:rsidR="00C7017A" w:rsidRPr="00BD272F">
        <w:rPr>
          <w:rFonts w:ascii="Arial" w:hAnsi="Arial" w:cs="Arial"/>
        </w:rPr>
        <w:t>12</w:t>
      </w:r>
      <w:r w:rsidR="00C7017A" w:rsidRPr="00BD272F">
        <w:rPr>
          <w:rFonts w:ascii="Arial" w:hAnsi="Arial" w:cs="Arial"/>
          <w:vertAlign w:val="superscript"/>
        </w:rPr>
        <w:t>th</w:t>
      </w:r>
      <w:r w:rsidR="00C7017A" w:rsidRPr="00BD272F">
        <w:rPr>
          <w:rFonts w:ascii="Arial" w:hAnsi="Arial" w:cs="Arial"/>
        </w:rPr>
        <w:t xml:space="preserve"> Ed</w:t>
      </w:r>
      <w:r w:rsidR="00FB4D49">
        <w:rPr>
          <w:rFonts w:ascii="Arial" w:hAnsi="Arial" w:cs="Arial"/>
        </w:rPr>
        <w:t>ition</w:t>
      </w:r>
      <w:r w:rsidR="00C7017A" w:rsidRPr="00BD272F">
        <w:rPr>
          <w:rFonts w:ascii="Arial" w:hAnsi="Arial" w:cs="Arial"/>
        </w:rPr>
        <w:t>. N</w:t>
      </w:r>
      <w:r w:rsidR="00FB4D49">
        <w:rPr>
          <w:rFonts w:ascii="Arial" w:hAnsi="Arial" w:cs="Arial"/>
        </w:rPr>
        <w:t xml:space="preserve">ew </w:t>
      </w:r>
      <w:r w:rsidR="00C7017A" w:rsidRPr="00BD272F">
        <w:rPr>
          <w:rFonts w:ascii="Arial" w:hAnsi="Arial" w:cs="Arial"/>
        </w:rPr>
        <w:t>Y</w:t>
      </w:r>
      <w:r w:rsidR="00FB4D49">
        <w:rPr>
          <w:rFonts w:ascii="Arial" w:hAnsi="Arial" w:cs="Arial"/>
        </w:rPr>
        <w:t>ork</w:t>
      </w:r>
      <w:r w:rsidR="00C7017A" w:rsidRPr="00BD272F">
        <w:rPr>
          <w:rFonts w:ascii="Arial" w:hAnsi="Arial" w:cs="Arial"/>
        </w:rPr>
        <w:t xml:space="preserve">: </w:t>
      </w:r>
      <w:r w:rsidRPr="00BD272F">
        <w:rPr>
          <w:rFonts w:ascii="Arial" w:hAnsi="Arial" w:cs="Arial"/>
        </w:rPr>
        <w:t>McGraw Hill</w:t>
      </w:r>
      <w:r w:rsidR="00C7017A" w:rsidRPr="00BD272F">
        <w:rPr>
          <w:rFonts w:ascii="Arial" w:hAnsi="Arial" w:cs="Arial"/>
        </w:rPr>
        <w:t xml:space="preserve"> Education</w:t>
      </w:r>
    </w:p>
    <w:p w14:paraId="4B8BB13D" w14:textId="77777777" w:rsidR="00CF711B" w:rsidRPr="00BD272F" w:rsidRDefault="00CF711B" w:rsidP="00713A4E">
      <w:pPr>
        <w:pStyle w:val="ListParagraph"/>
        <w:numPr>
          <w:ilvl w:val="0"/>
          <w:numId w:val="12"/>
        </w:numPr>
        <w:spacing w:after="0" w:line="240" w:lineRule="auto"/>
        <w:jc w:val="both"/>
        <w:rPr>
          <w:rFonts w:ascii="Arial" w:hAnsi="Arial" w:cs="Arial"/>
        </w:rPr>
      </w:pPr>
      <w:r w:rsidRPr="00BD272F">
        <w:rPr>
          <w:rFonts w:ascii="Arial" w:hAnsi="Arial" w:cs="Arial"/>
          <w:color w:val="000000"/>
          <w:sz w:val="21"/>
          <w:szCs w:val="21"/>
          <w:shd w:val="clear" w:color="auto" w:fill="FFFFFF"/>
        </w:rPr>
        <w:t>Hillier, D., Ross, S., Westfield, R., Jaffe, J., and Jordan, B. (2013) </w:t>
      </w:r>
      <w:r w:rsidRPr="00FB4D49">
        <w:rPr>
          <w:rStyle w:val="Emphasis"/>
          <w:rFonts w:ascii="Arial" w:hAnsi="Arial" w:cs="Arial"/>
          <w:color w:val="000000"/>
          <w:sz w:val="21"/>
          <w:szCs w:val="21"/>
        </w:rPr>
        <w:t>Corporate Finance</w:t>
      </w:r>
      <w:r w:rsidRPr="00BD272F">
        <w:rPr>
          <w:rFonts w:ascii="Arial" w:hAnsi="Arial" w:cs="Arial"/>
          <w:color w:val="000000"/>
          <w:sz w:val="21"/>
          <w:szCs w:val="21"/>
          <w:shd w:val="clear" w:color="auto" w:fill="FFFFFF"/>
        </w:rPr>
        <w:t>, 2</w:t>
      </w:r>
      <w:r w:rsidRPr="00BD272F">
        <w:rPr>
          <w:rFonts w:ascii="Arial" w:hAnsi="Arial" w:cs="Arial"/>
          <w:color w:val="000000"/>
          <w:sz w:val="21"/>
          <w:szCs w:val="21"/>
          <w:shd w:val="clear" w:color="auto" w:fill="FFFFFF"/>
          <w:vertAlign w:val="superscript"/>
        </w:rPr>
        <w:t>nd</w:t>
      </w:r>
      <w:r w:rsidRPr="00BD272F">
        <w:rPr>
          <w:rFonts w:ascii="Arial" w:hAnsi="Arial" w:cs="Arial"/>
          <w:color w:val="000000"/>
          <w:sz w:val="21"/>
          <w:szCs w:val="21"/>
          <w:shd w:val="clear" w:color="auto" w:fill="FFFFFF"/>
        </w:rPr>
        <w:t xml:space="preserve"> European Edition, London: McGraw-Hill</w:t>
      </w:r>
    </w:p>
    <w:p w14:paraId="491B4C93" w14:textId="1DD398BE" w:rsidR="00593B39" w:rsidRPr="00BD272F" w:rsidRDefault="00BD272F" w:rsidP="00713A4E">
      <w:pPr>
        <w:pStyle w:val="ListParagraph"/>
        <w:numPr>
          <w:ilvl w:val="0"/>
          <w:numId w:val="12"/>
        </w:numPr>
        <w:spacing w:after="0" w:line="240" w:lineRule="auto"/>
        <w:jc w:val="both"/>
        <w:rPr>
          <w:rFonts w:ascii="Arial" w:hAnsi="Arial" w:cs="Arial"/>
        </w:rPr>
      </w:pPr>
      <w:r w:rsidRPr="00BD272F">
        <w:rPr>
          <w:rFonts w:ascii="Arial" w:hAnsi="Arial" w:cs="Arial"/>
        </w:rPr>
        <w:t xml:space="preserve">Pirie, W.L. (2017) </w:t>
      </w:r>
      <w:r w:rsidRPr="00FB4D49">
        <w:rPr>
          <w:rFonts w:ascii="Arial" w:hAnsi="Arial" w:cs="Arial"/>
          <w:i/>
        </w:rPr>
        <w:t>Derivatives</w:t>
      </w:r>
      <w:r w:rsidRPr="00BD272F">
        <w:rPr>
          <w:rFonts w:ascii="Arial" w:hAnsi="Arial" w:cs="Arial"/>
        </w:rPr>
        <w:t xml:space="preserve">, </w:t>
      </w:r>
      <w:r w:rsidR="00437DB2">
        <w:rPr>
          <w:rFonts w:ascii="Arial" w:hAnsi="Arial" w:cs="Arial"/>
        </w:rPr>
        <w:t xml:space="preserve">CFA Institute Investment Series, </w:t>
      </w:r>
      <w:r w:rsidR="00FB4D49">
        <w:rPr>
          <w:rFonts w:ascii="Arial" w:hAnsi="Arial" w:cs="Arial"/>
        </w:rPr>
        <w:t xml:space="preserve">Chichester: </w:t>
      </w:r>
      <w:r w:rsidR="00437DB2">
        <w:rPr>
          <w:rFonts w:ascii="Arial" w:hAnsi="Arial" w:cs="Arial"/>
        </w:rPr>
        <w:t>Wiley.</w:t>
      </w:r>
    </w:p>
    <w:p w14:paraId="37556DF5" w14:textId="77777777" w:rsidR="00593B39" w:rsidRPr="00593B39" w:rsidRDefault="00593B39" w:rsidP="00713A4E">
      <w:pPr>
        <w:pStyle w:val="ListParagraph"/>
        <w:spacing w:after="0" w:line="240" w:lineRule="auto"/>
        <w:ind w:left="786"/>
        <w:jc w:val="both"/>
        <w:rPr>
          <w:rFonts w:ascii="Arial" w:hAnsi="Arial" w:cs="Arial"/>
        </w:rPr>
      </w:pPr>
    </w:p>
    <w:p w14:paraId="63681F93" w14:textId="77777777" w:rsidR="009A2D37" w:rsidRPr="0036174D" w:rsidRDefault="009A2D37" w:rsidP="00713A4E">
      <w:pPr>
        <w:numPr>
          <w:ilvl w:val="0"/>
          <w:numId w:val="1"/>
        </w:numPr>
        <w:spacing w:after="120" w:line="240" w:lineRule="auto"/>
        <w:ind w:left="426" w:right="260" w:hanging="426"/>
        <w:contextualSpacing/>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F01F7D" w14:textId="73BFC4EE" w:rsidR="00FE74D8" w:rsidRPr="00713A4E" w:rsidRDefault="00FE74D8" w:rsidP="00713A4E">
      <w:pPr>
        <w:ind w:left="426"/>
        <w:contextualSpacing/>
        <w:rPr>
          <w:rFonts w:ascii="Arial" w:hAnsi="Arial" w:cs="Arial"/>
          <w:shd w:val="clear" w:color="auto" w:fill="FFFFFF"/>
        </w:rPr>
      </w:pPr>
      <w:r w:rsidRPr="00713A4E">
        <w:rPr>
          <w:rFonts w:ascii="Arial" w:hAnsi="Arial" w:cs="Arial"/>
          <w:shd w:val="clear" w:color="auto" w:fill="FFFFFF"/>
        </w:rPr>
        <w:t>Total Contact Hours: 32</w:t>
      </w:r>
    </w:p>
    <w:p w14:paraId="48F4D5ED" w14:textId="1EF2C484" w:rsidR="00FE74D8" w:rsidRPr="00713A4E" w:rsidRDefault="00FE74D8" w:rsidP="00713A4E">
      <w:pPr>
        <w:ind w:left="426"/>
        <w:contextualSpacing/>
        <w:rPr>
          <w:rFonts w:ascii="Arial" w:hAnsi="Arial" w:cs="Arial"/>
          <w:shd w:val="clear" w:color="auto" w:fill="FFFFFF"/>
        </w:rPr>
      </w:pPr>
      <w:r w:rsidRPr="00713A4E">
        <w:rPr>
          <w:rFonts w:ascii="Arial" w:hAnsi="Arial" w:cs="Arial"/>
          <w:shd w:val="clear" w:color="auto" w:fill="FFFFFF"/>
        </w:rPr>
        <w:t>Private Study Hours: 118</w:t>
      </w:r>
    </w:p>
    <w:p w14:paraId="253F4034" w14:textId="18102F08" w:rsidR="00FE74D8" w:rsidRDefault="003F46DA" w:rsidP="00713A4E">
      <w:pPr>
        <w:spacing w:after="120" w:line="240" w:lineRule="auto"/>
        <w:ind w:left="426" w:right="260"/>
        <w:contextualSpacing/>
        <w:jc w:val="both"/>
        <w:rPr>
          <w:rFonts w:ascii="Arial" w:hAnsi="Arial" w:cs="Arial"/>
        </w:rPr>
      </w:pPr>
      <w:r>
        <w:rPr>
          <w:rFonts w:ascii="Arial" w:hAnsi="Arial" w:cs="Arial"/>
        </w:rPr>
        <w:t>Total hours: 150</w:t>
      </w:r>
    </w:p>
    <w:p w14:paraId="3FE8F81C" w14:textId="77777777" w:rsidR="00713A4E" w:rsidRPr="00530970" w:rsidRDefault="00713A4E" w:rsidP="00713A4E">
      <w:pPr>
        <w:spacing w:after="120" w:line="240" w:lineRule="auto"/>
        <w:ind w:left="426" w:right="260"/>
        <w:contextualSpacing/>
        <w:jc w:val="both"/>
        <w:rPr>
          <w:rFonts w:ascii="Arial" w:hAnsi="Arial" w:cs="Arial"/>
        </w:rPr>
      </w:pPr>
    </w:p>
    <w:p w14:paraId="0C211E7E" w14:textId="77777777" w:rsidR="00B9109B" w:rsidRPr="0036174D" w:rsidRDefault="00EF4933" w:rsidP="00713A4E">
      <w:pPr>
        <w:numPr>
          <w:ilvl w:val="0"/>
          <w:numId w:val="1"/>
        </w:numPr>
        <w:spacing w:after="120" w:line="240" w:lineRule="auto"/>
        <w:ind w:left="426" w:right="260" w:hanging="426"/>
        <w:contextualSpacing/>
        <w:rPr>
          <w:rFonts w:ascii="Arial" w:hAnsi="Arial" w:cs="Arial"/>
          <w:b/>
          <w:i/>
          <w:iCs/>
        </w:rPr>
      </w:pPr>
      <w:r w:rsidRPr="00302082">
        <w:rPr>
          <w:rFonts w:ascii="Arial" w:hAnsi="Arial" w:cs="Arial"/>
          <w:b/>
        </w:rPr>
        <w:t>Assessment methods</w:t>
      </w:r>
    </w:p>
    <w:p w14:paraId="3D83ECD0" w14:textId="2A8DD6EA" w:rsidR="006710A9" w:rsidRPr="006710A9" w:rsidRDefault="006710A9" w:rsidP="00713A4E">
      <w:pPr>
        <w:pStyle w:val="ListParagraph"/>
        <w:numPr>
          <w:ilvl w:val="1"/>
          <w:numId w:val="15"/>
        </w:numPr>
        <w:spacing w:after="120"/>
        <w:ind w:left="567" w:hanging="567"/>
        <w:rPr>
          <w:rFonts w:ascii="Arial" w:hAnsi="Arial" w:cs="Arial"/>
          <w:iCs/>
        </w:rPr>
      </w:pPr>
      <w:r w:rsidRPr="006710A9">
        <w:rPr>
          <w:rFonts w:ascii="Arial" w:hAnsi="Arial" w:cs="Arial"/>
          <w:iCs/>
        </w:rPr>
        <w:t>Main assessment methods</w:t>
      </w:r>
    </w:p>
    <w:p w14:paraId="20455392" w14:textId="6DB83118" w:rsidR="00FE74D8" w:rsidRPr="00FE74D8" w:rsidRDefault="00FE74D8" w:rsidP="00713A4E">
      <w:pPr>
        <w:spacing w:after="120" w:line="240" w:lineRule="auto"/>
        <w:ind w:left="426" w:right="260"/>
        <w:contextualSpacing/>
        <w:jc w:val="both"/>
        <w:rPr>
          <w:rFonts w:ascii="Arial" w:hAnsi="Arial" w:cs="Arial"/>
        </w:rPr>
      </w:pPr>
      <w:r w:rsidRPr="00FE74D8">
        <w:rPr>
          <w:rFonts w:ascii="Arial" w:hAnsi="Arial" w:cs="Arial"/>
        </w:rPr>
        <w:t>VLE test</w:t>
      </w:r>
      <w:r w:rsidR="002C58E3">
        <w:rPr>
          <w:rFonts w:ascii="Arial" w:hAnsi="Arial" w:cs="Arial"/>
        </w:rPr>
        <w:t>:</w:t>
      </w:r>
      <w:r w:rsidR="002C4970">
        <w:rPr>
          <w:rFonts w:ascii="Arial" w:hAnsi="Arial" w:cs="Arial"/>
        </w:rPr>
        <w:t xml:space="preserve"> 10%</w:t>
      </w:r>
    </w:p>
    <w:p w14:paraId="1EA3DC56" w14:textId="4EA0E36D" w:rsidR="00FE74D8" w:rsidRPr="00FE74D8" w:rsidRDefault="00FE74D8" w:rsidP="00713A4E">
      <w:pPr>
        <w:spacing w:after="120" w:line="240" w:lineRule="auto"/>
        <w:ind w:left="426" w:right="260"/>
        <w:contextualSpacing/>
        <w:jc w:val="both"/>
        <w:rPr>
          <w:rFonts w:ascii="Arial" w:hAnsi="Arial" w:cs="Arial"/>
        </w:rPr>
      </w:pPr>
      <w:r w:rsidRPr="00FE74D8">
        <w:rPr>
          <w:rFonts w:ascii="Arial" w:hAnsi="Arial" w:cs="Arial"/>
        </w:rPr>
        <w:t>MCQ in-course test</w:t>
      </w:r>
      <w:r>
        <w:rPr>
          <w:rFonts w:ascii="Arial" w:hAnsi="Arial" w:cs="Arial"/>
        </w:rPr>
        <w:t xml:space="preserve"> – 45 minutes: </w:t>
      </w:r>
      <w:r w:rsidR="002C4970">
        <w:rPr>
          <w:rFonts w:ascii="Arial" w:hAnsi="Arial" w:cs="Arial"/>
        </w:rPr>
        <w:t>20</w:t>
      </w:r>
      <w:r>
        <w:rPr>
          <w:rFonts w:ascii="Arial" w:hAnsi="Arial" w:cs="Arial"/>
        </w:rPr>
        <w:t>%</w:t>
      </w:r>
    </w:p>
    <w:p w14:paraId="007332C5" w14:textId="6DC8679F" w:rsidR="00FA613D" w:rsidRDefault="00FE74D8" w:rsidP="00713A4E">
      <w:pPr>
        <w:spacing w:after="120" w:line="240" w:lineRule="auto"/>
        <w:ind w:left="426" w:right="260"/>
        <w:contextualSpacing/>
        <w:jc w:val="both"/>
        <w:rPr>
          <w:rFonts w:ascii="Arial" w:hAnsi="Arial" w:cs="Arial"/>
        </w:rPr>
      </w:pPr>
      <w:r w:rsidRPr="00FE74D8">
        <w:rPr>
          <w:rFonts w:ascii="Arial" w:hAnsi="Arial" w:cs="Arial"/>
        </w:rPr>
        <w:t>Examination - two-hour, unseen</w:t>
      </w:r>
      <w:r>
        <w:rPr>
          <w:rFonts w:ascii="Arial" w:hAnsi="Arial" w:cs="Arial"/>
        </w:rPr>
        <w:t>: 70%</w:t>
      </w:r>
    </w:p>
    <w:p w14:paraId="2E32C96E" w14:textId="77777777" w:rsidR="006710A9" w:rsidRPr="00662108" w:rsidRDefault="006710A9" w:rsidP="00713A4E">
      <w:pPr>
        <w:pStyle w:val="ListParagraph"/>
        <w:numPr>
          <w:ilvl w:val="1"/>
          <w:numId w:val="15"/>
        </w:numPr>
        <w:spacing w:after="120"/>
        <w:ind w:left="567" w:hanging="567"/>
        <w:rPr>
          <w:rFonts w:ascii="Arial" w:hAnsi="Arial" w:cs="Arial"/>
          <w:iCs/>
        </w:rPr>
      </w:pPr>
      <w:r w:rsidRPr="00662108">
        <w:rPr>
          <w:rFonts w:ascii="Arial" w:hAnsi="Arial" w:cs="Arial"/>
          <w:iCs/>
        </w:rPr>
        <w:t xml:space="preserve">Reassessment methods </w:t>
      </w:r>
    </w:p>
    <w:p w14:paraId="2AFABCFC" w14:textId="5F2D985F" w:rsidR="006710A9" w:rsidRDefault="003F5154" w:rsidP="00713A4E">
      <w:pPr>
        <w:spacing w:after="120" w:line="240" w:lineRule="auto"/>
        <w:ind w:left="426" w:right="260"/>
        <w:contextualSpacing/>
        <w:jc w:val="both"/>
        <w:rPr>
          <w:rFonts w:ascii="Arial" w:hAnsi="Arial" w:cs="Arial"/>
        </w:rPr>
      </w:pPr>
      <w:r>
        <w:rPr>
          <w:rFonts w:ascii="Arial" w:hAnsi="Arial" w:cs="Arial"/>
        </w:rPr>
        <w:t>100% examination</w:t>
      </w:r>
    </w:p>
    <w:p w14:paraId="00BAF5D9" w14:textId="77777777" w:rsidR="0036174D" w:rsidRPr="0036174D" w:rsidRDefault="0036174D" w:rsidP="00713A4E">
      <w:pPr>
        <w:pStyle w:val="ListParagraph"/>
        <w:spacing w:after="120"/>
        <w:rPr>
          <w:rFonts w:ascii="Arial" w:hAnsi="Arial" w:cs="Arial"/>
          <w:iCs/>
        </w:rPr>
      </w:pPr>
    </w:p>
    <w:p w14:paraId="1F76491F" w14:textId="77777777" w:rsidR="00274ED7" w:rsidRPr="00D50113" w:rsidRDefault="006F3F8B" w:rsidP="00713A4E">
      <w:pPr>
        <w:numPr>
          <w:ilvl w:val="0"/>
          <w:numId w:val="1"/>
        </w:numPr>
        <w:spacing w:after="120" w:line="240" w:lineRule="auto"/>
        <w:ind w:left="426" w:right="260" w:hanging="426"/>
        <w:contextualSpacing/>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893"/>
        <w:gridCol w:w="948"/>
        <w:gridCol w:w="947"/>
        <w:gridCol w:w="945"/>
        <w:gridCol w:w="945"/>
        <w:gridCol w:w="945"/>
        <w:gridCol w:w="945"/>
        <w:gridCol w:w="945"/>
        <w:gridCol w:w="943"/>
      </w:tblGrid>
      <w:tr w:rsidR="003F46DA" w:rsidRPr="00302082" w14:paraId="19FB13C3" w14:textId="77777777" w:rsidTr="006A14A3">
        <w:tc>
          <w:tcPr>
            <w:tcW w:w="1383" w:type="pct"/>
            <w:shd w:val="clear" w:color="auto" w:fill="D9D9D9" w:themeFill="background1" w:themeFillShade="D9"/>
          </w:tcPr>
          <w:p w14:paraId="17DFF915" w14:textId="77777777" w:rsidR="003F46DA" w:rsidRPr="00302082" w:rsidRDefault="003F46DA" w:rsidP="00713A4E">
            <w:pPr>
              <w:spacing w:after="120"/>
              <w:ind w:left="33"/>
              <w:contextualSpacing/>
              <w:rPr>
                <w:rFonts w:ascii="Arial" w:hAnsi="Arial" w:cs="Arial"/>
                <w:b/>
              </w:rPr>
            </w:pPr>
            <w:r w:rsidRPr="00302082">
              <w:rPr>
                <w:rFonts w:ascii="Arial" w:hAnsi="Arial" w:cs="Arial"/>
                <w:b/>
              </w:rPr>
              <w:t>Module learning outcome</w:t>
            </w:r>
          </w:p>
        </w:tc>
        <w:tc>
          <w:tcPr>
            <w:tcW w:w="453" w:type="pct"/>
          </w:tcPr>
          <w:p w14:paraId="2E17FC9F" w14:textId="77777777" w:rsidR="003F46DA" w:rsidRPr="00302082" w:rsidRDefault="003F46DA" w:rsidP="00713A4E">
            <w:pPr>
              <w:spacing w:after="120"/>
              <w:contextualSpacing/>
              <w:rPr>
                <w:rFonts w:ascii="Arial" w:hAnsi="Arial" w:cs="Arial"/>
                <w:i/>
              </w:rPr>
            </w:pPr>
            <w:r w:rsidRPr="00302082">
              <w:rPr>
                <w:rFonts w:ascii="Arial" w:hAnsi="Arial" w:cs="Arial"/>
                <w:i/>
              </w:rPr>
              <w:t>8.1</w:t>
            </w:r>
          </w:p>
        </w:tc>
        <w:tc>
          <w:tcPr>
            <w:tcW w:w="453" w:type="pct"/>
          </w:tcPr>
          <w:p w14:paraId="69431B37" w14:textId="77777777" w:rsidR="003F46DA" w:rsidRPr="00302082" w:rsidRDefault="003F46DA" w:rsidP="00713A4E">
            <w:pPr>
              <w:spacing w:after="120"/>
              <w:contextualSpacing/>
              <w:rPr>
                <w:rFonts w:ascii="Arial" w:hAnsi="Arial" w:cs="Arial"/>
                <w:i/>
              </w:rPr>
            </w:pPr>
            <w:r w:rsidRPr="00302082">
              <w:rPr>
                <w:rFonts w:ascii="Arial" w:hAnsi="Arial" w:cs="Arial"/>
                <w:i/>
              </w:rPr>
              <w:t>8.2</w:t>
            </w:r>
          </w:p>
        </w:tc>
        <w:tc>
          <w:tcPr>
            <w:tcW w:w="452" w:type="pct"/>
          </w:tcPr>
          <w:p w14:paraId="4E77FF0F" w14:textId="77777777" w:rsidR="003F46DA" w:rsidRPr="00302082" w:rsidRDefault="003F46DA" w:rsidP="00713A4E">
            <w:pPr>
              <w:spacing w:after="120"/>
              <w:contextualSpacing/>
              <w:rPr>
                <w:rFonts w:ascii="Arial" w:hAnsi="Arial" w:cs="Arial"/>
                <w:i/>
              </w:rPr>
            </w:pPr>
            <w:r w:rsidRPr="00302082">
              <w:rPr>
                <w:rFonts w:ascii="Arial" w:hAnsi="Arial" w:cs="Arial"/>
                <w:i/>
              </w:rPr>
              <w:t>8.3</w:t>
            </w:r>
          </w:p>
        </w:tc>
        <w:tc>
          <w:tcPr>
            <w:tcW w:w="452" w:type="pct"/>
          </w:tcPr>
          <w:p w14:paraId="6C80BE29" w14:textId="77777777" w:rsidR="003F46DA" w:rsidRPr="00302082" w:rsidRDefault="003F46DA" w:rsidP="00713A4E">
            <w:pPr>
              <w:spacing w:after="120"/>
              <w:contextualSpacing/>
              <w:rPr>
                <w:rFonts w:ascii="Arial" w:hAnsi="Arial" w:cs="Arial"/>
                <w:i/>
              </w:rPr>
            </w:pPr>
            <w:r w:rsidRPr="00302082">
              <w:rPr>
                <w:rFonts w:ascii="Arial" w:hAnsi="Arial" w:cs="Arial"/>
                <w:i/>
              </w:rPr>
              <w:t>8.4</w:t>
            </w:r>
          </w:p>
        </w:tc>
        <w:tc>
          <w:tcPr>
            <w:tcW w:w="452" w:type="pct"/>
          </w:tcPr>
          <w:p w14:paraId="033F6DFD" w14:textId="77777777" w:rsidR="003F46DA" w:rsidRPr="00302082" w:rsidRDefault="003F46DA" w:rsidP="00713A4E">
            <w:pPr>
              <w:spacing w:after="120"/>
              <w:contextualSpacing/>
              <w:rPr>
                <w:rFonts w:ascii="Arial" w:hAnsi="Arial" w:cs="Arial"/>
                <w:i/>
              </w:rPr>
            </w:pPr>
            <w:r w:rsidRPr="00302082">
              <w:rPr>
                <w:rFonts w:ascii="Arial" w:hAnsi="Arial" w:cs="Arial"/>
                <w:i/>
              </w:rPr>
              <w:t>9.1</w:t>
            </w:r>
          </w:p>
        </w:tc>
        <w:tc>
          <w:tcPr>
            <w:tcW w:w="452" w:type="pct"/>
          </w:tcPr>
          <w:p w14:paraId="336B3F3B" w14:textId="77777777" w:rsidR="003F46DA" w:rsidRPr="00302082" w:rsidRDefault="003F46DA" w:rsidP="00713A4E">
            <w:pPr>
              <w:spacing w:after="120"/>
              <w:contextualSpacing/>
              <w:rPr>
                <w:rFonts w:ascii="Arial" w:hAnsi="Arial" w:cs="Arial"/>
                <w:i/>
              </w:rPr>
            </w:pPr>
            <w:r w:rsidRPr="00302082">
              <w:rPr>
                <w:rFonts w:ascii="Arial" w:hAnsi="Arial" w:cs="Arial"/>
                <w:i/>
              </w:rPr>
              <w:t>9.2</w:t>
            </w:r>
          </w:p>
        </w:tc>
        <w:tc>
          <w:tcPr>
            <w:tcW w:w="452" w:type="pct"/>
          </w:tcPr>
          <w:p w14:paraId="34657661" w14:textId="77777777" w:rsidR="003F46DA" w:rsidRPr="00302082" w:rsidRDefault="003F46DA" w:rsidP="00713A4E">
            <w:pPr>
              <w:spacing w:after="120"/>
              <w:contextualSpacing/>
              <w:rPr>
                <w:rFonts w:ascii="Arial" w:hAnsi="Arial" w:cs="Arial"/>
                <w:i/>
              </w:rPr>
            </w:pPr>
            <w:r w:rsidRPr="00302082">
              <w:rPr>
                <w:rFonts w:ascii="Arial" w:hAnsi="Arial" w:cs="Arial"/>
                <w:i/>
              </w:rPr>
              <w:t>9.3</w:t>
            </w:r>
          </w:p>
        </w:tc>
        <w:tc>
          <w:tcPr>
            <w:tcW w:w="452" w:type="pct"/>
          </w:tcPr>
          <w:p w14:paraId="337B3DB5" w14:textId="77777777" w:rsidR="003F46DA" w:rsidRPr="00302082" w:rsidRDefault="003F46DA" w:rsidP="00713A4E">
            <w:pPr>
              <w:spacing w:after="120"/>
              <w:contextualSpacing/>
              <w:rPr>
                <w:rFonts w:ascii="Arial" w:hAnsi="Arial" w:cs="Arial"/>
                <w:i/>
              </w:rPr>
            </w:pPr>
            <w:r w:rsidRPr="00302082">
              <w:rPr>
                <w:rFonts w:ascii="Arial" w:hAnsi="Arial" w:cs="Arial"/>
                <w:i/>
              </w:rPr>
              <w:t>9.4</w:t>
            </w:r>
          </w:p>
        </w:tc>
      </w:tr>
      <w:tr w:rsidR="003F46DA" w:rsidRPr="00302082" w14:paraId="64F72485" w14:textId="77777777" w:rsidTr="006A14A3">
        <w:tc>
          <w:tcPr>
            <w:tcW w:w="1383" w:type="pct"/>
            <w:shd w:val="clear" w:color="auto" w:fill="D9D9D9" w:themeFill="background1" w:themeFillShade="D9"/>
          </w:tcPr>
          <w:p w14:paraId="5031CC7F" w14:textId="77777777" w:rsidR="003F46DA" w:rsidRPr="00302082" w:rsidRDefault="003F46DA" w:rsidP="00713A4E">
            <w:pPr>
              <w:spacing w:after="120"/>
              <w:contextualSpacing/>
              <w:rPr>
                <w:rFonts w:ascii="Arial" w:hAnsi="Arial" w:cs="Arial"/>
                <w:b/>
              </w:rPr>
            </w:pPr>
            <w:r w:rsidRPr="00302082">
              <w:rPr>
                <w:rFonts w:ascii="Arial" w:hAnsi="Arial" w:cs="Arial"/>
                <w:b/>
              </w:rPr>
              <w:t>Learning/ teaching method</w:t>
            </w:r>
          </w:p>
        </w:tc>
        <w:tc>
          <w:tcPr>
            <w:tcW w:w="453" w:type="pct"/>
          </w:tcPr>
          <w:p w14:paraId="215DA06C" w14:textId="77777777" w:rsidR="003F46DA" w:rsidRPr="00302082" w:rsidRDefault="003F46DA" w:rsidP="00713A4E">
            <w:pPr>
              <w:spacing w:after="120"/>
              <w:contextualSpacing/>
              <w:rPr>
                <w:rFonts w:ascii="Arial" w:hAnsi="Arial" w:cs="Arial"/>
                <w:b/>
              </w:rPr>
            </w:pPr>
          </w:p>
        </w:tc>
        <w:tc>
          <w:tcPr>
            <w:tcW w:w="453" w:type="pct"/>
          </w:tcPr>
          <w:p w14:paraId="1FE021BC" w14:textId="77777777" w:rsidR="003F46DA" w:rsidRPr="00302082" w:rsidRDefault="003F46DA" w:rsidP="00713A4E">
            <w:pPr>
              <w:spacing w:after="120"/>
              <w:contextualSpacing/>
              <w:rPr>
                <w:rFonts w:ascii="Arial" w:hAnsi="Arial" w:cs="Arial"/>
                <w:b/>
              </w:rPr>
            </w:pPr>
          </w:p>
        </w:tc>
        <w:tc>
          <w:tcPr>
            <w:tcW w:w="452" w:type="pct"/>
          </w:tcPr>
          <w:p w14:paraId="747ADC3F" w14:textId="77777777" w:rsidR="003F46DA" w:rsidRPr="00302082" w:rsidRDefault="003F46DA" w:rsidP="00713A4E">
            <w:pPr>
              <w:spacing w:after="120"/>
              <w:contextualSpacing/>
              <w:rPr>
                <w:rFonts w:ascii="Arial" w:hAnsi="Arial" w:cs="Arial"/>
                <w:b/>
              </w:rPr>
            </w:pPr>
          </w:p>
        </w:tc>
        <w:tc>
          <w:tcPr>
            <w:tcW w:w="452" w:type="pct"/>
          </w:tcPr>
          <w:p w14:paraId="28604A82" w14:textId="77777777" w:rsidR="003F46DA" w:rsidRPr="00302082" w:rsidRDefault="003F46DA" w:rsidP="00713A4E">
            <w:pPr>
              <w:spacing w:after="120"/>
              <w:contextualSpacing/>
              <w:rPr>
                <w:rFonts w:ascii="Arial" w:hAnsi="Arial" w:cs="Arial"/>
                <w:b/>
              </w:rPr>
            </w:pPr>
          </w:p>
        </w:tc>
        <w:tc>
          <w:tcPr>
            <w:tcW w:w="452" w:type="pct"/>
          </w:tcPr>
          <w:p w14:paraId="7316BCA7" w14:textId="77777777" w:rsidR="003F46DA" w:rsidRPr="00302082" w:rsidRDefault="003F46DA" w:rsidP="00713A4E">
            <w:pPr>
              <w:spacing w:after="120"/>
              <w:contextualSpacing/>
              <w:rPr>
                <w:rFonts w:ascii="Arial" w:hAnsi="Arial" w:cs="Arial"/>
                <w:b/>
              </w:rPr>
            </w:pPr>
          </w:p>
        </w:tc>
        <w:tc>
          <w:tcPr>
            <w:tcW w:w="452" w:type="pct"/>
          </w:tcPr>
          <w:p w14:paraId="4A503C2B" w14:textId="77777777" w:rsidR="003F46DA" w:rsidRPr="00302082" w:rsidRDefault="003F46DA" w:rsidP="00713A4E">
            <w:pPr>
              <w:spacing w:after="120"/>
              <w:contextualSpacing/>
              <w:rPr>
                <w:rFonts w:ascii="Arial" w:hAnsi="Arial" w:cs="Arial"/>
                <w:b/>
              </w:rPr>
            </w:pPr>
          </w:p>
        </w:tc>
        <w:tc>
          <w:tcPr>
            <w:tcW w:w="452" w:type="pct"/>
          </w:tcPr>
          <w:p w14:paraId="03210DE0" w14:textId="77777777" w:rsidR="003F46DA" w:rsidRPr="00302082" w:rsidRDefault="003F46DA" w:rsidP="00713A4E">
            <w:pPr>
              <w:spacing w:after="120"/>
              <w:contextualSpacing/>
              <w:rPr>
                <w:rFonts w:ascii="Arial" w:hAnsi="Arial" w:cs="Arial"/>
                <w:b/>
              </w:rPr>
            </w:pPr>
          </w:p>
        </w:tc>
        <w:tc>
          <w:tcPr>
            <w:tcW w:w="452" w:type="pct"/>
          </w:tcPr>
          <w:p w14:paraId="261DEC18" w14:textId="77777777" w:rsidR="003F46DA" w:rsidRPr="00302082" w:rsidRDefault="003F46DA" w:rsidP="00713A4E">
            <w:pPr>
              <w:spacing w:after="120"/>
              <w:contextualSpacing/>
              <w:rPr>
                <w:rFonts w:ascii="Arial" w:hAnsi="Arial" w:cs="Arial"/>
                <w:b/>
              </w:rPr>
            </w:pPr>
          </w:p>
        </w:tc>
      </w:tr>
      <w:tr w:rsidR="003F46DA" w:rsidRPr="00302082" w14:paraId="4BCC77A0" w14:textId="77777777" w:rsidTr="006A14A3">
        <w:tc>
          <w:tcPr>
            <w:tcW w:w="1383" w:type="pct"/>
          </w:tcPr>
          <w:p w14:paraId="7840DDF3" w14:textId="77777777" w:rsidR="003F46DA" w:rsidRPr="00302082" w:rsidRDefault="003F46DA" w:rsidP="00713A4E">
            <w:pPr>
              <w:spacing w:after="120"/>
              <w:contextualSpacing/>
              <w:rPr>
                <w:rFonts w:ascii="Arial" w:hAnsi="Arial" w:cs="Arial"/>
                <w:b/>
              </w:rPr>
            </w:pPr>
            <w:r w:rsidRPr="00302082">
              <w:rPr>
                <w:rFonts w:ascii="Arial" w:hAnsi="Arial" w:cs="Arial"/>
                <w:b/>
              </w:rPr>
              <w:t>Private Study</w:t>
            </w:r>
          </w:p>
        </w:tc>
        <w:tc>
          <w:tcPr>
            <w:tcW w:w="453" w:type="pct"/>
          </w:tcPr>
          <w:p w14:paraId="03BCDDCF"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7F960D0F"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A8007D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5CBA763C"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85CE86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5F4D683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7A44F9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58F0C02" w14:textId="77777777" w:rsidR="003F46DA" w:rsidRPr="00302082" w:rsidRDefault="003F46DA" w:rsidP="00713A4E">
            <w:pPr>
              <w:spacing w:after="120"/>
              <w:contextualSpacing/>
              <w:rPr>
                <w:rFonts w:ascii="Arial" w:hAnsi="Arial" w:cs="Arial"/>
                <w:b/>
              </w:rPr>
            </w:pPr>
            <w:r>
              <w:rPr>
                <w:rFonts w:ascii="Arial" w:hAnsi="Arial" w:cs="Arial"/>
                <w:b/>
              </w:rPr>
              <w:t>X</w:t>
            </w:r>
          </w:p>
        </w:tc>
      </w:tr>
      <w:tr w:rsidR="003F46DA" w:rsidRPr="00302082" w14:paraId="3A019660" w14:textId="77777777" w:rsidTr="006A14A3">
        <w:tc>
          <w:tcPr>
            <w:tcW w:w="1383" w:type="pct"/>
          </w:tcPr>
          <w:p w14:paraId="7E16193A" w14:textId="77777777" w:rsidR="003F46DA" w:rsidRPr="00302082" w:rsidRDefault="003F46DA" w:rsidP="00713A4E">
            <w:pPr>
              <w:spacing w:after="120"/>
              <w:contextualSpacing/>
              <w:rPr>
                <w:rFonts w:ascii="Arial" w:hAnsi="Arial" w:cs="Arial"/>
                <w:i/>
              </w:rPr>
            </w:pPr>
            <w:r>
              <w:rPr>
                <w:rFonts w:ascii="Arial" w:hAnsi="Arial" w:cs="Arial"/>
                <w:i/>
              </w:rPr>
              <w:t>Lectures</w:t>
            </w:r>
          </w:p>
        </w:tc>
        <w:tc>
          <w:tcPr>
            <w:tcW w:w="453" w:type="pct"/>
          </w:tcPr>
          <w:p w14:paraId="1F2A52E8"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35BB4A13"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D1592C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FAD520E"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78383017"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E99CF61"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DB57ACF"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634FE04" w14:textId="77777777" w:rsidR="003F46DA" w:rsidRPr="00302082" w:rsidRDefault="003F46DA" w:rsidP="00713A4E">
            <w:pPr>
              <w:spacing w:after="120"/>
              <w:contextualSpacing/>
              <w:rPr>
                <w:rFonts w:ascii="Arial" w:hAnsi="Arial" w:cs="Arial"/>
                <w:b/>
              </w:rPr>
            </w:pPr>
            <w:r>
              <w:rPr>
                <w:rFonts w:ascii="Arial" w:hAnsi="Arial" w:cs="Arial"/>
                <w:b/>
              </w:rPr>
              <w:t>X</w:t>
            </w:r>
          </w:p>
        </w:tc>
      </w:tr>
      <w:tr w:rsidR="003F46DA" w:rsidRPr="00302082" w14:paraId="222A06CA" w14:textId="77777777" w:rsidTr="006A14A3">
        <w:tc>
          <w:tcPr>
            <w:tcW w:w="1383" w:type="pct"/>
          </w:tcPr>
          <w:p w14:paraId="69F2C02E" w14:textId="77777777" w:rsidR="003F46DA" w:rsidRPr="00302082" w:rsidRDefault="003F46DA" w:rsidP="00713A4E">
            <w:pPr>
              <w:spacing w:after="120"/>
              <w:contextualSpacing/>
              <w:rPr>
                <w:rFonts w:ascii="Arial" w:hAnsi="Arial" w:cs="Arial"/>
                <w:i/>
              </w:rPr>
            </w:pPr>
            <w:r>
              <w:rPr>
                <w:rFonts w:ascii="Arial" w:hAnsi="Arial" w:cs="Arial"/>
                <w:i/>
              </w:rPr>
              <w:t>Seminars</w:t>
            </w:r>
          </w:p>
        </w:tc>
        <w:tc>
          <w:tcPr>
            <w:tcW w:w="453" w:type="pct"/>
          </w:tcPr>
          <w:p w14:paraId="0CDF7394"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7361B7F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6DBC90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8BC4898"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25920C1"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04A76BD"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3B9F65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02C64F5" w14:textId="77777777" w:rsidR="003F46DA" w:rsidRPr="00302082" w:rsidRDefault="003F46DA" w:rsidP="00713A4E">
            <w:pPr>
              <w:spacing w:after="120"/>
              <w:contextualSpacing/>
              <w:rPr>
                <w:rFonts w:ascii="Arial" w:hAnsi="Arial" w:cs="Arial"/>
                <w:b/>
              </w:rPr>
            </w:pPr>
            <w:r>
              <w:rPr>
                <w:rFonts w:ascii="Arial" w:hAnsi="Arial" w:cs="Arial"/>
                <w:b/>
              </w:rPr>
              <w:t>X</w:t>
            </w:r>
          </w:p>
        </w:tc>
      </w:tr>
      <w:tr w:rsidR="003F46DA" w:rsidRPr="00302082" w14:paraId="79C8D416" w14:textId="77777777" w:rsidTr="006A14A3">
        <w:tc>
          <w:tcPr>
            <w:tcW w:w="1383" w:type="pct"/>
            <w:shd w:val="clear" w:color="auto" w:fill="D9D9D9" w:themeFill="background1" w:themeFillShade="D9"/>
          </w:tcPr>
          <w:p w14:paraId="4153298E" w14:textId="77777777" w:rsidR="003F46DA" w:rsidRPr="00302082" w:rsidRDefault="003F46DA" w:rsidP="00713A4E">
            <w:pPr>
              <w:spacing w:after="120"/>
              <w:contextualSpacing/>
              <w:rPr>
                <w:rFonts w:ascii="Arial" w:hAnsi="Arial" w:cs="Arial"/>
                <w:b/>
              </w:rPr>
            </w:pPr>
            <w:r w:rsidRPr="00302082">
              <w:rPr>
                <w:rFonts w:ascii="Arial" w:hAnsi="Arial" w:cs="Arial"/>
                <w:b/>
              </w:rPr>
              <w:t>Assessment method</w:t>
            </w:r>
          </w:p>
        </w:tc>
        <w:tc>
          <w:tcPr>
            <w:tcW w:w="453" w:type="pct"/>
          </w:tcPr>
          <w:p w14:paraId="4FD95FAC" w14:textId="77777777" w:rsidR="003F46DA" w:rsidRPr="00302082" w:rsidRDefault="003F46DA" w:rsidP="00713A4E">
            <w:pPr>
              <w:spacing w:after="120"/>
              <w:contextualSpacing/>
              <w:rPr>
                <w:rFonts w:ascii="Arial" w:hAnsi="Arial" w:cs="Arial"/>
                <w:b/>
              </w:rPr>
            </w:pPr>
          </w:p>
        </w:tc>
        <w:tc>
          <w:tcPr>
            <w:tcW w:w="453" w:type="pct"/>
          </w:tcPr>
          <w:p w14:paraId="61382532" w14:textId="77777777" w:rsidR="003F46DA" w:rsidRPr="00302082" w:rsidRDefault="003F46DA" w:rsidP="00713A4E">
            <w:pPr>
              <w:spacing w:after="120"/>
              <w:contextualSpacing/>
              <w:rPr>
                <w:rFonts w:ascii="Arial" w:hAnsi="Arial" w:cs="Arial"/>
                <w:b/>
              </w:rPr>
            </w:pPr>
          </w:p>
        </w:tc>
        <w:tc>
          <w:tcPr>
            <w:tcW w:w="452" w:type="pct"/>
          </w:tcPr>
          <w:p w14:paraId="41F7D597" w14:textId="77777777" w:rsidR="003F46DA" w:rsidRPr="00302082" w:rsidRDefault="003F46DA" w:rsidP="00713A4E">
            <w:pPr>
              <w:spacing w:after="120"/>
              <w:contextualSpacing/>
              <w:rPr>
                <w:rFonts w:ascii="Arial" w:hAnsi="Arial" w:cs="Arial"/>
                <w:b/>
              </w:rPr>
            </w:pPr>
          </w:p>
        </w:tc>
        <w:tc>
          <w:tcPr>
            <w:tcW w:w="452" w:type="pct"/>
          </w:tcPr>
          <w:p w14:paraId="5BC9E74F" w14:textId="77777777" w:rsidR="003F46DA" w:rsidRPr="00302082" w:rsidRDefault="003F46DA" w:rsidP="00713A4E">
            <w:pPr>
              <w:spacing w:after="120"/>
              <w:contextualSpacing/>
              <w:rPr>
                <w:rFonts w:ascii="Arial" w:hAnsi="Arial" w:cs="Arial"/>
                <w:b/>
              </w:rPr>
            </w:pPr>
          </w:p>
        </w:tc>
        <w:tc>
          <w:tcPr>
            <w:tcW w:w="452" w:type="pct"/>
          </w:tcPr>
          <w:p w14:paraId="3FAC2581" w14:textId="77777777" w:rsidR="003F46DA" w:rsidRPr="00302082" w:rsidRDefault="003F46DA" w:rsidP="00713A4E">
            <w:pPr>
              <w:spacing w:after="120"/>
              <w:contextualSpacing/>
              <w:rPr>
                <w:rFonts w:ascii="Arial" w:hAnsi="Arial" w:cs="Arial"/>
                <w:b/>
              </w:rPr>
            </w:pPr>
          </w:p>
        </w:tc>
        <w:tc>
          <w:tcPr>
            <w:tcW w:w="452" w:type="pct"/>
          </w:tcPr>
          <w:p w14:paraId="4A27AF36" w14:textId="77777777" w:rsidR="003F46DA" w:rsidRPr="00302082" w:rsidRDefault="003F46DA" w:rsidP="00713A4E">
            <w:pPr>
              <w:spacing w:after="120"/>
              <w:contextualSpacing/>
              <w:rPr>
                <w:rFonts w:ascii="Arial" w:hAnsi="Arial" w:cs="Arial"/>
                <w:b/>
              </w:rPr>
            </w:pPr>
          </w:p>
        </w:tc>
        <w:tc>
          <w:tcPr>
            <w:tcW w:w="452" w:type="pct"/>
          </w:tcPr>
          <w:p w14:paraId="6F79934A" w14:textId="77777777" w:rsidR="003F46DA" w:rsidRPr="00302082" w:rsidRDefault="003F46DA" w:rsidP="00713A4E">
            <w:pPr>
              <w:spacing w:after="120"/>
              <w:contextualSpacing/>
              <w:rPr>
                <w:rFonts w:ascii="Arial" w:hAnsi="Arial" w:cs="Arial"/>
                <w:b/>
              </w:rPr>
            </w:pPr>
          </w:p>
        </w:tc>
        <w:tc>
          <w:tcPr>
            <w:tcW w:w="452" w:type="pct"/>
          </w:tcPr>
          <w:p w14:paraId="26147492" w14:textId="77777777" w:rsidR="003F46DA" w:rsidRPr="00302082" w:rsidRDefault="003F46DA" w:rsidP="00713A4E">
            <w:pPr>
              <w:spacing w:after="120"/>
              <w:contextualSpacing/>
              <w:rPr>
                <w:rFonts w:ascii="Arial" w:hAnsi="Arial" w:cs="Arial"/>
                <w:b/>
              </w:rPr>
            </w:pPr>
          </w:p>
        </w:tc>
      </w:tr>
      <w:tr w:rsidR="003F46DA" w:rsidRPr="00302082" w14:paraId="5FCE1731" w14:textId="77777777" w:rsidTr="006A14A3">
        <w:tc>
          <w:tcPr>
            <w:tcW w:w="1383" w:type="pct"/>
          </w:tcPr>
          <w:p w14:paraId="6BAAF9D8" w14:textId="02992037" w:rsidR="003F46DA" w:rsidRPr="00302082" w:rsidRDefault="003F46DA" w:rsidP="00713A4E">
            <w:pPr>
              <w:spacing w:after="120"/>
              <w:contextualSpacing/>
              <w:rPr>
                <w:rFonts w:ascii="Arial" w:hAnsi="Arial" w:cs="Arial"/>
                <w:i/>
              </w:rPr>
            </w:pPr>
            <w:r>
              <w:rPr>
                <w:rFonts w:ascii="Arial" w:hAnsi="Arial" w:cs="Arial"/>
                <w:i/>
              </w:rPr>
              <w:t>VLE test</w:t>
            </w:r>
          </w:p>
        </w:tc>
        <w:tc>
          <w:tcPr>
            <w:tcW w:w="453" w:type="pct"/>
          </w:tcPr>
          <w:p w14:paraId="40776181" w14:textId="30AD0701" w:rsidR="003F46DA" w:rsidRDefault="003F46DA" w:rsidP="00713A4E">
            <w:pPr>
              <w:spacing w:after="120"/>
              <w:contextualSpacing/>
              <w:rPr>
                <w:rFonts w:ascii="Arial" w:hAnsi="Arial" w:cs="Arial"/>
                <w:b/>
              </w:rPr>
            </w:pPr>
            <w:r>
              <w:rPr>
                <w:rFonts w:ascii="Arial" w:hAnsi="Arial" w:cs="Arial"/>
                <w:b/>
              </w:rPr>
              <w:t>X</w:t>
            </w:r>
          </w:p>
        </w:tc>
        <w:tc>
          <w:tcPr>
            <w:tcW w:w="453" w:type="pct"/>
          </w:tcPr>
          <w:p w14:paraId="3EE47285" w14:textId="77777777" w:rsidR="003F46DA" w:rsidRDefault="003F46DA" w:rsidP="00713A4E">
            <w:pPr>
              <w:spacing w:after="120"/>
              <w:contextualSpacing/>
              <w:rPr>
                <w:rFonts w:ascii="Arial" w:hAnsi="Arial" w:cs="Arial"/>
                <w:b/>
              </w:rPr>
            </w:pPr>
          </w:p>
        </w:tc>
        <w:tc>
          <w:tcPr>
            <w:tcW w:w="452" w:type="pct"/>
          </w:tcPr>
          <w:p w14:paraId="5D0A3E4B" w14:textId="62CA217B" w:rsidR="003F46DA" w:rsidRDefault="003F46DA" w:rsidP="00713A4E">
            <w:pPr>
              <w:spacing w:after="120"/>
              <w:contextualSpacing/>
              <w:rPr>
                <w:rFonts w:ascii="Arial" w:hAnsi="Arial" w:cs="Arial"/>
                <w:b/>
              </w:rPr>
            </w:pPr>
          </w:p>
        </w:tc>
        <w:tc>
          <w:tcPr>
            <w:tcW w:w="452" w:type="pct"/>
          </w:tcPr>
          <w:p w14:paraId="6D04A540" w14:textId="77777777" w:rsidR="003F46DA" w:rsidRPr="00302082" w:rsidRDefault="003F46DA" w:rsidP="00713A4E">
            <w:pPr>
              <w:spacing w:after="120"/>
              <w:contextualSpacing/>
              <w:rPr>
                <w:rFonts w:ascii="Arial" w:hAnsi="Arial" w:cs="Arial"/>
                <w:b/>
              </w:rPr>
            </w:pPr>
          </w:p>
        </w:tc>
        <w:tc>
          <w:tcPr>
            <w:tcW w:w="452" w:type="pct"/>
          </w:tcPr>
          <w:p w14:paraId="66447891" w14:textId="0988B5F3" w:rsidR="003F46DA" w:rsidRDefault="003F46DA" w:rsidP="00713A4E">
            <w:pPr>
              <w:spacing w:after="120"/>
              <w:contextualSpacing/>
              <w:rPr>
                <w:rFonts w:ascii="Arial" w:hAnsi="Arial" w:cs="Arial"/>
                <w:b/>
              </w:rPr>
            </w:pPr>
            <w:r>
              <w:rPr>
                <w:rFonts w:ascii="Arial" w:hAnsi="Arial" w:cs="Arial"/>
                <w:b/>
              </w:rPr>
              <w:t>X</w:t>
            </w:r>
          </w:p>
        </w:tc>
        <w:tc>
          <w:tcPr>
            <w:tcW w:w="452" w:type="pct"/>
          </w:tcPr>
          <w:p w14:paraId="6BD2374D" w14:textId="7F7361FE" w:rsidR="003F46DA" w:rsidRDefault="003F46DA" w:rsidP="00713A4E">
            <w:pPr>
              <w:spacing w:after="120"/>
              <w:contextualSpacing/>
              <w:rPr>
                <w:rFonts w:ascii="Arial" w:hAnsi="Arial" w:cs="Arial"/>
                <w:b/>
              </w:rPr>
            </w:pPr>
          </w:p>
        </w:tc>
        <w:tc>
          <w:tcPr>
            <w:tcW w:w="452" w:type="pct"/>
          </w:tcPr>
          <w:p w14:paraId="7AA08300" w14:textId="3ABC69FE" w:rsidR="003F46DA" w:rsidRDefault="003F46DA" w:rsidP="00713A4E">
            <w:pPr>
              <w:spacing w:after="120"/>
              <w:contextualSpacing/>
              <w:rPr>
                <w:rFonts w:ascii="Arial" w:hAnsi="Arial" w:cs="Arial"/>
                <w:b/>
              </w:rPr>
            </w:pPr>
            <w:r>
              <w:rPr>
                <w:rFonts w:ascii="Arial" w:hAnsi="Arial" w:cs="Arial"/>
                <w:b/>
              </w:rPr>
              <w:t>X</w:t>
            </w:r>
          </w:p>
        </w:tc>
        <w:tc>
          <w:tcPr>
            <w:tcW w:w="452" w:type="pct"/>
          </w:tcPr>
          <w:p w14:paraId="7ACE84EB" w14:textId="77777777" w:rsidR="003F46DA" w:rsidRPr="00302082" w:rsidRDefault="003F46DA" w:rsidP="00713A4E">
            <w:pPr>
              <w:spacing w:after="120"/>
              <w:contextualSpacing/>
              <w:rPr>
                <w:rFonts w:ascii="Arial" w:hAnsi="Arial" w:cs="Arial"/>
                <w:b/>
              </w:rPr>
            </w:pPr>
          </w:p>
        </w:tc>
      </w:tr>
      <w:tr w:rsidR="003F46DA" w:rsidRPr="00302082" w14:paraId="0CC700D6" w14:textId="77777777" w:rsidTr="006A14A3">
        <w:tc>
          <w:tcPr>
            <w:tcW w:w="1383" w:type="pct"/>
          </w:tcPr>
          <w:p w14:paraId="287D4209" w14:textId="2F1DE799" w:rsidR="003F46DA" w:rsidRPr="00302082" w:rsidRDefault="003F46DA" w:rsidP="00713A4E">
            <w:pPr>
              <w:spacing w:after="120"/>
              <w:contextualSpacing/>
              <w:rPr>
                <w:rFonts w:ascii="Arial" w:hAnsi="Arial" w:cs="Arial"/>
                <w:i/>
              </w:rPr>
            </w:pPr>
            <w:r w:rsidRPr="00302082">
              <w:rPr>
                <w:rFonts w:ascii="Arial" w:hAnsi="Arial" w:cs="Arial"/>
                <w:i/>
              </w:rPr>
              <w:t xml:space="preserve">MCQ </w:t>
            </w:r>
            <w:r>
              <w:rPr>
                <w:rFonts w:ascii="Arial" w:hAnsi="Arial" w:cs="Arial"/>
                <w:i/>
              </w:rPr>
              <w:t xml:space="preserve">in-course </w:t>
            </w:r>
            <w:r w:rsidRPr="00302082">
              <w:rPr>
                <w:rFonts w:ascii="Arial" w:hAnsi="Arial" w:cs="Arial"/>
                <w:i/>
              </w:rPr>
              <w:t>test</w:t>
            </w:r>
          </w:p>
        </w:tc>
        <w:tc>
          <w:tcPr>
            <w:tcW w:w="453" w:type="pct"/>
          </w:tcPr>
          <w:p w14:paraId="09C5008B" w14:textId="643411F7" w:rsidR="003F46DA" w:rsidRPr="00302082" w:rsidRDefault="003F46DA" w:rsidP="00713A4E">
            <w:pPr>
              <w:spacing w:after="120"/>
              <w:contextualSpacing/>
              <w:rPr>
                <w:rFonts w:ascii="Arial" w:hAnsi="Arial" w:cs="Arial"/>
                <w:b/>
              </w:rPr>
            </w:pPr>
          </w:p>
        </w:tc>
        <w:tc>
          <w:tcPr>
            <w:tcW w:w="453" w:type="pct"/>
          </w:tcPr>
          <w:p w14:paraId="65B27A08"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B008530"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2E0234B7" w14:textId="3CA21283"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297015EE"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4C0602D5"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1DA78823"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F1E69A0" w14:textId="77777777" w:rsidR="003F46DA" w:rsidRPr="00302082" w:rsidRDefault="003F46DA" w:rsidP="00713A4E">
            <w:pPr>
              <w:spacing w:after="120"/>
              <w:contextualSpacing/>
              <w:rPr>
                <w:rFonts w:ascii="Arial" w:hAnsi="Arial" w:cs="Arial"/>
                <w:b/>
              </w:rPr>
            </w:pPr>
          </w:p>
        </w:tc>
      </w:tr>
      <w:tr w:rsidR="003F46DA" w:rsidRPr="00302082" w14:paraId="69DDD277" w14:textId="77777777" w:rsidTr="006A14A3">
        <w:tc>
          <w:tcPr>
            <w:tcW w:w="1383" w:type="pct"/>
          </w:tcPr>
          <w:p w14:paraId="4977BFD3" w14:textId="77777777" w:rsidR="003F46DA" w:rsidRPr="00FB4D49" w:rsidRDefault="003F46DA" w:rsidP="00713A4E">
            <w:pPr>
              <w:spacing w:after="120"/>
              <w:contextualSpacing/>
              <w:rPr>
                <w:rFonts w:ascii="Arial" w:hAnsi="Arial" w:cs="Arial"/>
                <w:i/>
              </w:rPr>
            </w:pPr>
            <w:r w:rsidRPr="00FB4D49">
              <w:rPr>
                <w:rFonts w:ascii="Arial" w:hAnsi="Arial" w:cs="Arial"/>
                <w:i/>
              </w:rPr>
              <w:t>Examination - two-hour, unseen</w:t>
            </w:r>
          </w:p>
        </w:tc>
        <w:tc>
          <w:tcPr>
            <w:tcW w:w="453" w:type="pct"/>
          </w:tcPr>
          <w:p w14:paraId="2A72F5B7"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3" w:type="pct"/>
          </w:tcPr>
          <w:p w14:paraId="1749471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713946D9"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3D5FD896"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0BA93EFC"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76E1FF31"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5707FD1A" w14:textId="77777777" w:rsidR="003F46DA" w:rsidRPr="00302082" w:rsidRDefault="003F46DA" w:rsidP="00713A4E">
            <w:pPr>
              <w:spacing w:after="120"/>
              <w:contextualSpacing/>
              <w:rPr>
                <w:rFonts w:ascii="Arial" w:hAnsi="Arial" w:cs="Arial"/>
                <w:b/>
              </w:rPr>
            </w:pPr>
            <w:r>
              <w:rPr>
                <w:rFonts w:ascii="Arial" w:hAnsi="Arial" w:cs="Arial"/>
                <w:b/>
              </w:rPr>
              <w:t>X</w:t>
            </w:r>
          </w:p>
        </w:tc>
        <w:tc>
          <w:tcPr>
            <w:tcW w:w="452" w:type="pct"/>
          </w:tcPr>
          <w:p w14:paraId="6885A37D" w14:textId="77777777" w:rsidR="003F46DA" w:rsidRPr="00302082" w:rsidRDefault="003F46DA" w:rsidP="00713A4E">
            <w:pPr>
              <w:spacing w:after="120"/>
              <w:contextualSpacing/>
              <w:rPr>
                <w:rFonts w:ascii="Arial" w:hAnsi="Arial" w:cs="Arial"/>
                <w:b/>
              </w:rPr>
            </w:pPr>
            <w:r>
              <w:rPr>
                <w:rFonts w:ascii="Arial" w:hAnsi="Arial" w:cs="Arial"/>
                <w:b/>
              </w:rPr>
              <w:t>X</w:t>
            </w:r>
          </w:p>
        </w:tc>
      </w:tr>
    </w:tbl>
    <w:p w14:paraId="7DE01A2F" w14:textId="77777777" w:rsidR="007A6245" w:rsidRDefault="007A6245" w:rsidP="00713A4E">
      <w:pPr>
        <w:spacing w:after="120" w:line="240" w:lineRule="auto"/>
        <w:ind w:left="426" w:right="260"/>
        <w:contextualSpacing/>
        <w:rPr>
          <w:rFonts w:ascii="Arial" w:hAnsi="Arial" w:cs="Arial"/>
          <w:b/>
          <w:iCs/>
        </w:rPr>
      </w:pPr>
    </w:p>
    <w:p w14:paraId="1959800D" w14:textId="77777777" w:rsidR="00D50113" w:rsidRPr="00D50113" w:rsidRDefault="002A7F48" w:rsidP="00713A4E">
      <w:pPr>
        <w:numPr>
          <w:ilvl w:val="0"/>
          <w:numId w:val="1"/>
        </w:numPr>
        <w:spacing w:after="120" w:line="240" w:lineRule="auto"/>
        <w:ind w:left="426" w:right="260" w:hanging="426"/>
        <w:contextualSpacing/>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CA4535">
        <w:rPr>
          <w:rFonts w:ascii="Arial" w:hAnsi="Arial" w:cs="Arial"/>
          <w:b/>
          <w:bCs/>
        </w:rPr>
        <w:t>esign</w:t>
      </w:r>
    </w:p>
    <w:p w14:paraId="199239AF" w14:textId="77777777" w:rsidR="00D50113" w:rsidRPr="00D50113" w:rsidRDefault="00D50113" w:rsidP="00713A4E">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w:t>
      </w:r>
      <w:proofErr w:type="gramStart"/>
      <w:r w:rsidRPr="00D50113">
        <w:rPr>
          <w:rFonts w:ascii="Arial" w:hAnsi="Arial" w:cs="Arial"/>
        </w:rPr>
        <w:t>School</w:t>
      </w:r>
      <w:proofErr w:type="gramEnd"/>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BBA294" w14:textId="77777777" w:rsidR="00D50113" w:rsidRPr="00D50113" w:rsidRDefault="00D50113" w:rsidP="00713A4E">
      <w:pPr>
        <w:autoSpaceDE w:val="0"/>
        <w:autoSpaceDN w:val="0"/>
        <w:adjustRightInd w:val="0"/>
        <w:spacing w:after="120" w:line="240" w:lineRule="auto"/>
        <w:ind w:left="426"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4E58BD7D" w14:textId="77777777" w:rsidR="00D50113" w:rsidRPr="00D50113" w:rsidRDefault="00D50113" w:rsidP="00713A4E">
      <w:pPr>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D6A4751" w14:textId="227F07AF" w:rsidR="00D50113" w:rsidRDefault="00D50113" w:rsidP="00713A4E">
      <w:pPr>
        <w:tabs>
          <w:tab w:val="left" w:pos="567"/>
        </w:tabs>
        <w:autoSpaceDE w:val="0"/>
        <w:autoSpaceDN w:val="0"/>
        <w:adjustRightInd w:val="0"/>
        <w:spacing w:after="120" w:line="240" w:lineRule="auto"/>
        <w:ind w:left="426" w:right="260"/>
        <w:contextualSpacing/>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7E568156" w14:textId="14728979" w:rsidR="00713A4E" w:rsidRDefault="00713A4E">
      <w:pPr>
        <w:rPr>
          <w:rFonts w:ascii="Arial" w:hAnsi="Arial" w:cs="Arial"/>
          <w:bCs/>
        </w:rPr>
      </w:pPr>
      <w:r>
        <w:rPr>
          <w:rFonts w:ascii="Arial" w:hAnsi="Arial" w:cs="Arial"/>
          <w:bCs/>
        </w:rPr>
        <w:br w:type="page"/>
      </w:r>
    </w:p>
    <w:p w14:paraId="0910A633" w14:textId="77777777" w:rsidR="00713A4E" w:rsidRPr="00D50113" w:rsidRDefault="00713A4E" w:rsidP="00713A4E">
      <w:pPr>
        <w:tabs>
          <w:tab w:val="left" w:pos="567"/>
        </w:tabs>
        <w:autoSpaceDE w:val="0"/>
        <w:autoSpaceDN w:val="0"/>
        <w:adjustRightInd w:val="0"/>
        <w:spacing w:after="120" w:line="240" w:lineRule="auto"/>
        <w:ind w:left="426" w:right="260"/>
        <w:contextualSpacing/>
        <w:jc w:val="both"/>
        <w:rPr>
          <w:rFonts w:ascii="Arial" w:hAnsi="Arial" w:cs="Arial"/>
          <w:color w:val="000000"/>
        </w:rPr>
      </w:pPr>
    </w:p>
    <w:p w14:paraId="4F3CB9E5" w14:textId="77777777" w:rsidR="009A2D37" w:rsidRDefault="002A7F48" w:rsidP="00713A4E">
      <w:pPr>
        <w:numPr>
          <w:ilvl w:val="0"/>
          <w:numId w:val="1"/>
        </w:numPr>
        <w:spacing w:after="120" w:line="240" w:lineRule="auto"/>
        <w:ind w:left="426" w:right="260" w:hanging="426"/>
        <w:contextualSpacing/>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 xml:space="preserve">here module will be </w:t>
      </w:r>
      <w:proofErr w:type="gramStart"/>
      <w:r>
        <w:rPr>
          <w:rFonts w:ascii="Arial" w:hAnsi="Arial" w:cs="Arial"/>
          <w:b/>
        </w:rPr>
        <w:t>delivered</w:t>
      </w:r>
      <w:proofErr w:type="gramEnd"/>
    </w:p>
    <w:p w14:paraId="67B45B62" w14:textId="761EC664" w:rsidR="002A7F48" w:rsidRDefault="00530970" w:rsidP="00713A4E">
      <w:pPr>
        <w:spacing w:after="120" w:line="240" w:lineRule="auto"/>
        <w:ind w:left="426" w:right="260"/>
        <w:contextualSpacing/>
        <w:jc w:val="both"/>
        <w:rPr>
          <w:rFonts w:ascii="Arial" w:hAnsi="Arial" w:cs="Arial"/>
        </w:rPr>
      </w:pPr>
      <w:r w:rsidRPr="00530970">
        <w:rPr>
          <w:rFonts w:ascii="Arial" w:hAnsi="Arial" w:cs="Arial"/>
        </w:rPr>
        <w:t>Medway</w:t>
      </w:r>
    </w:p>
    <w:p w14:paraId="15ADD674" w14:textId="77777777" w:rsidR="00713A4E" w:rsidRPr="00530970" w:rsidRDefault="00713A4E" w:rsidP="00713A4E">
      <w:pPr>
        <w:spacing w:after="120" w:line="240" w:lineRule="auto"/>
        <w:ind w:left="426" w:right="260"/>
        <w:contextualSpacing/>
        <w:jc w:val="both"/>
        <w:rPr>
          <w:rFonts w:ascii="Arial" w:hAnsi="Arial" w:cs="Arial"/>
        </w:rPr>
      </w:pPr>
    </w:p>
    <w:p w14:paraId="0D22AC9A" w14:textId="77777777" w:rsidR="002A7F48" w:rsidRPr="002A7F48" w:rsidRDefault="002A7F48" w:rsidP="00713A4E">
      <w:pPr>
        <w:numPr>
          <w:ilvl w:val="0"/>
          <w:numId w:val="1"/>
        </w:numPr>
        <w:spacing w:after="120" w:line="240" w:lineRule="auto"/>
        <w:ind w:left="425" w:right="261" w:hanging="426"/>
        <w:contextualSpacing/>
        <w:jc w:val="both"/>
        <w:rPr>
          <w:rFonts w:ascii="Arial" w:hAnsi="Arial" w:cs="Arial"/>
          <w:b/>
        </w:rPr>
      </w:pPr>
      <w:r w:rsidRPr="002A7F48">
        <w:rPr>
          <w:rFonts w:ascii="Arial" w:hAnsi="Arial" w:cs="Arial"/>
          <w:b/>
        </w:rPr>
        <w:t xml:space="preserve">Internationalisation </w:t>
      </w:r>
    </w:p>
    <w:p w14:paraId="064435F0" w14:textId="77777777" w:rsidR="001E16A4" w:rsidRPr="002A7F48" w:rsidRDefault="00BE6F2D" w:rsidP="00713A4E">
      <w:pPr>
        <w:autoSpaceDE w:val="0"/>
        <w:autoSpaceDN w:val="0"/>
        <w:adjustRightInd w:val="0"/>
        <w:spacing w:after="120" w:line="240" w:lineRule="auto"/>
        <w:ind w:left="425" w:right="261"/>
        <w:contextualSpacing/>
        <w:jc w:val="both"/>
        <w:rPr>
          <w:rFonts w:ascii="Arial" w:hAnsi="Arial" w:cs="Arial"/>
        </w:rPr>
      </w:pPr>
      <w:r>
        <w:rPr>
          <w:rFonts w:ascii="Arial" w:hAnsi="Arial" w:cs="Arial"/>
        </w:rPr>
        <w:t xml:space="preserve">The module covers the topics which are </w:t>
      </w:r>
      <w:r w:rsidR="00600A2C">
        <w:rPr>
          <w:rFonts w:ascii="Arial" w:hAnsi="Arial" w:cs="Arial"/>
        </w:rPr>
        <w:t xml:space="preserve">frequently used by financial managers </w:t>
      </w:r>
      <w:r w:rsidR="00297BA5">
        <w:rPr>
          <w:rFonts w:ascii="Arial" w:hAnsi="Arial" w:cs="Arial"/>
        </w:rPr>
        <w:t>to manage financial</w:t>
      </w:r>
      <w:r w:rsidR="00600A2C">
        <w:rPr>
          <w:rFonts w:ascii="Arial" w:hAnsi="Arial" w:cs="Arial"/>
        </w:rPr>
        <w:t xml:space="preserve"> risk</w:t>
      </w:r>
      <w:r w:rsidR="00297BA5">
        <w:rPr>
          <w:rFonts w:ascii="Arial" w:hAnsi="Arial" w:cs="Arial"/>
        </w:rPr>
        <w:t xml:space="preserve">s </w:t>
      </w:r>
      <w:r w:rsidR="00600A2C">
        <w:rPr>
          <w:rFonts w:ascii="Arial" w:hAnsi="Arial" w:cs="Arial"/>
        </w:rPr>
        <w:t>internationally</w:t>
      </w:r>
      <w:r w:rsidR="00297BA5">
        <w:rPr>
          <w:rFonts w:ascii="Arial" w:hAnsi="Arial" w:cs="Arial"/>
        </w:rPr>
        <w:t>. Typical examples are price risk management, foreign exchange risk management, portfolio risk management, etc</w:t>
      </w:r>
      <w:r w:rsidR="00600A2C">
        <w:rPr>
          <w:rFonts w:ascii="Arial" w:hAnsi="Arial" w:cs="Arial"/>
        </w:rPr>
        <w:t xml:space="preserve">. </w:t>
      </w:r>
      <w:r>
        <w:rPr>
          <w:rFonts w:ascii="Arial" w:hAnsi="Arial" w:cs="Arial"/>
        </w:rPr>
        <w:t xml:space="preserve">The module is also relevant to prepare for CFA (Chartered Financial Analyst) </w:t>
      </w:r>
      <w:r w:rsidR="00D926B4">
        <w:rPr>
          <w:rFonts w:ascii="Arial" w:hAnsi="Arial" w:cs="Arial"/>
        </w:rPr>
        <w:t>exam ‘</w:t>
      </w:r>
      <w:r w:rsidR="00600A2C">
        <w:rPr>
          <w:rFonts w:ascii="Arial" w:hAnsi="Arial" w:cs="Arial"/>
        </w:rPr>
        <w:t xml:space="preserve">Derivatives’ </w:t>
      </w:r>
      <w:r>
        <w:rPr>
          <w:rFonts w:ascii="Arial" w:hAnsi="Arial" w:cs="Arial"/>
        </w:rPr>
        <w:t>which is an internationally recognised professional qualification.</w:t>
      </w:r>
    </w:p>
    <w:p w14:paraId="01D5EF30" w14:textId="77777777" w:rsidR="00641D6D" w:rsidRPr="00302082" w:rsidRDefault="00641D6D" w:rsidP="00713A4E">
      <w:pPr>
        <w:pBdr>
          <w:bottom w:val="single" w:sz="6" w:space="1" w:color="auto"/>
        </w:pBdr>
        <w:spacing w:after="120" w:line="240" w:lineRule="auto"/>
        <w:ind w:right="261"/>
        <w:contextualSpacing/>
        <w:rPr>
          <w:rFonts w:ascii="Arial" w:hAnsi="Arial" w:cs="Arial"/>
        </w:rPr>
      </w:pPr>
    </w:p>
    <w:p w14:paraId="0745C45B" w14:textId="77777777" w:rsidR="00441E76" w:rsidRPr="00BA453C" w:rsidRDefault="00422B69" w:rsidP="00713A4E">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A8A8837" w14:textId="77777777" w:rsidR="00D83563" w:rsidRPr="00BA453C" w:rsidRDefault="00D83563" w:rsidP="00713A4E">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F987672" w14:textId="77777777" w:rsidR="00422B69" w:rsidRPr="00302082" w:rsidRDefault="00422B69" w:rsidP="00713A4E">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52A7EFF" w14:textId="77777777" w:rsidTr="00694309">
        <w:trPr>
          <w:trHeight w:val="317"/>
        </w:trPr>
        <w:tc>
          <w:tcPr>
            <w:tcW w:w="1526" w:type="dxa"/>
          </w:tcPr>
          <w:p w14:paraId="2704C127" w14:textId="77777777" w:rsidR="00422B69" w:rsidRPr="00BA453C" w:rsidRDefault="00422B69" w:rsidP="00713A4E">
            <w:pPr>
              <w:spacing w:after="120"/>
              <w:ind w:right="-330"/>
              <w:contextualSpacing/>
              <w:rPr>
                <w:rFonts w:ascii="Arial" w:hAnsi="Arial" w:cs="Arial"/>
                <w:sz w:val="18"/>
              </w:rPr>
            </w:pPr>
            <w:r w:rsidRPr="00BA453C">
              <w:rPr>
                <w:rFonts w:ascii="Arial" w:hAnsi="Arial" w:cs="Arial"/>
                <w:sz w:val="18"/>
              </w:rPr>
              <w:t>Date approved</w:t>
            </w:r>
          </w:p>
        </w:tc>
        <w:tc>
          <w:tcPr>
            <w:tcW w:w="1701" w:type="dxa"/>
          </w:tcPr>
          <w:p w14:paraId="7C72CD21" w14:textId="77777777" w:rsidR="00422B69" w:rsidRPr="00BA453C" w:rsidRDefault="00422B69" w:rsidP="00713A4E">
            <w:pPr>
              <w:spacing w:after="120"/>
              <w:contextualSpacing/>
              <w:rPr>
                <w:rFonts w:ascii="Arial" w:hAnsi="Arial" w:cs="Arial"/>
                <w:sz w:val="18"/>
              </w:rPr>
            </w:pPr>
            <w:r w:rsidRPr="00BA453C">
              <w:rPr>
                <w:rFonts w:ascii="Arial" w:hAnsi="Arial" w:cs="Arial"/>
                <w:sz w:val="18"/>
              </w:rPr>
              <w:t>Major/minor revision</w:t>
            </w:r>
          </w:p>
        </w:tc>
        <w:tc>
          <w:tcPr>
            <w:tcW w:w="2410" w:type="dxa"/>
          </w:tcPr>
          <w:p w14:paraId="5B3474A1" w14:textId="77777777" w:rsidR="00422B69" w:rsidRPr="00BA453C" w:rsidRDefault="00422B69" w:rsidP="00713A4E">
            <w:pPr>
              <w:spacing w:after="120"/>
              <w:ind w:right="-34"/>
              <w:contextualSpacing/>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066B3842" w14:textId="77777777" w:rsidR="00422B69" w:rsidRPr="00BA453C" w:rsidRDefault="00422B69" w:rsidP="00713A4E">
            <w:pPr>
              <w:spacing w:after="120"/>
              <w:ind w:right="-330"/>
              <w:contextualSpacing/>
              <w:rPr>
                <w:rFonts w:ascii="Arial" w:hAnsi="Arial" w:cs="Arial"/>
                <w:sz w:val="18"/>
              </w:rPr>
            </w:pPr>
            <w:r w:rsidRPr="00BA453C">
              <w:rPr>
                <w:rFonts w:ascii="Arial" w:hAnsi="Arial" w:cs="Arial"/>
                <w:sz w:val="18"/>
              </w:rPr>
              <w:t>Section revised</w:t>
            </w:r>
          </w:p>
        </w:tc>
        <w:tc>
          <w:tcPr>
            <w:tcW w:w="2597" w:type="dxa"/>
          </w:tcPr>
          <w:p w14:paraId="5A59E170" w14:textId="77777777" w:rsidR="00422B69" w:rsidRPr="00BA453C" w:rsidRDefault="00422B69" w:rsidP="00713A4E">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DC24D4C" w14:textId="77777777" w:rsidTr="00694309">
        <w:trPr>
          <w:trHeight w:val="305"/>
        </w:trPr>
        <w:tc>
          <w:tcPr>
            <w:tcW w:w="1526" w:type="dxa"/>
          </w:tcPr>
          <w:p w14:paraId="0A56D967" w14:textId="77777777" w:rsidR="00422B69" w:rsidRPr="00302082" w:rsidRDefault="00422B69" w:rsidP="00713A4E">
            <w:pPr>
              <w:spacing w:after="120"/>
              <w:ind w:right="-330"/>
              <w:contextualSpacing/>
              <w:rPr>
                <w:rFonts w:ascii="Arial" w:hAnsi="Arial" w:cs="Arial"/>
              </w:rPr>
            </w:pPr>
          </w:p>
        </w:tc>
        <w:tc>
          <w:tcPr>
            <w:tcW w:w="1701" w:type="dxa"/>
          </w:tcPr>
          <w:p w14:paraId="40DEF2F3" w14:textId="77777777" w:rsidR="00422B69" w:rsidRPr="00302082" w:rsidRDefault="00422B69" w:rsidP="00713A4E">
            <w:pPr>
              <w:spacing w:after="120"/>
              <w:ind w:right="-330"/>
              <w:contextualSpacing/>
              <w:rPr>
                <w:rFonts w:ascii="Arial" w:hAnsi="Arial" w:cs="Arial"/>
              </w:rPr>
            </w:pPr>
          </w:p>
        </w:tc>
        <w:tc>
          <w:tcPr>
            <w:tcW w:w="2410" w:type="dxa"/>
          </w:tcPr>
          <w:p w14:paraId="441B2666" w14:textId="77777777" w:rsidR="00422B69" w:rsidRPr="00302082" w:rsidRDefault="00422B69" w:rsidP="00713A4E">
            <w:pPr>
              <w:spacing w:after="120"/>
              <w:ind w:right="-330"/>
              <w:contextualSpacing/>
              <w:rPr>
                <w:rFonts w:ascii="Arial" w:hAnsi="Arial" w:cs="Arial"/>
              </w:rPr>
            </w:pPr>
          </w:p>
        </w:tc>
        <w:tc>
          <w:tcPr>
            <w:tcW w:w="2448" w:type="dxa"/>
          </w:tcPr>
          <w:p w14:paraId="609CF3E4" w14:textId="77777777" w:rsidR="00422B69" w:rsidRPr="00302082" w:rsidRDefault="00422B69" w:rsidP="00713A4E">
            <w:pPr>
              <w:spacing w:after="120"/>
              <w:ind w:right="-330"/>
              <w:contextualSpacing/>
              <w:rPr>
                <w:rFonts w:ascii="Arial" w:hAnsi="Arial" w:cs="Arial"/>
              </w:rPr>
            </w:pPr>
          </w:p>
        </w:tc>
        <w:tc>
          <w:tcPr>
            <w:tcW w:w="2597" w:type="dxa"/>
          </w:tcPr>
          <w:p w14:paraId="00454DB2" w14:textId="77777777" w:rsidR="00422B69" w:rsidRPr="00302082" w:rsidRDefault="00422B69" w:rsidP="00713A4E">
            <w:pPr>
              <w:spacing w:after="120"/>
              <w:ind w:right="-330"/>
              <w:contextualSpacing/>
              <w:rPr>
                <w:rFonts w:ascii="Arial" w:hAnsi="Arial" w:cs="Arial"/>
              </w:rPr>
            </w:pPr>
          </w:p>
        </w:tc>
      </w:tr>
      <w:tr w:rsidR="00302082" w:rsidRPr="00302082" w14:paraId="5DC1EB34" w14:textId="77777777" w:rsidTr="00694309">
        <w:trPr>
          <w:trHeight w:val="305"/>
        </w:trPr>
        <w:tc>
          <w:tcPr>
            <w:tcW w:w="1526" w:type="dxa"/>
          </w:tcPr>
          <w:p w14:paraId="221C6030" w14:textId="77777777" w:rsidR="00422B69" w:rsidRPr="00302082" w:rsidRDefault="00422B69" w:rsidP="00713A4E">
            <w:pPr>
              <w:spacing w:after="120"/>
              <w:ind w:right="-330"/>
              <w:contextualSpacing/>
              <w:rPr>
                <w:rFonts w:ascii="Arial" w:hAnsi="Arial" w:cs="Arial"/>
              </w:rPr>
            </w:pPr>
          </w:p>
        </w:tc>
        <w:tc>
          <w:tcPr>
            <w:tcW w:w="1701" w:type="dxa"/>
          </w:tcPr>
          <w:p w14:paraId="35A2D1CD" w14:textId="77777777" w:rsidR="00422B69" w:rsidRPr="00302082" w:rsidRDefault="00422B69" w:rsidP="00713A4E">
            <w:pPr>
              <w:spacing w:after="120"/>
              <w:ind w:right="-330"/>
              <w:contextualSpacing/>
              <w:rPr>
                <w:rFonts w:ascii="Arial" w:hAnsi="Arial" w:cs="Arial"/>
              </w:rPr>
            </w:pPr>
          </w:p>
        </w:tc>
        <w:tc>
          <w:tcPr>
            <w:tcW w:w="2410" w:type="dxa"/>
          </w:tcPr>
          <w:p w14:paraId="42578070" w14:textId="77777777" w:rsidR="00422B69" w:rsidRPr="00302082" w:rsidRDefault="00422B69" w:rsidP="00713A4E">
            <w:pPr>
              <w:spacing w:after="120"/>
              <w:ind w:right="-330"/>
              <w:contextualSpacing/>
              <w:rPr>
                <w:rFonts w:ascii="Arial" w:hAnsi="Arial" w:cs="Arial"/>
              </w:rPr>
            </w:pPr>
          </w:p>
        </w:tc>
        <w:tc>
          <w:tcPr>
            <w:tcW w:w="2448" w:type="dxa"/>
          </w:tcPr>
          <w:p w14:paraId="31E70FCC" w14:textId="77777777" w:rsidR="00422B69" w:rsidRPr="00302082" w:rsidRDefault="00422B69" w:rsidP="00713A4E">
            <w:pPr>
              <w:spacing w:after="120"/>
              <w:ind w:right="-330"/>
              <w:contextualSpacing/>
              <w:rPr>
                <w:rFonts w:ascii="Arial" w:hAnsi="Arial" w:cs="Arial"/>
              </w:rPr>
            </w:pPr>
          </w:p>
        </w:tc>
        <w:tc>
          <w:tcPr>
            <w:tcW w:w="2597" w:type="dxa"/>
          </w:tcPr>
          <w:p w14:paraId="0855C70D" w14:textId="77777777" w:rsidR="00422B69" w:rsidRPr="00302082" w:rsidRDefault="00422B69" w:rsidP="00713A4E">
            <w:pPr>
              <w:spacing w:after="120"/>
              <w:ind w:right="-330"/>
              <w:contextualSpacing/>
              <w:rPr>
                <w:rFonts w:ascii="Arial" w:hAnsi="Arial" w:cs="Arial"/>
              </w:rPr>
            </w:pPr>
          </w:p>
        </w:tc>
      </w:tr>
    </w:tbl>
    <w:p w14:paraId="73690D8B" w14:textId="77777777" w:rsidR="00D83563" w:rsidRPr="00302082" w:rsidRDefault="00D83563" w:rsidP="00713A4E">
      <w:pPr>
        <w:spacing w:after="120" w:line="240" w:lineRule="auto"/>
        <w:ind w:right="-330"/>
        <w:contextualSpacing/>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DDEA" w14:textId="77777777" w:rsidR="008A4E0D" w:rsidRDefault="008A4E0D" w:rsidP="009A2D37">
      <w:pPr>
        <w:spacing w:after="0" w:line="240" w:lineRule="auto"/>
      </w:pPr>
      <w:r>
        <w:separator/>
      </w:r>
    </w:p>
  </w:endnote>
  <w:endnote w:type="continuationSeparator" w:id="0">
    <w:p w14:paraId="6380E5B9" w14:textId="77777777" w:rsidR="008A4E0D" w:rsidRDefault="008A4E0D" w:rsidP="009A2D37">
      <w:pPr>
        <w:spacing w:after="0" w:line="240" w:lineRule="auto"/>
      </w:pPr>
      <w:r>
        <w:continuationSeparator/>
      </w:r>
    </w:p>
  </w:endnote>
  <w:endnote w:type="continuationNotice" w:id="1">
    <w:p w14:paraId="252A57C8" w14:textId="77777777" w:rsidR="008A4E0D" w:rsidRDefault="008A4E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Content>
      <w:p w14:paraId="67753E74" w14:textId="30FA9E03" w:rsidR="008B2543" w:rsidRDefault="0019787E" w:rsidP="009A2D37">
        <w:pPr>
          <w:pStyle w:val="Footer"/>
          <w:jc w:val="center"/>
        </w:pPr>
        <w:r>
          <w:fldChar w:fldCharType="begin"/>
        </w:r>
        <w:r>
          <w:instrText xml:space="preserve"> PAGE   \* MERGEFORMAT </w:instrText>
        </w:r>
        <w:r>
          <w:fldChar w:fldCharType="separate"/>
        </w:r>
        <w:r w:rsidR="002C58E3">
          <w:rPr>
            <w:noProof/>
          </w:rPr>
          <w:t>2</w:t>
        </w:r>
        <w:r>
          <w:rPr>
            <w:noProof/>
          </w:rPr>
          <w:fldChar w:fldCharType="end"/>
        </w:r>
      </w:p>
    </w:sdtContent>
  </w:sdt>
  <w:p w14:paraId="17E9D7F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9AB0" w14:textId="77777777" w:rsidR="008A4E0D" w:rsidRDefault="008A4E0D" w:rsidP="009A2D37">
      <w:pPr>
        <w:spacing w:after="0" w:line="240" w:lineRule="auto"/>
      </w:pPr>
      <w:r>
        <w:separator/>
      </w:r>
    </w:p>
  </w:footnote>
  <w:footnote w:type="continuationSeparator" w:id="0">
    <w:p w14:paraId="7C2BFF8B" w14:textId="77777777" w:rsidR="008A4E0D" w:rsidRDefault="008A4E0D" w:rsidP="009A2D37">
      <w:pPr>
        <w:spacing w:after="0" w:line="240" w:lineRule="auto"/>
      </w:pPr>
      <w:r>
        <w:continuationSeparator/>
      </w:r>
    </w:p>
  </w:footnote>
  <w:footnote w:type="continuationNotice" w:id="1">
    <w:p w14:paraId="352851AD" w14:textId="77777777" w:rsidR="008A4E0D" w:rsidRDefault="008A4E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2B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8A0E54C" wp14:editId="0F8958A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69EF9F5" w14:textId="77777777" w:rsidR="008B2543" w:rsidRPr="008C00F8" w:rsidRDefault="008B2543" w:rsidP="005E6D38">
    <w:pPr>
      <w:pStyle w:val="Heading1"/>
      <w:spacing w:before="60" w:after="60"/>
      <w:rPr>
        <w:rFonts w:ascii="Arial" w:hAnsi="Arial" w:cs="Arial"/>
      </w:rPr>
    </w:pPr>
  </w:p>
  <w:p w14:paraId="3BE7EDD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5BEB" w14:textId="62779460"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1A8916" wp14:editId="4C09CD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982E8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207D3"/>
    <w:multiLevelType w:val="hybridMultilevel"/>
    <w:tmpl w:val="DA2A202A"/>
    <w:lvl w:ilvl="0" w:tplc="E524155C">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09D017E8"/>
    <w:multiLevelType w:val="hybridMultilevel"/>
    <w:tmpl w:val="1468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multilevel"/>
    <w:tmpl w:val="2AC06748"/>
    <w:lvl w:ilvl="0">
      <w:start w:val="1"/>
      <w:numFmt w:val="decimal"/>
      <w:lvlText w:val="%1."/>
      <w:lvlJc w:val="left"/>
      <w:pPr>
        <w:ind w:left="720" w:hanging="360"/>
      </w:pPr>
      <w:rPr>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96171A4"/>
    <w:multiLevelType w:val="hybridMultilevel"/>
    <w:tmpl w:val="989AD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5201A55"/>
    <w:multiLevelType w:val="hybridMultilevel"/>
    <w:tmpl w:val="E57C8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477DE8"/>
    <w:multiLevelType w:val="hybridMultilevel"/>
    <w:tmpl w:val="87CE7DC6"/>
    <w:lvl w:ilvl="0" w:tplc="6C58F73E">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5388144">
    <w:abstractNumId w:val="4"/>
  </w:num>
  <w:num w:numId="2" w16cid:durableId="605818526">
    <w:abstractNumId w:val="0"/>
  </w:num>
  <w:num w:numId="3" w16cid:durableId="1884246376">
    <w:abstractNumId w:val="5"/>
  </w:num>
  <w:num w:numId="4" w16cid:durableId="838883940">
    <w:abstractNumId w:val="1"/>
  </w:num>
  <w:num w:numId="5" w16cid:durableId="285892632">
    <w:abstractNumId w:val="13"/>
  </w:num>
  <w:num w:numId="6" w16cid:durableId="1928803083">
    <w:abstractNumId w:val="11"/>
  </w:num>
  <w:num w:numId="7" w16cid:durableId="1103722798">
    <w:abstractNumId w:val="14"/>
  </w:num>
  <w:num w:numId="8" w16cid:durableId="1032463298">
    <w:abstractNumId w:val="12"/>
  </w:num>
  <w:num w:numId="9" w16cid:durableId="328990832">
    <w:abstractNumId w:val="7"/>
  </w:num>
  <w:num w:numId="10" w16cid:durableId="1129133533">
    <w:abstractNumId w:val="10"/>
  </w:num>
  <w:num w:numId="11" w16cid:durableId="1517235821">
    <w:abstractNumId w:val="3"/>
  </w:num>
  <w:num w:numId="12" w16cid:durableId="276447456">
    <w:abstractNumId w:val="8"/>
  </w:num>
  <w:num w:numId="13" w16cid:durableId="1854223718">
    <w:abstractNumId w:val="9"/>
  </w:num>
  <w:num w:numId="14" w16cid:durableId="2014408738">
    <w:abstractNumId w:val="2"/>
  </w:num>
  <w:num w:numId="15" w16cid:durableId="800926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677F"/>
    <w:rsid w:val="00056886"/>
    <w:rsid w:val="00063A2F"/>
    <w:rsid w:val="000647FF"/>
    <w:rsid w:val="000678D3"/>
    <w:rsid w:val="000948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0E5A"/>
    <w:rsid w:val="001402AD"/>
    <w:rsid w:val="00143EDB"/>
    <w:rsid w:val="0015161F"/>
    <w:rsid w:val="0015210C"/>
    <w:rsid w:val="001540CE"/>
    <w:rsid w:val="0015717B"/>
    <w:rsid w:val="00157ACA"/>
    <w:rsid w:val="00160427"/>
    <w:rsid w:val="00162D46"/>
    <w:rsid w:val="00170449"/>
    <w:rsid w:val="00172793"/>
    <w:rsid w:val="00180558"/>
    <w:rsid w:val="001811E5"/>
    <w:rsid w:val="00183B34"/>
    <w:rsid w:val="00185F46"/>
    <w:rsid w:val="00196C6A"/>
    <w:rsid w:val="0019787E"/>
    <w:rsid w:val="001A425B"/>
    <w:rsid w:val="001B1B28"/>
    <w:rsid w:val="001B27FB"/>
    <w:rsid w:val="001C18C6"/>
    <w:rsid w:val="001C4A85"/>
    <w:rsid w:val="001C5443"/>
    <w:rsid w:val="001D0C7D"/>
    <w:rsid w:val="001D1F2D"/>
    <w:rsid w:val="001D2314"/>
    <w:rsid w:val="001D6398"/>
    <w:rsid w:val="001E16A4"/>
    <w:rsid w:val="001E1F45"/>
    <w:rsid w:val="001E62C1"/>
    <w:rsid w:val="001E6DEA"/>
    <w:rsid w:val="001F0779"/>
    <w:rsid w:val="001F3C3E"/>
    <w:rsid w:val="00201C5F"/>
    <w:rsid w:val="0020243A"/>
    <w:rsid w:val="00204B44"/>
    <w:rsid w:val="0021578E"/>
    <w:rsid w:val="00227582"/>
    <w:rsid w:val="00227D48"/>
    <w:rsid w:val="002308BE"/>
    <w:rsid w:val="002407C0"/>
    <w:rsid w:val="002461AF"/>
    <w:rsid w:val="002465A1"/>
    <w:rsid w:val="00254473"/>
    <w:rsid w:val="00262B29"/>
    <w:rsid w:val="00264576"/>
    <w:rsid w:val="0026585A"/>
    <w:rsid w:val="00266735"/>
    <w:rsid w:val="0026757F"/>
    <w:rsid w:val="00272F31"/>
    <w:rsid w:val="00273CF0"/>
    <w:rsid w:val="002748D4"/>
    <w:rsid w:val="00274ED7"/>
    <w:rsid w:val="0028461D"/>
    <w:rsid w:val="0028590C"/>
    <w:rsid w:val="00292C46"/>
    <w:rsid w:val="002938D6"/>
    <w:rsid w:val="00294B73"/>
    <w:rsid w:val="00297BA5"/>
    <w:rsid w:val="002A0C18"/>
    <w:rsid w:val="002A219B"/>
    <w:rsid w:val="002A22DB"/>
    <w:rsid w:val="002A7F48"/>
    <w:rsid w:val="002B0D26"/>
    <w:rsid w:val="002B20F5"/>
    <w:rsid w:val="002B2A1A"/>
    <w:rsid w:val="002B71F2"/>
    <w:rsid w:val="002C4970"/>
    <w:rsid w:val="002C58E3"/>
    <w:rsid w:val="002C79BC"/>
    <w:rsid w:val="002D5BE9"/>
    <w:rsid w:val="002E71C0"/>
    <w:rsid w:val="002F05F4"/>
    <w:rsid w:val="002F0CE4"/>
    <w:rsid w:val="002F23EF"/>
    <w:rsid w:val="002F2626"/>
    <w:rsid w:val="00302082"/>
    <w:rsid w:val="0030331F"/>
    <w:rsid w:val="00306620"/>
    <w:rsid w:val="00317887"/>
    <w:rsid w:val="00320DEF"/>
    <w:rsid w:val="003262B9"/>
    <w:rsid w:val="00333D1A"/>
    <w:rsid w:val="00334A02"/>
    <w:rsid w:val="00335875"/>
    <w:rsid w:val="00335FBE"/>
    <w:rsid w:val="003464FD"/>
    <w:rsid w:val="00352D8E"/>
    <w:rsid w:val="00356B68"/>
    <w:rsid w:val="0035702D"/>
    <w:rsid w:val="003604D4"/>
    <w:rsid w:val="0036174D"/>
    <w:rsid w:val="003627B0"/>
    <w:rsid w:val="00371996"/>
    <w:rsid w:val="00374DF6"/>
    <w:rsid w:val="003759B0"/>
    <w:rsid w:val="00375F84"/>
    <w:rsid w:val="00376E34"/>
    <w:rsid w:val="003804E7"/>
    <w:rsid w:val="00387016"/>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46DA"/>
    <w:rsid w:val="003F4BCD"/>
    <w:rsid w:val="003F5154"/>
    <w:rsid w:val="003F5A04"/>
    <w:rsid w:val="003F67CD"/>
    <w:rsid w:val="00402ED7"/>
    <w:rsid w:val="00406478"/>
    <w:rsid w:val="004114F8"/>
    <w:rsid w:val="00422B69"/>
    <w:rsid w:val="00423D86"/>
    <w:rsid w:val="00424C90"/>
    <w:rsid w:val="00436BE9"/>
    <w:rsid w:val="00437DB2"/>
    <w:rsid w:val="00441E76"/>
    <w:rsid w:val="004443DA"/>
    <w:rsid w:val="00446A75"/>
    <w:rsid w:val="004474A2"/>
    <w:rsid w:val="0045089E"/>
    <w:rsid w:val="00460925"/>
    <w:rsid w:val="00471C6C"/>
    <w:rsid w:val="00472023"/>
    <w:rsid w:val="00486993"/>
    <w:rsid w:val="00492DA4"/>
    <w:rsid w:val="00496AA3"/>
    <w:rsid w:val="00497C98"/>
    <w:rsid w:val="004A39D7"/>
    <w:rsid w:val="004A55FA"/>
    <w:rsid w:val="004B5220"/>
    <w:rsid w:val="004B5D03"/>
    <w:rsid w:val="004B76B8"/>
    <w:rsid w:val="004C1EC4"/>
    <w:rsid w:val="004D035C"/>
    <w:rsid w:val="004D7368"/>
    <w:rsid w:val="004E7D00"/>
    <w:rsid w:val="004F3C18"/>
    <w:rsid w:val="004F4328"/>
    <w:rsid w:val="005005E4"/>
    <w:rsid w:val="00513689"/>
    <w:rsid w:val="0051375A"/>
    <w:rsid w:val="00521097"/>
    <w:rsid w:val="005249A9"/>
    <w:rsid w:val="0053059E"/>
    <w:rsid w:val="00530970"/>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3B39"/>
    <w:rsid w:val="0059477B"/>
    <w:rsid w:val="00596884"/>
    <w:rsid w:val="005A14B5"/>
    <w:rsid w:val="005B5A98"/>
    <w:rsid w:val="005C1A4F"/>
    <w:rsid w:val="005C27D7"/>
    <w:rsid w:val="005D627F"/>
    <w:rsid w:val="005D7CD0"/>
    <w:rsid w:val="005E1A3A"/>
    <w:rsid w:val="005E6ADC"/>
    <w:rsid w:val="005E6D10"/>
    <w:rsid w:val="005E6D38"/>
    <w:rsid w:val="005E7B3F"/>
    <w:rsid w:val="005F040F"/>
    <w:rsid w:val="005F2C42"/>
    <w:rsid w:val="005F512D"/>
    <w:rsid w:val="00600A2C"/>
    <w:rsid w:val="006043FC"/>
    <w:rsid w:val="006050CF"/>
    <w:rsid w:val="006253AA"/>
    <w:rsid w:val="00626023"/>
    <w:rsid w:val="00633150"/>
    <w:rsid w:val="0063623F"/>
    <w:rsid w:val="00637A50"/>
    <w:rsid w:val="00641D6D"/>
    <w:rsid w:val="0064364E"/>
    <w:rsid w:val="006438F3"/>
    <w:rsid w:val="00647907"/>
    <w:rsid w:val="00651A82"/>
    <w:rsid w:val="006525E9"/>
    <w:rsid w:val="0066747B"/>
    <w:rsid w:val="006710A9"/>
    <w:rsid w:val="006725EC"/>
    <w:rsid w:val="00674ED0"/>
    <w:rsid w:val="00682650"/>
    <w:rsid w:val="00683609"/>
    <w:rsid w:val="00684851"/>
    <w:rsid w:val="00694309"/>
    <w:rsid w:val="00695285"/>
    <w:rsid w:val="006A14A3"/>
    <w:rsid w:val="006A6BB4"/>
    <w:rsid w:val="006A7FB0"/>
    <w:rsid w:val="006B2CAE"/>
    <w:rsid w:val="006C1373"/>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3A4E"/>
    <w:rsid w:val="00714EE5"/>
    <w:rsid w:val="00720270"/>
    <w:rsid w:val="0072264E"/>
    <w:rsid w:val="00724362"/>
    <w:rsid w:val="00727780"/>
    <w:rsid w:val="0073792C"/>
    <w:rsid w:val="00743888"/>
    <w:rsid w:val="0075103F"/>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F63"/>
    <w:rsid w:val="00854535"/>
    <w:rsid w:val="00856EB3"/>
    <w:rsid w:val="00863C96"/>
    <w:rsid w:val="00864A72"/>
    <w:rsid w:val="00873E9F"/>
    <w:rsid w:val="00874047"/>
    <w:rsid w:val="008778CB"/>
    <w:rsid w:val="00881545"/>
    <w:rsid w:val="00883A3E"/>
    <w:rsid w:val="0089148D"/>
    <w:rsid w:val="00891E0D"/>
    <w:rsid w:val="008A0F36"/>
    <w:rsid w:val="008A4E0D"/>
    <w:rsid w:val="008B075F"/>
    <w:rsid w:val="008B2543"/>
    <w:rsid w:val="008B4B6E"/>
    <w:rsid w:val="008D7401"/>
    <w:rsid w:val="008E0F46"/>
    <w:rsid w:val="008E5718"/>
    <w:rsid w:val="00903DF6"/>
    <w:rsid w:val="00921CF6"/>
    <w:rsid w:val="00924EF0"/>
    <w:rsid w:val="00934D7B"/>
    <w:rsid w:val="00937FEA"/>
    <w:rsid w:val="0094494D"/>
    <w:rsid w:val="00947180"/>
    <w:rsid w:val="0095013F"/>
    <w:rsid w:val="009567BE"/>
    <w:rsid w:val="009676FA"/>
    <w:rsid w:val="009679E0"/>
    <w:rsid w:val="0097125A"/>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72D0"/>
    <w:rsid w:val="009F3A2A"/>
    <w:rsid w:val="009F731F"/>
    <w:rsid w:val="00A021FE"/>
    <w:rsid w:val="00A1270E"/>
    <w:rsid w:val="00A15342"/>
    <w:rsid w:val="00A3007E"/>
    <w:rsid w:val="00A32048"/>
    <w:rsid w:val="00A41F06"/>
    <w:rsid w:val="00A47C71"/>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73B5"/>
    <w:rsid w:val="00B0591D"/>
    <w:rsid w:val="00B13402"/>
    <w:rsid w:val="00B14BC2"/>
    <w:rsid w:val="00B17024"/>
    <w:rsid w:val="00B17CD2"/>
    <w:rsid w:val="00B213D2"/>
    <w:rsid w:val="00B248BA"/>
    <w:rsid w:val="00B24B56"/>
    <w:rsid w:val="00B268C6"/>
    <w:rsid w:val="00B30E07"/>
    <w:rsid w:val="00B335D3"/>
    <w:rsid w:val="00B34ADD"/>
    <w:rsid w:val="00B52FF5"/>
    <w:rsid w:val="00B5498B"/>
    <w:rsid w:val="00B57219"/>
    <w:rsid w:val="00B658A3"/>
    <w:rsid w:val="00B746A8"/>
    <w:rsid w:val="00B75EE1"/>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10C8"/>
    <w:rsid w:val="00BD272F"/>
    <w:rsid w:val="00BD4C45"/>
    <w:rsid w:val="00BD7A8C"/>
    <w:rsid w:val="00BE2126"/>
    <w:rsid w:val="00BE3B17"/>
    <w:rsid w:val="00BE5887"/>
    <w:rsid w:val="00BE6F2D"/>
    <w:rsid w:val="00BF51AB"/>
    <w:rsid w:val="00BF716B"/>
    <w:rsid w:val="00BF7233"/>
    <w:rsid w:val="00C02AA2"/>
    <w:rsid w:val="00C04C95"/>
    <w:rsid w:val="00C12613"/>
    <w:rsid w:val="00C16DEF"/>
    <w:rsid w:val="00C2492F"/>
    <w:rsid w:val="00C3744A"/>
    <w:rsid w:val="00C4002A"/>
    <w:rsid w:val="00C46912"/>
    <w:rsid w:val="00C51853"/>
    <w:rsid w:val="00C52516"/>
    <w:rsid w:val="00C612A8"/>
    <w:rsid w:val="00C67631"/>
    <w:rsid w:val="00C7017A"/>
    <w:rsid w:val="00C729D7"/>
    <w:rsid w:val="00C83354"/>
    <w:rsid w:val="00C84004"/>
    <w:rsid w:val="00C843F6"/>
    <w:rsid w:val="00C84507"/>
    <w:rsid w:val="00C862C7"/>
    <w:rsid w:val="00CA3254"/>
    <w:rsid w:val="00CA4535"/>
    <w:rsid w:val="00CB11CE"/>
    <w:rsid w:val="00CC031A"/>
    <w:rsid w:val="00CC25A2"/>
    <w:rsid w:val="00CC2EFB"/>
    <w:rsid w:val="00CD7F07"/>
    <w:rsid w:val="00CE04F3"/>
    <w:rsid w:val="00CE12D8"/>
    <w:rsid w:val="00CE4574"/>
    <w:rsid w:val="00CE52C5"/>
    <w:rsid w:val="00CE70E6"/>
    <w:rsid w:val="00CF2E1E"/>
    <w:rsid w:val="00CF711B"/>
    <w:rsid w:val="00D02E99"/>
    <w:rsid w:val="00D13357"/>
    <w:rsid w:val="00D13A13"/>
    <w:rsid w:val="00D2689A"/>
    <w:rsid w:val="00D50113"/>
    <w:rsid w:val="00D54F04"/>
    <w:rsid w:val="00D65506"/>
    <w:rsid w:val="00D773CF"/>
    <w:rsid w:val="00D83563"/>
    <w:rsid w:val="00D8448F"/>
    <w:rsid w:val="00D926B4"/>
    <w:rsid w:val="00DA64B6"/>
    <w:rsid w:val="00DB5C9D"/>
    <w:rsid w:val="00DB5E95"/>
    <w:rsid w:val="00DD02E6"/>
    <w:rsid w:val="00DD1F2A"/>
    <w:rsid w:val="00DF665B"/>
    <w:rsid w:val="00E0152A"/>
    <w:rsid w:val="00E03394"/>
    <w:rsid w:val="00E066E5"/>
    <w:rsid w:val="00E1393F"/>
    <w:rsid w:val="00E22F03"/>
    <w:rsid w:val="00E233C1"/>
    <w:rsid w:val="00E373FD"/>
    <w:rsid w:val="00E51404"/>
    <w:rsid w:val="00E574C9"/>
    <w:rsid w:val="00E610DE"/>
    <w:rsid w:val="00E66167"/>
    <w:rsid w:val="00E70A55"/>
    <w:rsid w:val="00E71F2F"/>
    <w:rsid w:val="00E77786"/>
    <w:rsid w:val="00E806FB"/>
    <w:rsid w:val="00E91A6C"/>
    <w:rsid w:val="00E97515"/>
    <w:rsid w:val="00EB1C2D"/>
    <w:rsid w:val="00EB6780"/>
    <w:rsid w:val="00EC1810"/>
    <w:rsid w:val="00EC3FCC"/>
    <w:rsid w:val="00EC6C75"/>
    <w:rsid w:val="00ED32FF"/>
    <w:rsid w:val="00ED676F"/>
    <w:rsid w:val="00EF039B"/>
    <w:rsid w:val="00EF4933"/>
    <w:rsid w:val="00EF5044"/>
    <w:rsid w:val="00F01956"/>
    <w:rsid w:val="00F116CE"/>
    <w:rsid w:val="00F176DE"/>
    <w:rsid w:val="00F21C47"/>
    <w:rsid w:val="00F244E2"/>
    <w:rsid w:val="00F30ECA"/>
    <w:rsid w:val="00F340DE"/>
    <w:rsid w:val="00F43542"/>
    <w:rsid w:val="00F51648"/>
    <w:rsid w:val="00F527CB"/>
    <w:rsid w:val="00F562AA"/>
    <w:rsid w:val="00F56394"/>
    <w:rsid w:val="00F7105A"/>
    <w:rsid w:val="00F77676"/>
    <w:rsid w:val="00F8197C"/>
    <w:rsid w:val="00F82B4E"/>
    <w:rsid w:val="00F87559"/>
    <w:rsid w:val="00F96D71"/>
    <w:rsid w:val="00F97C9E"/>
    <w:rsid w:val="00FA20DE"/>
    <w:rsid w:val="00FA4EE8"/>
    <w:rsid w:val="00FA613D"/>
    <w:rsid w:val="00FB12CA"/>
    <w:rsid w:val="00FB36EC"/>
    <w:rsid w:val="00FB4D49"/>
    <w:rsid w:val="00FB4E1B"/>
    <w:rsid w:val="00FC0291"/>
    <w:rsid w:val="00FC1C92"/>
    <w:rsid w:val="00FC37A4"/>
    <w:rsid w:val="00FD333B"/>
    <w:rsid w:val="00FD689C"/>
    <w:rsid w:val="00FD705C"/>
    <w:rsid w:val="00FD777A"/>
    <w:rsid w:val="00FE260B"/>
    <w:rsid w:val="00FE692E"/>
    <w:rsid w:val="00FE74D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4D487"/>
  <w15:docId w15:val="{F7F6CC6E-699C-4CD7-A48D-E8DF6FF46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530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530970"/>
    <w:rPr>
      <w:rFonts w:asciiTheme="majorHAnsi" w:eastAsiaTheme="majorEastAsia" w:hAnsiTheme="majorHAnsi" w:cstheme="majorBidi"/>
      <w:i/>
      <w:iCs/>
      <w:color w:val="272727" w:themeColor="text1" w:themeTint="D8"/>
      <w:sz w:val="21"/>
      <w:szCs w:val="21"/>
      <w:lang w:eastAsia="en-GB"/>
    </w:rPr>
  </w:style>
  <w:style w:type="character" w:styleId="Emphasis">
    <w:name w:val="Emphasis"/>
    <w:basedOn w:val="DefaultParagraphFont"/>
    <w:uiPriority w:val="20"/>
    <w:qFormat/>
    <w:rsid w:val="00593B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091550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89C56-28CF-4CBD-BD98-4E565BDDB7DC}">
  <ds:schemaRefs>
    <ds:schemaRef ds:uri="http://schemas.openxmlformats.org/officeDocument/2006/bibliography"/>
  </ds:schemaRefs>
</ds:datastoreItem>
</file>

<file path=customXml/itemProps2.xml><?xml version="1.0" encoding="utf-8"?>
<ds:datastoreItem xmlns:ds="http://schemas.openxmlformats.org/officeDocument/2006/customXml" ds:itemID="{0E09F308-6DEC-41D8-B14E-B800A2715B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2BA4F7-DB07-46E5-ADDC-F611F34B9EA4}">
  <ds:schemaRefs>
    <ds:schemaRef ds:uri="http://schemas.microsoft.com/sharepoint/v3/contenttype/forms"/>
  </ds:schemaRefs>
</ds:datastoreItem>
</file>

<file path=customXml/itemProps4.xml><?xml version="1.0" encoding="utf-8"?>
<ds:datastoreItem xmlns:ds="http://schemas.openxmlformats.org/officeDocument/2006/customXml" ds:itemID="{5FC742B5-B38B-4376-BF69-230CF2B2FE68}"/>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Sideeq Mohammed</cp:lastModifiedBy>
  <cp:revision>3</cp:revision>
  <cp:lastPrinted>2015-09-09T08:37:00Z</cp:lastPrinted>
  <dcterms:created xsi:type="dcterms:W3CDTF">2019-09-06T13:33:00Z</dcterms:created>
  <dcterms:modified xsi:type="dcterms:W3CDTF">2023-01-30T06:55:00Z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103900</vt:r8>
  </property>
  <property fmtid="{D5CDD505-2E9C-101B-9397-08002B2CF9AE}" pid="4" name="xd_Signature">
    <vt:bool>false</vt:bool>
  </property>
  <property fmtid="{D5CDD505-2E9C-101B-9397-08002B2CF9AE}" pid="5" name="Year">
    <vt:lpwstr>21-22</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