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0CE8B26D"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A915E2">
        <w:rPr>
          <w:rFonts w:ascii="Arial" w:hAnsi="Arial" w:cs="Arial"/>
        </w:rPr>
        <w:t>3</w:t>
      </w:r>
      <w:r w:rsidR="0099626B">
        <w:rPr>
          <w:rFonts w:ascii="Arial" w:hAnsi="Arial" w:cs="Arial"/>
        </w:rPr>
        <w:t>74</w:t>
      </w:r>
      <w:r w:rsidR="000B5648">
        <w:rPr>
          <w:rFonts w:ascii="Arial" w:hAnsi="Arial" w:cs="Arial"/>
        </w:rPr>
        <w:t>0</w:t>
      </w:r>
      <w:r>
        <w:rPr>
          <w:rFonts w:ascii="Arial" w:hAnsi="Arial" w:cs="Arial"/>
        </w:rPr>
        <w:t xml:space="preserve"> (CB</w:t>
      </w:r>
      <w:r w:rsidR="0099626B">
        <w:rPr>
          <w:rFonts w:ascii="Arial" w:hAnsi="Arial" w:cs="Arial"/>
        </w:rPr>
        <w:t>374</w:t>
      </w:r>
      <w:r w:rsidR="007C05EE">
        <w:rPr>
          <w:rFonts w:ascii="Arial" w:hAnsi="Arial" w:cs="Arial"/>
        </w:rPr>
        <w:t>)</w:t>
      </w:r>
      <w:r w:rsidR="00B35C17">
        <w:rPr>
          <w:rFonts w:ascii="Arial" w:hAnsi="Arial" w:cs="Arial"/>
        </w:rPr>
        <w:t xml:space="preserve"> </w:t>
      </w:r>
      <w:r w:rsidR="0099626B">
        <w:rPr>
          <w:rFonts w:ascii="Arial" w:hAnsi="Arial" w:cs="Arial"/>
        </w:rPr>
        <w:t>Quantitative Methods for Finance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rPr>
        <w:t>Level 4</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3556AB45" w:rsidR="009A2D37" w:rsidRDefault="0099626B"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052065A2" w:rsidR="009A2D37" w:rsidRPr="002524C0" w:rsidRDefault="0099626B" w:rsidP="002524C0">
      <w:pPr>
        <w:spacing w:after="120" w:line="240" w:lineRule="auto"/>
        <w:ind w:left="567" w:right="260"/>
        <w:rPr>
          <w:rFonts w:ascii="Arial" w:hAnsi="Arial" w:cs="Arial"/>
          <w:iCs/>
        </w:rPr>
      </w:pPr>
      <w:r>
        <w:rPr>
          <w:rFonts w:ascii="Arial" w:hAnsi="Arial" w:cs="Arial"/>
          <w:iCs/>
        </w:rPr>
        <w:t>BUSN3670 Introduction to Data Analysis and Statistics for Business</w:t>
      </w:r>
    </w:p>
    <w:p w14:paraId="5396EA26" w14:textId="7856F0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A51D14C" w14:textId="57ADF7D1" w:rsidR="0099626B" w:rsidRPr="0099626B" w:rsidRDefault="0099626B" w:rsidP="0099626B">
      <w:pPr>
        <w:spacing w:after="120" w:line="240" w:lineRule="auto"/>
        <w:ind w:right="260" w:firstLine="567"/>
        <w:rPr>
          <w:rFonts w:ascii="Arial" w:hAnsi="Arial" w:cs="Arial"/>
          <w:iCs/>
        </w:rPr>
      </w:pPr>
      <w:r w:rsidRPr="0099626B">
        <w:rPr>
          <w:rFonts w:ascii="Arial" w:hAnsi="Arial" w:cs="Arial"/>
          <w:iCs/>
        </w:rPr>
        <w:t>BSc (Hons) Finance and Investment with a Year in Industry</w:t>
      </w:r>
    </w:p>
    <w:p w14:paraId="671AB754" w14:textId="4D0BC76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AAB7E3" w14:textId="12001B5D"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8.1 Understand fundamental topics of mathematics.</w:t>
      </w:r>
    </w:p>
    <w:p w14:paraId="155D5A81" w14:textId="57C0D093" w:rsidR="0099626B" w:rsidRPr="0099626B" w:rsidRDefault="0099626B" w:rsidP="0099626B">
      <w:pPr>
        <w:pStyle w:val="ListParagraph"/>
        <w:spacing w:after="120" w:line="240" w:lineRule="auto"/>
        <w:ind w:left="567" w:right="260"/>
        <w:jc w:val="both"/>
        <w:rPr>
          <w:rFonts w:ascii="Arial" w:hAnsi="Arial" w:cs="Arial"/>
          <w:iCs/>
        </w:rPr>
      </w:pPr>
      <w:r>
        <w:rPr>
          <w:rFonts w:ascii="Arial" w:hAnsi="Arial" w:cs="Arial"/>
          <w:iCs/>
        </w:rPr>
        <w:t xml:space="preserve">8.2 </w:t>
      </w:r>
      <w:r w:rsidRPr="0099626B">
        <w:rPr>
          <w:rFonts w:ascii="Arial" w:hAnsi="Arial" w:cs="Arial"/>
          <w:iCs/>
        </w:rPr>
        <w:t>Apply key mathematical formulae to calculate financial variables for decision-making.</w:t>
      </w:r>
    </w:p>
    <w:p w14:paraId="3965D4F0" w14:textId="61311B65"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8.3 Use quantitative techniques to analyse the behaviour of financial markets.</w:t>
      </w:r>
    </w:p>
    <w:p w14:paraId="12A6DF5F" w14:textId="1C57DF33"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8.4 Understand the context of published academic finance literature.</w:t>
      </w:r>
    </w:p>
    <w:p w14:paraId="1AAF82EB" w14:textId="02F891F9" w:rsidR="00A915E2" w:rsidRDefault="00A915E2" w:rsidP="000B5648">
      <w:pPr>
        <w:spacing w:after="120" w:line="240" w:lineRule="auto"/>
        <w:ind w:right="260"/>
        <w:rPr>
          <w:rFonts w:ascii="Arial" w:hAnsi="Arial" w:cs="Arial"/>
          <w:b/>
        </w:rPr>
      </w:pPr>
    </w:p>
    <w:p w14:paraId="0F260B2D" w14:textId="4DA71B5B"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FEBAF5" w14:textId="67961FB7"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9.1 Demonstrate numeracy and quantitative skills.</w:t>
      </w:r>
    </w:p>
    <w:p w14:paraId="5E56F1C3" w14:textId="0865B0A7"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9.2 Demonstrate ability in data analysis.</w:t>
      </w:r>
    </w:p>
    <w:p w14:paraId="4885BED9" w14:textId="577D2D1E"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9.3 Demonstrate understanding of the application of mathematical methods.</w:t>
      </w:r>
    </w:p>
    <w:p w14:paraId="4DF77215" w14:textId="08ED80E8" w:rsidR="0099626B" w:rsidRPr="0099626B" w:rsidRDefault="0099626B" w:rsidP="0099626B">
      <w:pPr>
        <w:pStyle w:val="ListParagraph"/>
        <w:spacing w:after="120" w:line="240" w:lineRule="auto"/>
        <w:ind w:left="567" w:right="260"/>
        <w:jc w:val="both"/>
        <w:rPr>
          <w:rFonts w:ascii="Arial" w:hAnsi="Arial" w:cs="Arial"/>
          <w:iCs/>
        </w:rPr>
      </w:pPr>
      <w:r w:rsidRPr="0099626B">
        <w:rPr>
          <w:rFonts w:ascii="Arial" w:hAnsi="Arial" w:cs="Arial"/>
          <w:iCs/>
        </w:rPr>
        <w:t>9.4 Work and study independently, and utilise resources effectively.</w:t>
      </w:r>
    </w:p>
    <w:p w14:paraId="1ED15784" w14:textId="77777777" w:rsidR="0099626B" w:rsidRDefault="0099626B" w:rsidP="0099626B">
      <w:pPr>
        <w:spacing w:after="120" w:line="240" w:lineRule="auto"/>
        <w:ind w:right="260"/>
        <w:rPr>
          <w:rFonts w:ascii="Arial" w:hAnsi="Arial" w:cs="Arial"/>
          <w:b/>
        </w:rPr>
      </w:pPr>
    </w:p>
    <w:p w14:paraId="7499F0A1" w14:textId="3DAC1AE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F3A3F94" w14:textId="27CA56CC" w:rsidR="0099626B" w:rsidRPr="004C214F" w:rsidRDefault="0099626B" w:rsidP="0099626B">
      <w:pPr>
        <w:spacing w:after="120" w:line="240" w:lineRule="auto"/>
        <w:ind w:left="567" w:right="260"/>
        <w:jc w:val="both"/>
        <w:rPr>
          <w:rFonts w:ascii="Arial" w:hAnsi="Arial" w:cs="Arial"/>
          <w:iCs/>
        </w:rPr>
      </w:pPr>
      <w:r>
        <w:rPr>
          <w:rFonts w:ascii="Arial" w:hAnsi="Arial" w:cs="Arial"/>
          <w:iCs/>
        </w:rPr>
        <w:t xml:space="preserve">This module builds on knowledge gained from BUSN3670: Introduction to Data Analysis and Statistics for Business. </w:t>
      </w:r>
      <w:r w:rsidRPr="004C214F">
        <w:rPr>
          <w:rFonts w:ascii="Arial" w:hAnsi="Arial" w:cs="Arial"/>
          <w:iCs/>
        </w:rPr>
        <w:t>The</w:t>
      </w:r>
      <w:r>
        <w:rPr>
          <w:rFonts w:ascii="Arial" w:hAnsi="Arial" w:cs="Arial"/>
          <w:iCs/>
        </w:rPr>
        <w:t xml:space="preserve"> </w:t>
      </w:r>
      <w:r w:rsidRPr="004C214F">
        <w:rPr>
          <w:rFonts w:ascii="Arial" w:hAnsi="Arial" w:cs="Arial"/>
          <w:iCs/>
        </w:rPr>
        <w:t>module is designed to pro</w:t>
      </w:r>
      <w:r>
        <w:rPr>
          <w:rFonts w:ascii="Arial" w:hAnsi="Arial" w:cs="Arial"/>
          <w:iCs/>
        </w:rPr>
        <w:t>vide a sound mathematical and statistical foundation for studying finance.</w:t>
      </w:r>
      <w:r w:rsidRPr="004C214F">
        <w:rPr>
          <w:rFonts w:ascii="Arial" w:hAnsi="Arial" w:cs="Arial"/>
          <w:iCs/>
        </w:rPr>
        <w:t xml:space="preserve"> </w:t>
      </w:r>
      <w:r>
        <w:rPr>
          <w:rFonts w:ascii="Arial" w:hAnsi="Arial" w:cs="Arial"/>
          <w:iCs/>
        </w:rPr>
        <w:t xml:space="preserve">Students will learn the </w:t>
      </w:r>
      <w:r w:rsidRPr="005132ED">
        <w:rPr>
          <w:rFonts w:ascii="Arial" w:hAnsi="Arial" w:cs="Arial"/>
          <w:iCs/>
        </w:rPr>
        <w:t xml:space="preserve">key </w:t>
      </w:r>
      <w:r>
        <w:rPr>
          <w:rFonts w:ascii="Arial" w:hAnsi="Arial" w:cs="Arial"/>
          <w:iCs/>
        </w:rPr>
        <w:t xml:space="preserve">mathematical and </w:t>
      </w:r>
      <w:r w:rsidRPr="005132ED">
        <w:rPr>
          <w:rFonts w:ascii="Arial" w:hAnsi="Arial" w:cs="Arial"/>
          <w:iCs/>
        </w:rPr>
        <w:t>statistical t</w:t>
      </w:r>
      <w:r>
        <w:rPr>
          <w:rFonts w:ascii="Arial" w:hAnsi="Arial" w:cs="Arial"/>
          <w:iCs/>
        </w:rPr>
        <w:t>ools necessary t</w:t>
      </w:r>
      <w:r w:rsidRPr="005132ED">
        <w:rPr>
          <w:rFonts w:ascii="Arial" w:hAnsi="Arial" w:cs="Arial"/>
          <w:iCs/>
        </w:rPr>
        <w:t xml:space="preserve">o analyse effectively </w:t>
      </w:r>
      <w:r>
        <w:rPr>
          <w:rFonts w:ascii="Arial" w:hAnsi="Arial" w:cs="Arial"/>
          <w:iCs/>
        </w:rPr>
        <w:t>financial data</w:t>
      </w:r>
      <w:r w:rsidRPr="005132ED">
        <w:rPr>
          <w:rFonts w:ascii="Arial" w:hAnsi="Arial" w:cs="Arial"/>
          <w:iCs/>
        </w:rPr>
        <w:t xml:space="preserve">. </w:t>
      </w:r>
    </w:p>
    <w:p w14:paraId="28A5FADE" w14:textId="77469509" w:rsidR="0099626B" w:rsidRDefault="0099626B" w:rsidP="0099626B">
      <w:pPr>
        <w:spacing w:after="120" w:line="240" w:lineRule="auto"/>
        <w:ind w:left="567" w:right="260" w:firstLine="360"/>
        <w:jc w:val="both"/>
        <w:rPr>
          <w:rFonts w:ascii="Arial" w:hAnsi="Arial" w:cs="Arial"/>
        </w:rPr>
      </w:pPr>
      <w:r>
        <w:rPr>
          <w:rFonts w:ascii="Arial" w:hAnsi="Arial" w:cs="Arial"/>
        </w:rPr>
        <w:t xml:space="preserve">Indicative topics </w:t>
      </w:r>
      <w:r w:rsidRPr="00C655AE">
        <w:rPr>
          <w:rFonts w:ascii="Arial" w:hAnsi="Arial" w:cs="Arial"/>
        </w:rPr>
        <w:t>include:</w:t>
      </w:r>
    </w:p>
    <w:p w14:paraId="0295D1EC" w14:textId="77777777" w:rsidR="0099626B" w:rsidRDefault="0099626B" w:rsidP="0099626B">
      <w:pPr>
        <w:pStyle w:val="ListParagraph"/>
        <w:numPr>
          <w:ilvl w:val="0"/>
          <w:numId w:val="24"/>
        </w:numPr>
        <w:spacing w:after="120" w:line="240" w:lineRule="auto"/>
        <w:ind w:left="1647" w:right="260"/>
        <w:jc w:val="both"/>
        <w:rPr>
          <w:rFonts w:ascii="Arial" w:hAnsi="Arial" w:cs="Arial"/>
        </w:rPr>
      </w:pPr>
      <w:r w:rsidRPr="00F27E4F">
        <w:rPr>
          <w:rFonts w:ascii="Arial" w:hAnsi="Arial" w:cs="Arial"/>
        </w:rPr>
        <w:t>Basics: algebra, line</w:t>
      </w:r>
      <w:r>
        <w:rPr>
          <w:rFonts w:ascii="Arial" w:hAnsi="Arial" w:cs="Arial"/>
        </w:rPr>
        <w:t>a</w:t>
      </w:r>
      <w:r w:rsidRPr="00F27E4F">
        <w:rPr>
          <w:rFonts w:ascii="Arial" w:hAnsi="Arial" w:cs="Arial"/>
        </w:rPr>
        <w:t xml:space="preserve">r </w:t>
      </w:r>
      <w:r>
        <w:rPr>
          <w:rFonts w:ascii="Arial" w:hAnsi="Arial" w:cs="Arial"/>
        </w:rPr>
        <w:t>equations</w:t>
      </w:r>
    </w:p>
    <w:p w14:paraId="48A2F1D9" w14:textId="77777777" w:rsidR="0099626B" w:rsidRPr="00F27E4F" w:rsidRDefault="0099626B" w:rsidP="0099626B">
      <w:pPr>
        <w:pStyle w:val="ListParagraph"/>
        <w:numPr>
          <w:ilvl w:val="0"/>
          <w:numId w:val="24"/>
        </w:numPr>
        <w:spacing w:after="120" w:line="240" w:lineRule="auto"/>
        <w:ind w:left="1647" w:right="260"/>
        <w:jc w:val="both"/>
        <w:rPr>
          <w:rFonts w:ascii="Arial" w:hAnsi="Arial" w:cs="Arial"/>
        </w:rPr>
      </w:pPr>
      <w:r w:rsidRPr="00F27E4F">
        <w:rPr>
          <w:rFonts w:ascii="Arial" w:hAnsi="Arial" w:cs="Arial"/>
        </w:rPr>
        <w:t>Solving simultaneous linear equations</w:t>
      </w:r>
    </w:p>
    <w:p w14:paraId="2E24E4A2" w14:textId="77777777" w:rsidR="0099626B" w:rsidRDefault="0099626B" w:rsidP="0099626B">
      <w:pPr>
        <w:pStyle w:val="ListParagraph"/>
        <w:numPr>
          <w:ilvl w:val="0"/>
          <w:numId w:val="24"/>
        </w:numPr>
        <w:spacing w:after="120" w:line="240" w:lineRule="auto"/>
        <w:ind w:left="1647" w:right="260"/>
        <w:jc w:val="both"/>
        <w:rPr>
          <w:rFonts w:ascii="Arial" w:hAnsi="Arial" w:cs="Arial"/>
        </w:rPr>
      </w:pPr>
      <w:r w:rsidRPr="001C1CF6">
        <w:rPr>
          <w:rFonts w:ascii="Arial" w:hAnsi="Arial" w:cs="Arial"/>
        </w:rPr>
        <w:t xml:space="preserve">Rates of change and Differentiation </w:t>
      </w:r>
    </w:p>
    <w:p w14:paraId="5863DA51" w14:textId="77777777" w:rsidR="0099626B" w:rsidRPr="001C1CF6" w:rsidRDefault="0099626B" w:rsidP="0099626B">
      <w:pPr>
        <w:pStyle w:val="ListParagraph"/>
        <w:numPr>
          <w:ilvl w:val="0"/>
          <w:numId w:val="24"/>
        </w:numPr>
        <w:spacing w:after="120" w:line="240" w:lineRule="auto"/>
        <w:ind w:left="1647" w:right="260"/>
        <w:jc w:val="both"/>
        <w:rPr>
          <w:rFonts w:ascii="Arial" w:hAnsi="Arial" w:cs="Arial"/>
        </w:rPr>
      </w:pPr>
      <w:r w:rsidRPr="001C1CF6">
        <w:rPr>
          <w:rFonts w:ascii="Arial" w:hAnsi="Arial" w:cs="Arial"/>
        </w:rPr>
        <w:t>Optimization</w:t>
      </w:r>
      <w:r>
        <w:rPr>
          <w:rFonts w:ascii="Arial" w:hAnsi="Arial" w:cs="Arial"/>
        </w:rPr>
        <w:t xml:space="preserve"> (minimisation-maximisation)</w:t>
      </w:r>
    </w:p>
    <w:p w14:paraId="09BB2980" w14:textId="77777777" w:rsidR="0099626B" w:rsidRDefault="0099626B" w:rsidP="0099626B">
      <w:pPr>
        <w:pStyle w:val="ListParagraph"/>
        <w:numPr>
          <w:ilvl w:val="0"/>
          <w:numId w:val="24"/>
        </w:numPr>
        <w:spacing w:after="120" w:line="240" w:lineRule="auto"/>
        <w:ind w:left="1647" w:right="260"/>
        <w:jc w:val="both"/>
        <w:rPr>
          <w:rFonts w:ascii="Arial" w:hAnsi="Arial" w:cs="Arial"/>
        </w:rPr>
      </w:pPr>
      <w:r>
        <w:rPr>
          <w:rFonts w:ascii="Arial" w:hAnsi="Arial" w:cs="Arial"/>
        </w:rPr>
        <w:t>Introduction to m</w:t>
      </w:r>
      <w:r w:rsidRPr="00F27E4F">
        <w:rPr>
          <w:rFonts w:ascii="Arial" w:hAnsi="Arial" w:cs="Arial"/>
        </w:rPr>
        <w:t>atrix algebra</w:t>
      </w:r>
    </w:p>
    <w:p w14:paraId="6C33BF55" w14:textId="77777777" w:rsidR="0099626B" w:rsidRPr="000346E4" w:rsidRDefault="0099626B" w:rsidP="0099626B">
      <w:pPr>
        <w:pStyle w:val="ListParagraph"/>
        <w:numPr>
          <w:ilvl w:val="0"/>
          <w:numId w:val="24"/>
        </w:numPr>
        <w:spacing w:after="120" w:line="240" w:lineRule="auto"/>
        <w:ind w:left="1647" w:right="260"/>
        <w:jc w:val="both"/>
        <w:rPr>
          <w:rFonts w:ascii="Arial" w:hAnsi="Arial" w:cs="Arial"/>
        </w:rPr>
      </w:pPr>
      <w:r>
        <w:rPr>
          <w:rFonts w:ascii="Arial" w:hAnsi="Arial" w:cs="Arial"/>
        </w:rPr>
        <w:t>The classical simple and multiple linear regression model (estimation – inference)</w:t>
      </w:r>
    </w:p>
    <w:p w14:paraId="6D1FA493" w14:textId="45251064" w:rsidR="00F36CBB" w:rsidRPr="0099626B" w:rsidRDefault="00F36CBB" w:rsidP="0099626B">
      <w:pPr>
        <w:spacing w:before="60" w:after="60" w:line="240" w:lineRule="auto"/>
        <w:ind w:left="708"/>
        <w:rPr>
          <w:rFonts w:ascii="Arial" w:hAnsi="Arial" w:cs="Arial"/>
        </w:rPr>
      </w:pPr>
      <w:r w:rsidRPr="0099626B">
        <w:rPr>
          <w:rFonts w:ascii="Arial" w:hAnsi="Arial" w:cs="Arial"/>
        </w:rPr>
        <w:t xml:space="preserve"> </w:t>
      </w:r>
    </w:p>
    <w:p w14:paraId="35EE6B21" w14:textId="71A67FA5" w:rsidR="001A7136" w:rsidRPr="001A7136" w:rsidRDefault="001A7136" w:rsidP="004B7685">
      <w:pPr>
        <w:spacing w:after="0" w:line="240" w:lineRule="auto"/>
        <w:ind w:left="360"/>
        <w:rPr>
          <w:rFonts w:ascii="Arial" w:hAnsi="Arial" w:cs="Arial"/>
        </w:rPr>
      </w:pPr>
    </w:p>
    <w:p w14:paraId="7701B145" w14:textId="0818ACB5"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7B727EA" w14:textId="77777777" w:rsidR="0099626B" w:rsidRPr="0099626B" w:rsidRDefault="0099626B" w:rsidP="0099626B">
      <w:pPr>
        <w:pStyle w:val="ListParagraph"/>
        <w:spacing w:after="120" w:line="240" w:lineRule="auto"/>
        <w:ind w:right="260"/>
        <w:jc w:val="both"/>
        <w:rPr>
          <w:rFonts w:ascii="Arial" w:hAnsi="Arial" w:cs="Arial"/>
          <w:iCs/>
        </w:rPr>
      </w:pPr>
      <w:r w:rsidRPr="0099626B">
        <w:rPr>
          <w:rFonts w:ascii="Arial" w:hAnsi="Arial" w:cs="Arial"/>
          <w:iCs/>
        </w:rPr>
        <w:lastRenderedPageBreak/>
        <w:t xml:space="preserve">Bradley, T. (2013) </w:t>
      </w:r>
      <w:r w:rsidRPr="0099626B">
        <w:rPr>
          <w:rFonts w:ascii="Arial" w:hAnsi="Arial" w:cs="Arial"/>
          <w:i/>
          <w:iCs/>
        </w:rPr>
        <w:t>Essential Mathematics for Economics and Business</w:t>
      </w:r>
      <w:r w:rsidRPr="0099626B">
        <w:rPr>
          <w:rFonts w:ascii="Arial" w:hAnsi="Arial" w:cs="Arial"/>
          <w:iCs/>
        </w:rPr>
        <w:t>. 4th edn. Chichester: Wiley.</w:t>
      </w:r>
    </w:p>
    <w:p w14:paraId="78A9CB4C" w14:textId="77777777" w:rsidR="0099626B" w:rsidRDefault="0099626B" w:rsidP="0099626B">
      <w:pPr>
        <w:pStyle w:val="ListParagraph"/>
        <w:spacing w:after="120" w:line="240" w:lineRule="auto"/>
        <w:ind w:right="260"/>
        <w:jc w:val="both"/>
        <w:rPr>
          <w:rFonts w:ascii="Arial" w:hAnsi="Arial" w:cs="Arial"/>
          <w:iCs/>
        </w:rPr>
      </w:pPr>
      <w:r w:rsidRPr="0099626B">
        <w:rPr>
          <w:rFonts w:ascii="Arial" w:hAnsi="Arial" w:cs="Arial"/>
          <w:iCs/>
        </w:rPr>
        <w:t xml:space="preserve">Swift, L. and Piff, S. (2014) </w:t>
      </w:r>
      <w:r w:rsidRPr="0099626B">
        <w:rPr>
          <w:rFonts w:ascii="Arial" w:hAnsi="Arial" w:cs="Arial"/>
          <w:i/>
          <w:iCs/>
        </w:rPr>
        <w:t>Quantitative Methods for Business, Management &amp; Finance</w:t>
      </w:r>
      <w:r w:rsidRPr="0099626B">
        <w:rPr>
          <w:rFonts w:ascii="Arial" w:hAnsi="Arial" w:cs="Arial"/>
          <w:iCs/>
        </w:rPr>
        <w:t>. Basingstoke: Palgrave Macmillan.</w:t>
      </w:r>
    </w:p>
    <w:p w14:paraId="659B9B4C" w14:textId="019CD526" w:rsidR="0099626B" w:rsidRPr="0099626B" w:rsidRDefault="00424768" w:rsidP="0099626B">
      <w:pPr>
        <w:pStyle w:val="ListParagraph"/>
        <w:spacing w:after="120" w:line="240" w:lineRule="auto"/>
        <w:ind w:right="260"/>
        <w:jc w:val="both"/>
        <w:rPr>
          <w:rFonts w:ascii="Arial" w:hAnsi="Arial" w:cs="Arial"/>
          <w:iCs/>
        </w:rPr>
      </w:pPr>
      <w:hyperlink r:id="rId12" w:history="1">
        <w:r w:rsidR="0099626B" w:rsidRPr="0099626B">
          <w:rPr>
            <w:rFonts w:ascii="Arial" w:hAnsi="Arial" w:cs="Arial"/>
            <w:iCs/>
          </w:rPr>
          <w:t>Teall</w:t>
        </w:r>
      </w:hyperlink>
      <w:r w:rsidR="0099626B" w:rsidRPr="0099626B">
        <w:rPr>
          <w:rFonts w:ascii="Arial" w:hAnsi="Arial" w:cs="Arial"/>
          <w:iCs/>
        </w:rPr>
        <w:t xml:space="preserve">, J. and </w:t>
      </w:r>
      <w:hyperlink r:id="rId13" w:history="1">
        <w:r w:rsidR="0099626B" w:rsidRPr="0099626B">
          <w:rPr>
            <w:rFonts w:ascii="Arial" w:hAnsi="Arial" w:cs="Arial"/>
            <w:iCs/>
          </w:rPr>
          <w:t>Hasan</w:t>
        </w:r>
      </w:hyperlink>
      <w:r w:rsidR="0099626B" w:rsidRPr="0099626B">
        <w:rPr>
          <w:rFonts w:ascii="Arial" w:hAnsi="Arial" w:cs="Arial"/>
          <w:iCs/>
        </w:rPr>
        <w:t xml:space="preserve"> I. (2002) </w:t>
      </w:r>
      <w:r w:rsidR="0099626B" w:rsidRPr="0099626B">
        <w:rPr>
          <w:rFonts w:ascii="Arial" w:hAnsi="Arial" w:cs="Arial"/>
          <w:i/>
          <w:iCs/>
        </w:rPr>
        <w:t>Quantitative Methods for Finance and Investments</w:t>
      </w:r>
      <w:r w:rsidR="0099626B" w:rsidRPr="0099626B">
        <w:rPr>
          <w:rFonts w:ascii="Arial" w:hAnsi="Arial" w:cs="Arial"/>
          <w:iCs/>
        </w:rPr>
        <w:t>. London: Blackwell Publishing.</w:t>
      </w:r>
    </w:p>
    <w:p w14:paraId="35A64198" w14:textId="77777777" w:rsidR="0099626B" w:rsidRDefault="0099626B" w:rsidP="0099626B">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60F6699C"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99626B">
        <w:rPr>
          <w:rFonts w:ascii="Arial" w:hAnsi="Arial" w:cs="Arial"/>
          <w:iCs/>
        </w:rPr>
        <w:t>32</w:t>
      </w:r>
    </w:p>
    <w:p w14:paraId="0AB4FB84" w14:textId="4009ABD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B35C17">
        <w:rPr>
          <w:rFonts w:ascii="Arial" w:hAnsi="Arial" w:cs="Arial"/>
          <w:iCs/>
        </w:rPr>
        <w:t xml:space="preserve"> </w:t>
      </w:r>
      <w:r w:rsidR="0099626B">
        <w:rPr>
          <w:rFonts w:ascii="Arial" w:hAnsi="Arial" w:cs="Arial"/>
          <w:iCs/>
        </w:rPr>
        <w:t>118</w:t>
      </w:r>
    </w:p>
    <w:p w14:paraId="153D50FC" w14:textId="232183A9" w:rsidR="009A2D37" w:rsidRPr="00692328"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B69D6C" w14:textId="1157D77D" w:rsidR="007B32E8" w:rsidRDefault="00696FF5" w:rsidP="007B32E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F28B28" w14:textId="77777777" w:rsidR="007B32E8" w:rsidRPr="007B32E8" w:rsidRDefault="007B32E8" w:rsidP="007B32E8">
      <w:pPr>
        <w:pStyle w:val="ListParagraph"/>
        <w:spacing w:after="120"/>
        <w:ind w:left="567"/>
        <w:rPr>
          <w:rFonts w:ascii="Arial" w:hAnsi="Arial" w:cs="Arial"/>
          <w:iCs/>
        </w:rPr>
      </w:pPr>
    </w:p>
    <w:p w14:paraId="0C6A13FA" w14:textId="390106B7" w:rsidR="007B32E8" w:rsidRPr="00887612" w:rsidRDefault="00F16AB2" w:rsidP="00784E45">
      <w:pPr>
        <w:pStyle w:val="ListParagraph"/>
        <w:spacing w:after="120" w:line="240" w:lineRule="auto"/>
        <w:ind w:left="567" w:right="260"/>
        <w:jc w:val="both"/>
        <w:rPr>
          <w:rFonts w:ascii="Arial" w:hAnsi="Arial" w:cs="Arial"/>
          <w:iCs/>
        </w:rPr>
      </w:pPr>
      <w:r w:rsidRPr="00887612">
        <w:rPr>
          <w:rFonts w:ascii="Arial" w:hAnsi="Arial" w:cs="Arial"/>
          <w:iCs/>
        </w:rPr>
        <w:t>VLE Test</w:t>
      </w:r>
      <w:r w:rsidR="00444F55" w:rsidRPr="00887612">
        <w:rPr>
          <w:rFonts w:ascii="Arial" w:hAnsi="Arial" w:cs="Arial"/>
          <w:iCs/>
        </w:rPr>
        <w:t xml:space="preserve"> </w:t>
      </w:r>
      <w:r w:rsidRPr="00887612">
        <w:rPr>
          <w:rFonts w:ascii="Arial" w:hAnsi="Arial" w:cs="Arial"/>
          <w:iCs/>
        </w:rPr>
        <w:t>(3</w:t>
      </w:r>
      <w:r w:rsidR="00784E45" w:rsidRPr="00887612">
        <w:rPr>
          <w:rFonts w:ascii="Arial" w:hAnsi="Arial" w:cs="Arial"/>
          <w:iCs/>
        </w:rPr>
        <w:t>0</w:t>
      </w:r>
      <w:r w:rsidR="007B32E8" w:rsidRPr="00887612">
        <w:rPr>
          <w:rFonts w:ascii="Arial" w:hAnsi="Arial" w:cs="Arial"/>
          <w:iCs/>
        </w:rPr>
        <w:t>%)</w:t>
      </w:r>
    </w:p>
    <w:p w14:paraId="2163FBCA" w14:textId="49E3F61C" w:rsidR="00444F55" w:rsidRDefault="0001174F" w:rsidP="00F16AB2">
      <w:pPr>
        <w:pStyle w:val="ListParagraph"/>
        <w:spacing w:after="120" w:line="240" w:lineRule="auto"/>
        <w:ind w:left="567" w:right="260"/>
        <w:jc w:val="both"/>
        <w:rPr>
          <w:rFonts w:ascii="Arial" w:hAnsi="Arial" w:cs="Arial"/>
          <w:iCs/>
        </w:rPr>
      </w:pPr>
      <w:r w:rsidRPr="00887612">
        <w:rPr>
          <w:rFonts w:ascii="Arial" w:hAnsi="Arial" w:cs="Arial"/>
          <w:iCs/>
        </w:rPr>
        <w:t>E</w:t>
      </w:r>
      <w:r w:rsidR="008F03F7" w:rsidRPr="00887612">
        <w:rPr>
          <w:rFonts w:ascii="Arial" w:hAnsi="Arial" w:cs="Arial"/>
          <w:iCs/>
        </w:rPr>
        <w:t>xamination, 2 Hour (7</w:t>
      </w:r>
      <w:r w:rsidR="00F16AB2" w:rsidRPr="00887612">
        <w:rPr>
          <w:rFonts w:ascii="Arial" w:hAnsi="Arial" w:cs="Arial"/>
          <w:iCs/>
        </w:rPr>
        <w:t>0%)</w:t>
      </w:r>
    </w:p>
    <w:p w14:paraId="2D22558A" w14:textId="0FF5C904" w:rsidR="006043FC" w:rsidRDefault="006043FC" w:rsidP="001C1D48">
      <w:pPr>
        <w:spacing w:after="120" w:line="240" w:lineRule="auto"/>
        <w:ind w:right="260"/>
        <w:rPr>
          <w:rFonts w:ascii="Arial" w:hAnsi="Arial" w:cs="Arial"/>
          <w:b/>
          <w:i/>
          <w:iCs/>
        </w:rPr>
      </w:pPr>
    </w:p>
    <w:p w14:paraId="3FB42CD9" w14:textId="770C1BD8" w:rsidR="007B32E8" w:rsidRDefault="00696FF5" w:rsidP="00F16AB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2C63E6EF" w:rsidR="00696FF5" w:rsidRDefault="00F16AB2" w:rsidP="00887612">
      <w:pPr>
        <w:spacing w:after="120"/>
        <w:ind w:left="567" w:hanging="567"/>
        <w:rPr>
          <w:rFonts w:ascii="Arial" w:hAnsi="Arial" w:cs="Arial"/>
          <w:iCs/>
        </w:rPr>
      </w:pPr>
      <w:r>
        <w:rPr>
          <w:rFonts w:ascii="Arial" w:hAnsi="Arial" w:cs="Arial"/>
          <w:b/>
          <w:iCs/>
        </w:rPr>
        <w:tab/>
      </w:r>
      <w:r w:rsidR="00424768" w:rsidRPr="00424768">
        <w:rPr>
          <w:rFonts w:ascii="Arial" w:hAnsi="Arial" w:cs="Arial"/>
          <w:iCs/>
        </w:rPr>
        <w:t>Reassessment Instrument</w:t>
      </w:r>
      <w:r w:rsidR="00424768">
        <w:rPr>
          <w:rFonts w:ascii="Arial" w:hAnsi="Arial" w:cs="Arial"/>
          <w:b/>
          <w:iCs/>
        </w:rPr>
        <w:t>:</w:t>
      </w:r>
      <w:r w:rsidR="00887612">
        <w:rPr>
          <w:rFonts w:ascii="Arial" w:hAnsi="Arial" w:cs="Arial"/>
          <w:iCs/>
        </w:rPr>
        <w:t>100% examination</w:t>
      </w:r>
    </w:p>
    <w:p w14:paraId="0F9F24E3" w14:textId="77777777" w:rsidR="00424768" w:rsidRDefault="00424768" w:rsidP="00424768">
      <w:pPr>
        <w:spacing w:after="120"/>
        <w:rPr>
          <w:rFonts w:ascii="Arial" w:hAnsi="Arial" w:cs="Arial"/>
          <w:b/>
          <w:i/>
          <w:iCs/>
        </w:rPr>
      </w:pPr>
      <w:bookmarkStart w:id="0" w:name="_GoBack"/>
      <w:bookmarkEnd w:id="0"/>
    </w:p>
    <w:p w14:paraId="45DC6BF7" w14:textId="77777777" w:rsidR="00274ED7" w:rsidRPr="00887612" w:rsidRDefault="006F3F8B" w:rsidP="00696FF5">
      <w:pPr>
        <w:numPr>
          <w:ilvl w:val="0"/>
          <w:numId w:val="1"/>
        </w:numPr>
        <w:spacing w:after="120" w:line="240" w:lineRule="auto"/>
        <w:ind w:left="567" w:right="261" w:hanging="567"/>
        <w:jc w:val="both"/>
        <w:rPr>
          <w:rFonts w:ascii="Arial" w:hAnsi="Arial" w:cs="Arial"/>
          <w:b/>
          <w:iCs/>
        </w:rPr>
      </w:pPr>
      <w:r w:rsidRPr="00887612">
        <w:rPr>
          <w:rFonts w:ascii="Arial" w:hAnsi="Arial" w:cs="Arial"/>
          <w:b/>
          <w:iCs/>
        </w:rPr>
        <w:t xml:space="preserve">Map of </w:t>
      </w:r>
      <w:r w:rsidR="00883204" w:rsidRPr="00887612">
        <w:rPr>
          <w:rFonts w:ascii="Arial" w:hAnsi="Arial" w:cs="Arial"/>
          <w:b/>
          <w:iCs/>
        </w:rPr>
        <w:t xml:space="preserve">module learning outcomes </w:t>
      </w:r>
      <w:r w:rsidR="00B30E07" w:rsidRPr="00887612">
        <w:rPr>
          <w:rFonts w:ascii="Arial" w:hAnsi="Arial" w:cs="Arial"/>
          <w:b/>
          <w:iCs/>
        </w:rPr>
        <w:t>(sections 8 &amp; 9)</w:t>
      </w:r>
      <w:r w:rsidR="00883204" w:rsidRPr="00887612">
        <w:rPr>
          <w:rFonts w:ascii="Arial" w:hAnsi="Arial" w:cs="Arial"/>
          <w:b/>
          <w:iCs/>
        </w:rPr>
        <w:t xml:space="preserve"> to l</w:t>
      </w:r>
      <w:r w:rsidRPr="00887612">
        <w:rPr>
          <w:rFonts w:ascii="Arial" w:hAnsi="Arial" w:cs="Arial"/>
          <w:b/>
          <w:iCs/>
        </w:rPr>
        <w:t>earning</w:t>
      </w:r>
      <w:r w:rsidR="00B30E07" w:rsidRPr="00887612">
        <w:rPr>
          <w:rFonts w:ascii="Arial" w:hAnsi="Arial" w:cs="Arial"/>
          <w:b/>
          <w:iCs/>
        </w:rPr>
        <w:t xml:space="preserve"> and </w:t>
      </w:r>
      <w:r w:rsidR="00883204" w:rsidRPr="00887612">
        <w:rPr>
          <w:rFonts w:ascii="Arial" w:hAnsi="Arial" w:cs="Arial"/>
          <w:b/>
          <w:iCs/>
        </w:rPr>
        <w:t>teaching m</w:t>
      </w:r>
      <w:r w:rsidR="00B30E07" w:rsidRPr="00887612">
        <w:rPr>
          <w:rFonts w:ascii="Arial" w:hAnsi="Arial" w:cs="Arial"/>
          <w:b/>
          <w:iCs/>
        </w:rPr>
        <w:t>ethods (section12</w:t>
      </w:r>
      <w:r w:rsidRPr="00887612">
        <w:rPr>
          <w:rFonts w:ascii="Arial" w:hAnsi="Arial" w:cs="Arial"/>
          <w:b/>
          <w:iCs/>
        </w:rPr>
        <w:t>) and m</w:t>
      </w:r>
      <w:r w:rsidR="00883204" w:rsidRPr="00887612">
        <w:rPr>
          <w:rFonts w:ascii="Arial" w:hAnsi="Arial" w:cs="Arial"/>
          <w:b/>
          <w:iCs/>
        </w:rPr>
        <w:t>ethods of a</w:t>
      </w:r>
      <w:r w:rsidR="00B30E07" w:rsidRPr="00887612">
        <w:rPr>
          <w:rFonts w:ascii="Arial" w:hAnsi="Arial" w:cs="Arial"/>
          <w:b/>
          <w:iCs/>
        </w:rPr>
        <w:t>ssessment (section 13</w:t>
      </w:r>
      <w:r w:rsidR="00EF4933" w:rsidRPr="00887612">
        <w:rPr>
          <w:rFonts w:ascii="Arial" w:hAnsi="Arial" w:cs="Arial"/>
          <w:b/>
          <w:iCs/>
        </w:rPr>
        <w:t>)</w:t>
      </w:r>
    </w:p>
    <w:tbl>
      <w:tblPr>
        <w:tblStyle w:val="TableGrid"/>
        <w:tblW w:w="5000" w:type="pct"/>
        <w:tblLook w:val="04A0" w:firstRow="1" w:lastRow="0" w:firstColumn="1" w:lastColumn="0" w:noHBand="0" w:noVBand="1"/>
      </w:tblPr>
      <w:tblGrid>
        <w:gridCol w:w="2906"/>
        <w:gridCol w:w="1015"/>
        <w:gridCol w:w="1015"/>
        <w:gridCol w:w="902"/>
        <w:gridCol w:w="901"/>
        <w:gridCol w:w="901"/>
        <w:gridCol w:w="901"/>
        <w:gridCol w:w="901"/>
        <w:gridCol w:w="1014"/>
      </w:tblGrid>
      <w:tr w:rsidR="00F16AB2" w:rsidRPr="00302082" w14:paraId="39F66F36" w14:textId="77777777" w:rsidTr="00887612">
        <w:tc>
          <w:tcPr>
            <w:tcW w:w="1388" w:type="pct"/>
            <w:shd w:val="clear" w:color="auto" w:fill="D9D9D9" w:themeFill="background1" w:themeFillShade="D9"/>
          </w:tcPr>
          <w:p w14:paraId="1318B5F1" w14:textId="77777777" w:rsidR="00F16AB2" w:rsidRPr="00302082" w:rsidRDefault="00F16AB2" w:rsidP="00B64A6B">
            <w:pPr>
              <w:spacing w:after="120"/>
              <w:ind w:left="33"/>
              <w:rPr>
                <w:rFonts w:ascii="Arial" w:hAnsi="Arial" w:cs="Arial"/>
                <w:b/>
              </w:rPr>
            </w:pPr>
            <w:r w:rsidRPr="00302082">
              <w:rPr>
                <w:rFonts w:ascii="Arial" w:hAnsi="Arial" w:cs="Arial"/>
                <w:b/>
              </w:rPr>
              <w:t>Module learning outcome</w:t>
            </w:r>
          </w:p>
        </w:tc>
        <w:tc>
          <w:tcPr>
            <w:tcW w:w="485" w:type="pct"/>
          </w:tcPr>
          <w:p w14:paraId="04FBC402" w14:textId="77777777" w:rsidR="00F16AB2" w:rsidRPr="00302082" w:rsidRDefault="00F16AB2" w:rsidP="00B64A6B">
            <w:pPr>
              <w:spacing w:after="120"/>
              <w:rPr>
                <w:rFonts w:ascii="Arial" w:hAnsi="Arial" w:cs="Arial"/>
                <w:i/>
              </w:rPr>
            </w:pPr>
            <w:r w:rsidRPr="00302082">
              <w:rPr>
                <w:rFonts w:ascii="Arial" w:hAnsi="Arial" w:cs="Arial"/>
                <w:i/>
              </w:rPr>
              <w:t>8.1</w:t>
            </w:r>
          </w:p>
        </w:tc>
        <w:tc>
          <w:tcPr>
            <w:tcW w:w="485" w:type="pct"/>
          </w:tcPr>
          <w:p w14:paraId="499B30C1" w14:textId="77777777" w:rsidR="00F16AB2" w:rsidRPr="00302082" w:rsidRDefault="00F16AB2" w:rsidP="00B64A6B">
            <w:pPr>
              <w:spacing w:after="120"/>
              <w:rPr>
                <w:rFonts w:ascii="Arial" w:hAnsi="Arial" w:cs="Arial"/>
                <w:i/>
              </w:rPr>
            </w:pPr>
            <w:r w:rsidRPr="00302082">
              <w:rPr>
                <w:rFonts w:ascii="Arial" w:hAnsi="Arial" w:cs="Arial"/>
                <w:i/>
              </w:rPr>
              <w:t>8.2</w:t>
            </w:r>
          </w:p>
        </w:tc>
        <w:tc>
          <w:tcPr>
            <w:tcW w:w="431" w:type="pct"/>
          </w:tcPr>
          <w:p w14:paraId="61AA4682" w14:textId="77777777" w:rsidR="00F16AB2" w:rsidRPr="00302082" w:rsidRDefault="00F16AB2" w:rsidP="00B64A6B">
            <w:pPr>
              <w:spacing w:after="120"/>
              <w:rPr>
                <w:rFonts w:ascii="Arial" w:hAnsi="Arial" w:cs="Arial"/>
                <w:i/>
              </w:rPr>
            </w:pPr>
            <w:r w:rsidRPr="00302082">
              <w:rPr>
                <w:rFonts w:ascii="Arial" w:hAnsi="Arial" w:cs="Arial"/>
                <w:i/>
              </w:rPr>
              <w:t>8.3</w:t>
            </w:r>
          </w:p>
        </w:tc>
        <w:tc>
          <w:tcPr>
            <w:tcW w:w="431" w:type="pct"/>
          </w:tcPr>
          <w:p w14:paraId="5C5FE6BB" w14:textId="77777777" w:rsidR="00F16AB2" w:rsidRPr="00302082" w:rsidRDefault="00F16AB2" w:rsidP="00B64A6B">
            <w:pPr>
              <w:spacing w:after="120"/>
              <w:rPr>
                <w:rFonts w:ascii="Arial" w:hAnsi="Arial" w:cs="Arial"/>
                <w:i/>
              </w:rPr>
            </w:pPr>
            <w:r w:rsidRPr="00302082">
              <w:rPr>
                <w:rFonts w:ascii="Arial" w:hAnsi="Arial" w:cs="Arial"/>
                <w:i/>
              </w:rPr>
              <w:t>8.4</w:t>
            </w:r>
          </w:p>
        </w:tc>
        <w:tc>
          <w:tcPr>
            <w:tcW w:w="431" w:type="pct"/>
          </w:tcPr>
          <w:p w14:paraId="66237749" w14:textId="77777777" w:rsidR="00F16AB2" w:rsidRPr="00302082" w:rsidRDefault="00F16AB2" w:rsidP="00B64A6B">
            <w:pPr>
              <w:spacing w:after="120"/>
              <w:rPr>
                <w:rFonts w:ascii="Arial" w:hAnsi="Arial" w:cs="Arial"/>
                <w:i/>
              </w:rPr>
            </w:pPr>
            <w:r w:rsidRPr="00302082">
              <w:rPr>
                <w:rFonts w:ascii="Arial" w:hAnsi="Arial" w:cs="Arial"/>
                <w:i/>
              </w:rPr>
              <w:t>9.1</w:t>
            </w:r>
          </w:p>
        </w:tc>
        <w:tc>
          <w:tcPr>
            <w:tcW w:w="431" w:type="pct"/>
          </w:tcPr>
          <w:p w14:paraId="79A4262D" w14:textId="77777777" w:rsidR="00F16AB2" w:rsidRPr="00302082" w:rsidRDefault="00F16AB2" w:rsidP="00B64A6B">
            <w:pPr>
              <w:spacing w:after="120"/>
              <w:rPr>
                <w:rFonts w:ascii="Arial" w:hAnsi="Arial" w:cs="Arial"/>
                <w:i/>
              </w:rPr>
            </w:pPr>
            <w:r w:rsidRPr="00302082">
              <w:rPr>
                <w:rFonts w:ascii="Arial" w:hAnsi="Arial" w:cs="Arial"/>
                <w:i/>
              </w:rPr>
              <w:t>9.2</w:t>
            </w:r>
          </w:p>
        </w:tc>
        <w:tc>
          <w:tcPr>
            <w:tcW w:w="431" w:type="pct"/>
          </w:tcPr>
          <w:p w14:paraId="29597373" w14:textId="77777777" w:rsidR="00F16AB2" w:rsidRPr="00302082" w:rsidRDefault="00F16AB2" w:rsidP="00B64A6B">
            <w:pPr>
              <w:spacing w:after="120"/>
              <w:rPr>
                <w:rFonts w:ascii="Arial" w:hAnsi="Arial" w:cs="Arial"/>
                <w:i/>
              </w:rPr>
            </w:pPr>
            <w:r w:rsidRPr="00302082">
              <w:rPr>
                <w:rFonts w:ascii="Arial" w:hAnsi="Arial" w:cs="Arial"/>
                <w:i/>
              </w:rPr>
              <w:t>9.3</w:t>
            </w:r>
          </w:p>
        </w:tc>
        <w:tc>
          <w:tcPr>
            <w:tcW w:w="485" w:type="pct"/>
          </w:tcPr>
          <w:p w14:paraId="67AEDA37" w14:textId="77777777" w:rsidR="00F16AB2" w:rsidRPr="00302082" w:rsidRDefault="00F16AB2" w:rsidP="00B64A6B">
            <w:pPr>
              <w:spacing w:after="120"/>
              <w:rPr>
                <w:rFonts w:ascii="Arial" w:hAnsi="Arial" w:cs="Arial"/>
                <w:i/>
              </w:rPr>
            </w:pPr>
            <w:r w:rsidRPr="00302082">
              <w:rPr>
                <w:rFonts w:ascii="Arial" w:hAnsi="Arial" w:cs="Arial"/>
                <w:i/>
              </w:rPr>
              <w:t>9.4</w:t>
            </w:r>
          </w:p>
        </w:tc>
      </w:tr>
      <w:tr w:rsidR="00F16AB2" w:rsidRPr="00302082" w14:paraId="37C0F2EB" w14:textId="77777777" w:rsidTr="00887612">
        <w:tc>
          <w:tcPr>
            <w:tcW w:w="1388" w:type="pct"/>
            <w:shd w:val="clear" w:color="auto" w:fill="D9D9D9" w:themeFill="background1" w:themeFillShade="D9"/>
          </w:tcPr>
          <w:p w14:paraId="3E152E6E" w14:textId="77777777" w:rsidR="00F16AB2" w:rsidRPr="00302082" w:rsidRDefault="00F16AB2" w:rsidP="00B64A6B">
            <w:pPr>
              <w:spacing w:after="120"/>
              <w:rPr>
                <w:rFonts w:ascii="Arial" w:hAnsi="Arial" w:cs="Arial"/>
                <w:b/>
              </w:rPr>
            </w:pPr>
            <w:r w:rsidRPr="00302082">
              <w:rPr>
                <w:rFonts w:ascii="Arial" w:hAnsi="Arial" w:cs="Arial"/>
                <w:b/>
              </w:rPr>
              <w:t>Learning/ teaching method</w:t>
            </w:r>
          </w:p>
        </w:tc>
        <w:tc>
          <w:tcPr>
            <w:tcW w:w="485" w:type="pct"/>
          </w:tcPr>
          <w:p w14:paraId="7F7F11E1" w14:textId="77777777" w:rsidR="00F16AB2" w:rsidRPr="00302082" w:rsidRDefault="00F16AB2" w:rsidP="00B64A6B">
            <w:pPr>
              <w:spacing w:after="120"/>
              <w:rPr>
                <w:rFonts w:ascii="Arial" w:hAnsi="Arial" w:cs="Arial"/>
                <w:b/>
              </w:rPr>
            </w:pPr>
          </w:p>
        </w:tc>
        <w:tc>
          <w:tcPr>
            <w:tcW w:w="485" w:type="pct"/>
          </w:tcPr>
          <w:p w14:paraId="48DDDE46" w14:textId="77777777" w:rsidR="00F16AB2" w:rsidRPr="00302082" w:rsidRDefault="00F16AB2" w:rsidP="00B64A6B">
            <w:pPr>
              <w:spacing w:after="120"/>
              <w:rPr>
                <w:rFonts w:ascii="Arial" w:hAnsi="Arial" w:cs="Arial"/>
                <w:b/>
              </w:rPr>
            </w:pPr>
          </w:p>
        </w:tc>
        <w:tc>
          <w:tcPr>
            <w:tcW w:w="431" w:type="pct"/>
          </w:tcPr>
          <w:p w14:paraId="02A4EEE3" w14:textId="77777777" w:rsidR="00F16AB2" w:rsidRPr="00302082" w:rsidRDefault="00F16AB2" w:rsidP="00B64A6B">
            <w:pPr>
              <w:spacing w:after="120"/>
              <w:rPr>
                <w:rFonts w:ascii="Arial" w:hAnsi="Arial" w:cs="Arial"/>
                <w:b/>
              </w:rPr>
            </w:pPr>
          </w:p>
        </w:tc>
        <w:tc>
          <w:tcPr>
            <w:tcW w:w="431" w:type="pct"/>
          </w:tcPr>
          <w:p w14:paraId="0C6D2A93" w14:textId="77777777" w:rsidR="00F16AB2" w:rsidRPr="00302082" w:rsidRDefault="00F16AB2" w:rsidP="00B64A6B">
            <w:pPr>
              <w:spacing w:after="120"/>
              <w:rPr>
                <w:rFonts w:ascii="Arial" w:hAnsi="Arial" w:cs="Arial"/>
                <w:b/>
              </w:rPr>
            </w:pPr>
          </w:p>
        </w:tc>
        <w:tc>
          <w:tcPr>
            <w:tcW w:w="431" w:type="pct"/>
          </w:tcPr>
          <w:p w14:paraId="5306EE0B" w14:textId="77777777" w:rsidR="00F16AB2" w:rsidRPr="00302082" w:rsidRDefault="00F16AB2" w:rsidP="00B64A6B">
            <w:pPr>
              <w:spacing w:after="120"/>
              <w:rPr>
                <w:rFonts w:ascii="Arial" w:hAnsi="Arial" w:cs="Arial"/>
                <w:b/>
              </w:rPr>
            </w:pPr>
          </w:p>
        </w:tc>
        <w:tc>
          <w:tcPr>
            <w:tcW w:w="431" w:type="pct"/>
          </w:tcPr>
          <w:p w14:paraId="4BE70603" w14:textId="77777777" w:rsidR="00F16AB2" w:rsidRPr="00302082" w:rsidRDefault="00F16AB2" w:rsidP="00B64A6B">
            <w:pPr>
              <w:spacing w:after="120"/>
              <w:rPr>
                <w:rFonts w:ascii="Arial" w:hAnsi="Arial" w:cs="Arial"/>
                <w:b/>
              </w:rPr>
            </w:pPr>
          </w:p>
        </w:tc>
        <w:tc>
          <w:tcPr>
            <w:tcW w:w="431" w:type="pct"/>
          </w:tcPr>
          <w:p w14:paraId="78DE6C77" w14:textId="77777777" w:rsidR="00F16AB2" w:rsidRPr="00302082" w:rsidRDefault="00F16AB2" w:rsidP="00B64A6B">
            <w:pPr>
              <w:spacing w:after="120"/>
              <w:rPr>
                <w:rFonts w:ascii="Arial" w:hAnsi="Arial" w:cs="Arial"/>
                <w:b/>
              </w:rPr>
            </w:pPr>
          </w:p>
        </w:tc>
        <w:tc>
          <w:tcPr>
            <w:tcW w:w="485" w:type="pct"/>
          </w:tcPr>
          <w:p w14:paraId="07F40719" w14:textId="77777777" w:rsidR="00F16AB2" w:rsidRPr="00302082" w:rsidRDefault="00F16AB2" w:rsidP="00B64A6B">
            <w:pPr>
              <w:spacing w:after="120"/>
              <w:rPr>
                <w:rFonts w:ascii="Arial" w:hAnsi="Arial" w:cs="Arial"/>
                <w:b/>
              </w:rPr>
            </w:pPr>
          </w:p>
        </w:tc>
      </w:tr>
      <w:tr w:rsidR="00F16AB2" w:rsidRPr="00302082" w14:paraId="63AC64AA" w14:textId="77777777" w:rsidTr="00887612">
        <w:tc>
          <w:tcPr>
            <w:tcW w:w="1388" w:type="pct"/>
          </w:tcPr>
          <w:p w14:paraId="0033FAFD" w14:textId="77777777" w:rsidR="00F16AB2" w:rsidRPr="00540429" w:rsidRDefault="00F16AB2" w:rsidP="00B64A6B">
            <w:pPr>
              <w:spacing w:after="120"/>
              <w:rPr>
                <w:rFonts w:ascii="Arial" w:hAnsi="Arial" w:cs="Arial"/>
                <w:szCs w:val="20"/>
              </w:rPr>
            </w:pPr>
            <w:r w:rsidRPr="0064432B">
              <w:rPr>
                <w:rFonts w:ascii="Arial" w:hAnsi="Arial" w:cs="Arial"/>
                <w:i/>
              </w:rPr>
              <w:t>Independent study</w:t>
            </w:r>
          </w:p>
        </w:tc>
        <w:tc>
          <w:tcPr>
            <w:tcW w:w="485" w:type="pct"/>
          </w:tcPr>
          <w:p w14:paraId="0F926A9B"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7F10716E"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34DC80D9"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0A47D04A"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000E56FE"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12BF2EA"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E12CE07"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4276D3E9" w14:textId="77777777" w:rsidR="00F16AB2" w:rsidRPr="00302082" w:rsidRDefault="00F16AB2" w:rsidP="00B64A6B">
            <w:pPr>
              <w:spacing w:after="120"/>
              <w:rPr>
                <w:rFonts w:ascii="Arial" w:hAnsi="Arial" w:cs="Arial"/>
                <w:b/>
              </w:rPr>
            </w:pPr>
            <w:r>
              <w:rPr>
                <w:rFonts w:ascii="Arial" w:hAnsi="Arial" w:cs="Arial"/>
                <w:b/>
              </w:rPr>
              <w:t>X</w:t>
            </w:r>
          </w:p>
        </w:tc>
      </w:tr>
      <w:tr w:rsidR="00F16AB2" w:rsidRPr="00302082" w14:paraId="0E1E2868" w14:textId="77777777" w:rsidTr="00887612">
        <w:tc>
          <w:tcPr>
            <w:tcW w:w="1388" w:type="pct"/>
          </w:tcPr>
          <w:p w14:paraId="679EB17C" w14:textId="77777777" w:rsidR="00F16AB2" w:rsidRPr="00302082" w:rsidRDefault="00F16AB2" w:rsidP="00B64A6B">
            <w:pPr>
              <w:spacing w:after="120"/>
              <w:rPr>
                <w:rFonts w:ascii="Arial" w:hAnsi="Arial" w:cs="Arial"/>
                <w:i/>
              </w:rPr>
            </w:pPr>
            <w:r>
              <w:rPr>
                <w:rFonts w:ascii="Arial" w:hAnsi="Arial" w:cs="Arial"/>
                <w:i/>
              </w:rPr>
              <w:t>Lectures</w:t>
            </w:r>
          </w:p>
        </w:tc>
        <w:tc>
          <w:tcPr>
            <w:tcW w:w="485" w:type="pct"/>
          </w:tcPr>
          <w:p w14:paraId="3797B292"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51AA645A"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10D8BE52"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6609F94C"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27ADCA94"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51414DCE"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5152C0F6"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6EC17122" w14:textId="77777777" w:rsidR="00F16AB2" w:rsidRPr="00302082" w:rsidRDefault="00F16AB2" w:rsidP="00B64A6B">
            <w:pPr>
              <w:spacing w:after="120"/>
              <w:rPr>
                <w:rFonts w:ascii="Arial" w:hAnsi="Arial" w:cs="Arial"/>
                <w:b/>
              </w:rPr>
            </w:pPr>
          </w:p>
        </w:tc>
      </w:tr>
      <w:tr w:rsidR="00F16AB2" w:rsidRPr="00302082" w14:paraId="61A6A9B7" w14:textId="77777777" w:rsidTr="00887612">
        <w:tc>
          <w:tcPr>
            <w:tcW w:w="1388" w:type="pct"/>
          </w:tcPr>
          <w:p w14:paraId="3600C56B" w14:textId="77777777" w:rsidR="00F16AB2" w:rsidRPr="00302082" w:rsidRDefault="00F16AB2" w:rsidP="00B64A6B">
            <w:pPr>
              <w:spacing w:after="120"/>
              <w:rPr>
                <w:rFonts w:ascii="Arial" w:hAnsi="Arial" w:cs="Arial"/>
                <w:i/>
              </w:rPr>
            </w:pPr>
            <w:r>
              <w:rPr>
                <w:rFonts w:ascii="Arial" w:hAnsi="Arial" w:cs="Arial"/>
                <w:i/>
              </w:rPr>
              <w:t>Seminars</w:t>
            </w:r>
          </w:p>
        </w:tc>
        <w:tc>
          <w:tcPr>
            <w:tcW w:w="485" w:type="pct"/>
          </w:tcPr>
          <w:p w14:paraId="31BF38F8"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0FF961DB"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6D2BC747"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388DBE3"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74687F49"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67E7FBF8"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9BA3B06"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08773E88" w14:textId="77777777" w:rsidR="00F16AB2" w:rsidRPr="00302082" w:rsidRDefault="00F16AB2" w:rsidP="00B64A6B">
            <w:pPr>
              <w:spacing w:after="120"/>
              <w:rPr>
                <w:rFonts w:ascii="Arial" w:hAnsi="Arial" w:cs="Arial"/>
                <w:b/>
              </w:rPr>
            </w:pPr>
            <w:r>
              <w:rPr>
                <w:rFonts w:ascii="Arial" w:hAnsi="Arial" w:cs="Arial"/>
                <w:b/>
              </w:rPr>
              <w:t>X</w:t>
            </w:r>
          </w:p>
        </w:tc>
      </w:tr>
      <w:tr w:rsidR="00F16AB2" w:rsidRPr="00302082" w14:paraId="0F2B8A99" w14:textId="77777777" w:rsidTr="00887612">
        <w:tc>
          <w:tcPr>
            <w:tcW w:w="1388" w:type="pct"/>
          </w:tcPr>
          <w:p w14:paraId="51C9C82B" w14:textId="77777777" w:rsidR="00F16AB2" w:rsidRPr="00302082" w:rsidRDefault="00F16AB2" w:rsidP="00B64A6B">
            <w:pPr>
              <w:spacing w:after="120"/>
              <w:rPr>
                <w:rFonts w:ascii="Arial" w:hAnsi="Arial" w:cs="Arial"/>
                <w:i/>
              </w:rPr>
            </w:pPr>
            <w:r>
              <w:rPr>
                <w:rFonts w:ascii="Arial" w:hAnsi="Arial" w:cs="Arial"/>
                <w:i/>
              </w:rPr>
              <w:t>Computer workshops</w:t>
            </w:r>
          </w:p>
        </w:tc>
        <w:tc>
          <w:tcPr>
            <w:tcW w:w="485" w:type="pct"/>
          </w:tcPr>
          <w:p w14:paraId="34BADA2A"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7F504243"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50B0FB5"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546666E6"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77865EB7"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78EC9886"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27A44B3C"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64E70EB1" w14:textId="77777777" w:rsidR="00F16AB2" w:rsidRPr="00302082" w:rsidRDefault="00F16AB2" w:rsidP="00B64A6B">
            <w:pPr>
              <w:spacing w:after="120"/>
              <w:rPr>
                <w:rFonts w:ascii="Arial" w:hAnsi="Arial" w:cs="Arial"/>
                <w:b/>
              </w:rPr>
            </w:pPr>
          </w:p>
        </w:tc>
      </w:tr>
      <w:tr w:rsidR="00F16AB2" w:rsidRPr="00302082" w14:paraId="45B6F8E8" w14:textId="77777777" w:rsidTr="00887612">
        <w:tc>
          <w:tcPr>
            <w:tcW w:w="1388" w:type="pct"/>
          </w:tcPr>
          <w:p w14:paraId="1470D172" w14:textId="77777777" w:rsidR="00F16AB2" w:rsidRPr="00540429" w:rsidRDefault="00F16AB2" w:rsidP="00B64A6B">
            <w:pPr>
              <w:spacing w:after="120"/>
              <w:rPr>
                <w:rFonts w:ascii="Arial" w:hAnsi="Arial" w:cs="Arial"/>
                <w:b/>
                <w:i/>
              </w:rPr>
            </w:pPr>
            <w:r w:rsidRPr="00540429">
              <w:rPr>
                <w:rFonts w:ascii="Arial" w:hAnsi="Arial" w:cs="Arial"/>
                <w:b/>
                <w:i/>
              </w:rPr>
              <w:t>Total hours</w:t>
            </w:r>
          </w:p>
        </w:tc>
        <w:tc>
          <w:tcPr>
            <w:tcW w:w="485" w:type="pct"/>
          </w:tcPr>
          <w:p w14:paraId="2A6031A9" w14:textId="77777777" w:rsidR="00F16AB2" w:rsidRPr="00302082" w:rsidRDefault="00F16AB2" w:rsidP="00B64A6B">
            <w:pPr>
              <w:spacing w:after="120"/>
              <w:rPr>
                <w:rFonts w:ascii="Arial" w:hAnsi="Arial" w:cs="Arial"/>
                <w:b/>
              </w:rPr>
            </w:pPr>
          </w:p>
        </w:tc>
        <w:tc>
          <w:tcPr>
            <w:tcW w:w="485" w:type="pct"/>
          </w:tcPr>
          <w:p w14:paraId="475DE9D3" w14:textId="77777777" w:rsidR="00F16AB2" w:rsidRPr="00302082" w:rsidRDefault="00F16AB2" w:rsidP="00B64A6B">
            <w:pPr>
              <w:spacing w:after="120"/>
              <w:rPr>
                <w:rFonts w:ascii="Arial" w:hAnsi="Arial" w:cs="Arial"/>
                <w:b/>
              </w:rPr>
            </w:pPr>
          </w:p>
        </w:tc>
        <w:tc>
          <w:tcPr>
            <w:tcW w:w="431" w:type="pct"/>
          </w:tcPr>
          <w:p w14:paraId="78E01DCA" w14:textId="77777777" w:rsidR="00F16AB2" w:rsidRPr="00302082" w:rsidRDefault="00F16AB2" w:rsidP="00B64A6B">
            <w:pPr>
              <w:spacing w:after="120"/>
              <w:rPr>
                <w:rFonts w:ascii="Arial" w:hAnsi="Arial" w:cs="Arial"/>
                <w:b/>
              </w:rPr>
            </w:pPr>
          </w:p>
        </w:tc>
        <w:tc>
          <w:tcPr>
            <w:tcW w:w="431" w:type="pct"/>
          </w:tcPr>
          <w:p w14:paraId="48E3BBEE" w14:textId="77777777" w:rsidR="00F16AB2" w:rsidRPr="00302082" w:rsidRDefault="00F16AB2" w:rsidP="00B64A6B">
            <w:pPr>
              <w:spacing w:after="120"/>
              <w:rPr>
                <w:rFonts w:ascii="Arial" w:hAnsi="Arial" w:cs="Arial"/>
                <w:b/>
              </w:rPr>
            </w:pPr>
          </w:p>
        </w:tc>
        <w:tc>
          <w:tcPr>
            <w:tcW w:w="431" w:type="pct"/>
          </w:tcPr>
          <w:p w14:paraId="63AD6284" w14:textId="77777777" w:rsidR="00F16AB2" w:rsidRPr="00302082" w:rsidRDefault="00F16AB2" w:rsidP="00B64A6B">
            <w:pPr>
              <w:spacing w:after="120"/>
              <w:rPr>
                <w:rFonts w:ascii="Arial" w:hAnsi="Arial" w:cs="Arial"/>
                <w:b/>
              </w:rPr>
            </w:pPr>
          </w:p>
        </w:tc>
        <w:tc>
          <w:tcPr>
            <w:tcW w:w="431" w:type="pct"/>
          </w:tcPr>
          <w:p w14:paraId="0DA93F9E" w14:textId="77777777" w:rsidR="00F16AB2" w:rsidRPr="00302082" w:rsidRDefault="00F16AB2" w:rsidP="00B64A6B">
            <w:pPr>
              <w:spacing w:after="120"/>
              <w:rPr>
                <w:rFonts w:ascii="Arial" w:hAnsi="Arial" w:cs="Arial"/>
                <w:b/>
              </w:rPr>
            </w:pPr>
          </w:p>
        </w:tc>
        <w:tc>
          <w:tcPr>
            <w:tcW w:w="431" w:type="pct"/>
          </w:tcPr>
          <w:p w14:paraId="30FA45D3" w14:textId="77777777" w:rsidR="00F16AB2" w:rsidRPr="00302082" w:rsidRDefault="00F16AB2" w:rsidP="00B64A6B">
            <w:pPr>
              <w:spacing w:after="120"/>
              <w:rPr>
                <w:rFonts w:ascii="Arial" w:hAnsi="Arial" w:cs="Arial"/>
                <w:b/>
              </w:rPr>
            </w:pPr>
          </w:p>
        </w:tc>
        <w:tc>
          <w:tcPr>
            <w:tcW w:w="485" w:type="pct"/>
          </w:tcPr>
          <w:p w14:paraId="0C5576B0" w14:textId="77777777" w:rsidR="00F16AB2" w:rsidRPr="00302082" w:rsidRDefault="00F16AB2" w:rsidP="00B64A6B">
            <w:pPr>
              <w:spacing w:after="120"/>
              <w:rPr>
                <w:rFonts w:ascii="Arial" w:hAnsi="Arial" w:cs="Arial"/>
                <w:b/>
              </w:rPr>
            </w:pPr>
          </w:p>
        </w:tc>
      </w:tr>
      <w:tr w:rsidR="00F16AB2" w:rsidRPr="00302082" w14:paraId="1600B967" w14:textId="77777777" w:rsidTr="00887612">
        <w:tc>
          <w:tcPr>
            <w:tcW w:w="1388" w:type="pct"/>
            <w:shd w:val="clear" w:color="auto" w:fill="D9D9D9" w:themeFill="background1" w:themeFillShade="D9"/>
          </w:tcPr>
          <w:p w14:paraId="1777B440" w14:textId="77777777" w:rsidR="00F16AB2" w:rsidRPr="00302082" w:rsidRDefault="00F16AB2" w:rsidP="00B64A6B">
            <w:pPr>
              <w:spacing w:after="120"/>
              <w:rPr>
                <w:rFonts w:ascii="Arial" w:hAnsi="Arial" w:cs="Arial"/>
                <w:b/>
              </w:rPr>
            </w:pPr>
            <w:r w:rsidRPr="00302082">
              <w:rPr>
                <w:rFonts w:ascii="Arial" w:hAnsi="Arial" w:cs="Arial"/>
                <w:b/>
              </w:rPr>
              <w:t>Assessment method</w:t>
            </w:r>
          </w:p>
        </w:tc>
        <w:tc>
          <w:tcPr>
            <w:tcW w:w="485" w:type="pct"/>
          </w:tcPr>
          <w:p w14:paraId="5B8816F2" w14:textId="77777777" w:rsidR="00F16AB2" w:rsidRPr="00302082" w:rsidRDefault="00F16AB2" w:rsidP="00B64A6B">
            <w:pPr>
              <w:spacing w:after="120"/>
              <w:rPr>
                <w:rFonts w:ascii="Arial" w:hAnsi="Arial" w:cs="Arial"/>
                <w:b/>
              </w:rPr>
            </w:pPr>
          </w:p>
        </w:tc>
        <w:tc>
          <w:tcPr>
            <w:tcW w:w="485" w:type="pct"/>
          </w:tcPr>
          <w:p w14:paraId="0EE52D24" w14:textId="77777777" w:rsidR="00F16AB2" w:rsidRPr="00302082" w:rsidRDefault="00F16AB2" w:rsidP="00B64A6B">
            <w:pPr>
              <w:spacing w:after="120"/>
              <w:rPr>
                <w:rFonts w:ascii="Arial" w:hAnsi="Arial" w:cs="Arial"/>
                <w:b/>
              </w:rPr>
            </w:pPr>
          </w:p>
        </w:tc>
        <w:tc>
          <w:tcPr>
            <w:tcW w:w="431" w:type="pct"/>
          </w:tcPr>
          <w:p w14:paraId="09016EC9" w14:textId="77777777" w:rsidR="00F16AB2" w:rsidRPr="00302082" w:rsidRDefault="00F16AB2" w:rsidP="00B64A6B">
            <w:pPr>
              <w:spacing w:after="120"/>
              <w:rPr>
                <w:rFonts w:ascii="Arial" w:hAnsi="Arial" w:cs="Arial"/>
                <w:b/>
              </w:rPr>
            </w:pPr>
          </w:p>
        </w:tc>
        <w:tc>
          <w:tcPr>
            <w:tcW w:w="431" w:type="pct"/>
          </w:tcPr>
          <w:p w14:paraId="1703CB0C" w14:textId="77777777" w:rsidR="00F16AB2" w:rsidRPr="00302082" w:rsidRDefault="00F16AB2" w:rsidP="00B64A6B">
            <w:pPr>
              <w:spacing w:after="120"/>
              <w:rPr>
                <w:rFonts w:ascii="Arial" w:hAnsi="Arial" w:cs="Arial"/>
                <w:b/>
              </w:rPr>
            </w:pPr>
          </w:p>
        </w:tc>
        <w:tc>
          <w:tcPr>
            <w:tcW w:w="431" w:type="pct"/>
          </w:tcPr>
          <w:p w14:paraId="07913D6A" w14:textId="77777777" w:rsidR="00F16AB2" w:rsidRPr="00302082" w:rsidRDefault="00F16AB2" w:rsidP="00B64A6B">
            <w:pPr>
              <w:spacing w:after="120"/>
              <w:rPr>
                <w:rFonts w:ascii="Arial" w:hAnsi="Arial" w:cs="Arial"/>
                <w:b/>
              </w:rPr>
            </w:pPr>
          </w:p>
        </w:tc>
        <w:tc>
          <w:tcPr>
            <w:tcW w:w="431" w:type="pct"/>
          </w:tcPr>
          <w:p w14:paraId="69EDCBDE" w14:textId="77777777" w:rsidR="00F16AB2" w:rsidRPr="00302082" w:rsidRDefault="00F16AB2" w:rsidP="00B64A6B">
            <w:pPr>
              <w:spacing w:after="120"/>
              <w:rPr>
                <w:rFonts w:ascii="Arial" w:hAnsi="Arial" w:cs="Arial"/>
                <w:b/>
              </w:rPr>
            </w:pPr>
          </w:p>
        </w:tc>
        <w:tc>
          <w:tcPr>
            <w:tcW w:w="431" w:type="pct"/>
          </w:tcPr>
          <w:p w14:paraId="62B304F9" w14:textId="77777777" w:rsidR="00F16AB2" w:rsidRPr="00302082" w:rsidRDefault="00F16AB2" w:rsidP="00B64A6B">
            <w:pPr>
              <w:spacing w:after="120"/>
              <w:rPr>
                <w:rFonts w:ascii="Arial" w:hAnsi="Arial" w:cs="Arial"/>
                <w:b/>
              </w:rPr>
            </w:pPr>
          </w:p>
        </w:tc>
        <w:tc>
          <w:tcPr>
            <w:tcW w:w="485" w:type="pct"/>
          </w:tcPr>
          <w:p w14:paraId="08D2B1EE" w14:textId="77777777" w:rsidR="00F16AB2" w:rsidRPr="00302082" w:rsidRDefault="00F16AB2" w:rsidP="00B64A6B">
            <w:pPr>
              <w:spacing w:after="120"/>
              <w:rPr>
                <w:rFonts w:ascii="Arial" w:hAnsi="Arial" w:cs="Arial"/>
                <w:b/>
              </w:rPr>
            </w:pPr>
          </w:p>
        </w:tc>
      </w:tr>
      <w:tr w:rsidR="00F16AB2" w:rsidRPr="00302082" w14:paraId="7F2F6A8F" w14:textId="77777777" w:rsidTr="00887612">
        <w:tc>
          <w:tcPr>
            <w:tcW w:w="1388" w:type="pct"/>
          </w:tcPr>
          <w:p w14:paraId="34D551E7" w14:textId="77777777" w:rsidR="00F16AB2" w:rsidRPr="00302082" w:rsidRDefault="00F16AB2" w:rsidP="00B64A6B">
            <w:pPr>
              <w:spacing w:after="120"/>
              <w:rPr>
                <w:rFonts w:ascii="Arial" w:hAnsi="Arial" w:cs="Arial"/>
                <w:i/>
              </w:rPr>
            </w:pPr>
            <w:r>
              <w:rPr>
                <w:rFonts w:ascii="Arial" w:hAnsi="Arial" w:cs="Arial"/>
                <w:i/>
              </w:rPr>
              <w:t>VLE test</w:t>
            </w:r>
          </w:p>
        </w:tc>
        <w:tc>
          <w:tcPr>
            <w:tcW w:w="485" w:type="pct"/>
          </w:tcPr>
          <w:p w14:paraId="6A14896B"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30E8CAED"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6DBDC601"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24620163" w14:textId="77777777" w:rsidR="00F16AB2" w:rsidRPr="00302082" w:rsidRDefault="00F16AB2" w:rsidP="00B64A6B">
            <w:pPr>
              <w:spacing w:after="120"/>
              <w:rPr>
                <w:rFonts w:ascii="Arial" w:hAnsi="Arial" w:cs="Arial"/>
                <w:b/>
              </w:rPr>
            </w:pPr>
          </w:p>
        </w:tc>
        <w:tc>
          <w:tcPr>
            <w:tcW w:w="431" w:type="pct"/>
          </w:tcPr>
          <w:p w14:paraId="5EDBF187"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36CDBB95" w14:textId="77777777" w:rsidR="00F16AB2" w:rsidRPr="00302082" w:rsidRDefault="00F16AB2" w:rsidP="00B64A6B">
            <w:pPr>
              <w:spacing w:after="120"/>
              <w:rPr>
                <w:rFonts w:ascii="Arial" w:hAnsi="Arial" w:cs="Arial"/>
                <w:b/>
              </w:rPr>
            </w:pPr>
          </w:p>
        </w:tc>
        <w:tc>
          <w:tcPr>
            <w:tcW w:w="431" w:type="pct"/>
          </w:tcPr>
          <w:p w14:paraId="0DA2206B"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1FC261D2" w14:textId="77777777" w:rsidR="00F16AB2" w:rsidRPr="00302082" w:rsidRDefault="00F16AB2" w:rsidP="00B64A6B">
            <w:pPr>
              <w:spacing w:after="120"/>
              <w:rPr>
                <w:rFonts w:ascii="Arial" w:hAnsi="Arial" w:cs="Arial"/>
                <w:b/>
              </w:rPr>
            </w:pPr>
            <w:r>
              <w:rPr>
                <w:rFonts w:ascii="Arial" w:hAnsi="Arial" w:cs="Arial"/>
                <w:b/>
              </w:rPr>
              <w:t>X</w:t>
            </w:r>
          </w:p>
        </w:tc>
      </w:tr>
      <w:tr w:rsidR="00F16AB2" w:rsidRPr="00302082" w14:paraId="5C547C3E" w14:textId="77777777" w:rsidTr="00887612">
        <w:tc>
          <w:tcPr>
            <w:tcW w:w="1388" w:type="pct"/>
          </w:tcPr>
          <w:p w14:paraId="5917F5C5" w14:textId="4DDF1DB9" w:rsidR="00F16AB2" w:rsidRPr="00302082" w:rsidRDefault="00F16AB2" w:rsidP="00F16AB2">
            <w:pPr>
              <w:spacing w:after="120"/>
              <w:rPr>
                <w:rFonts w:ascii="Arial" w:hAnsi="Arial" w:cs="Arial"/>
                <w:i/>
              </w:rPr>
            </w:pPr>
            <w:r w:rsidRPr="0064432B">
              <w:rPr>
                <w:rFonts w:ascii="Arial" w:hAnsi="Arial" w:cs="Arial"/>
                <w:i/>
              </w:rPr>
              <w:t xml:space="preserve">Examination </w:t>
            </w:r>
          </w:p>
        </w:tc>
        <w:tc>
          <w:tcPr>
            <w:tcW w:w="485" w:type="pct"/>
          </w:tcPr>
          <w:p w14:paraId="34ACAC09"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5F50B759"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3696C89E"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519B35D5"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4A6CFD73"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52441325" w14:textId="77777777" w:rsidR="00F16AB2" w:rsidRPr="00302082" w:rsidRDefault="00F16AB2" w:rsidP="00B64A6B">
            <w:pPr>
              <w:spacing w:after="120"/>
              <w:rPr>
                <w:rFonts w:ascii="Arial" w:hAnsi="Arial" w:cs="Arial"/>
                <w:b/>
              </w:rPr>
            </w:pPr>
            <w:r>
              <w:rPr>
                <w:rFonts w:ascii="Arial" w:hAnsi="Arial" w:cs="Arial"/>
                <w:b/>
              </w:rPr>
              <w:t>X</w:t>
            </w:r>
          </w:p>
        </w:tc>
        <w:tc>
          <w:tcPr>
            <w:tcW w:w="431" w:type="pct"/>
          </w:tcPr>
          <w:p w14:paraId="189F61A3" w14:textId="77777777" w:rsidR="00F16AB2" w:rsidRPr="00302082" w:rsidRDefault="00F16AB2" w:rsidP="00B64A6B">
            <w:pPr>
              <w:spacing w:after="120"/>
              <w:rPr>
                <w:rFonts w:ascii="Arial" w:hAnsi="Arial" w:cs="Arial"/>
                <w:b/>
              </w:rPr>
            </w:pPr>
            <w:r>
              <w:rPr>
                <w:rFonts w:ascii="Arial" w:hAnsi="Arial" w:cs="Arial"/>
                <w:b/>
              </w:rPr>
              <w:t>X</w:t>
            </w:r>
          </w:p>
        </w:tc>
        <w:tc>
          <w:tcPr>
            <w:tcW w:w="485" w:type="pct"/>
          </w:tcPr>
          <w:p w14:paraId="357172F9" w14:textId="77777777" w:rsidR="00F16AB2" w:rsidRPr="00302082" w:rsidRDefault="00F16AB2" w:rsidP="00B64A6B">
            <w:pPr>
              <w:spacing w:after="120"/>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3377A9FD" w:rsidR="00096DA4" w:rsidRPr="00C0267C" w:rsidRDefault="00883204" w:rsidP="00C0267C">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50A3550" w:rsidR="009A2D37" w:rsidRPr="00873473" w:rsidRDefault="00784E45" w:rsidP="00873473">
      <w:pPr>
        <w:spacing w:after="120" w:line="240" w:lineRule="auto"/>
        <w:ind w:left="567" w:right="260"/>
        <w:jc w:val="both"/>
        <w:rPr>
          <w:rFonts w:ascii="Arial" w:hAnsi="Arial" w:cs="Arial"/>
          <w:b/>
        </w:rPr>
      </w:pPr>
      <w:r>
        <w:rPr>
          <w:rFonts w:ascii="Arial" w:hAnsi="Arial" w:cs="Arial"/>
        </w:rPr>
        <w:t>Medway</w:t>
      </w:r>
      <w:r w:rsidR="009A2D37" w:rsidRPr="00873473">
        <w:rPr>
          <w:rFonts w:ascii="Arial" w:hAnsi="Arial" w:cs="Arial"/>
        </w:rPr>
        <w:t xml:space="preserve"> </w:t>
      </w:r>
    </w:p>
    <w:p w14:paraId="24BFBC99" w14:textId="02A72A85" w:rsidR="00883204" w:rsidRDefault="00883204" w:rsidP="00696FF5">
      <w:pPr>
        <w:numPr>
          <w:ilvl w:val="0"/>
          <w:numId w:val="1"/>
        </w:numPr>
        <w:spacing w:after="120" w:line="240" w:lineRule="auto"/>
        <w:ind w:left="567" w:right="261" w:hanging="568"/>
        <w:jc w:val="both"/>
        <w:rPr>
          <w:rFonts w:ascii="Arial" w:hAnsi="Arial" w:cs="Arial"/>
          <w:b/>
        </w:rPr>
      </w:pPr>
      <w:r w:rsidRPr="00C0267C">
        <w:rPr>
          <w:rFonts w:ascii="Arial" w:hAnsi="Arial" w:cs="Arial"/>
          <w:b/>
        </w:rPr>
        <w:t>Internationalisation</w:t>
      </w:r>
      <w:r w:rsidRPr="002A7F48">
        <w:rPr>
          <w:rFonts w:ascii="Arial" w:hAnsi="Arial" w:cs="Arial"/>
          <w:b/>
        </w:rPr>
        <w:t xml:space="preserve"> </w:t>
      </w:r>
    </w:p>
    <w:p w14:paraId="00A1BD5A" w14:textId="77777777" w:rsidR="00F16AB2" w:rsidRPr="00F16AB2" w:rsidRDefault="00F16AB2" w:rsidP="00F16AB2">
      <w:pPr>
        <w:pStyle w:val="ListParagraph"/>
        <w:autoSpaceDE w:val="0"/>
        <w:autoSpaceDN w:val="0"/>
        <w:adjustRightInd w:val="0"/>
        <w:spacing w:after="120" w:line="240" w:lineRule="auto"/>
        <w:ind w:left="567" w:right="261"/>
        <w:jc w:val="both"/>
        <w:rPr>
          <w:rFonts w:ascii="Arial" w:hAnsi="Arial" w:cs="Arial"/>
          <w:iCs/>
        </w:rPr>
      </w:pPr>
      <w:r w:rsidRPr="00F16AB2">
        <w:rPr>
          <w:rFonts w:ascii="Arial" w:hAnsi="Arial" w:cs="Arial"/>
        </w:rPr>
        <w:t xml:space="preserve">Various empirical examples based on international datasets are analysed throughout the term (in the lectures and workshops). Moreover, students are trained to use on-line databases to access international datasets which can be used to analyse international markets. Finally, the material covered during the semester will help students to </w:t>
      </w:r>
      <w:r w:rsidRPr="00F16AB2">
        <w:rPr>
          <w:rFonts w:ascii="Arial" w:hAnsi="Arial" w:cs="Arial"/>
          <w:iCs/>
        </w:rPr>
        <w:t xml:space="preserve">comprehend </w:t>
      </w:r>
      <w:r w:rsidRPr="00F16AB2">
        <w:rPr>
          <w:rFonts w:ascii="Arial" w:hAnsi="Arial" w:cs="Arial"/>
        </w:rPr>
        <w:t xml:space="preserve">and evaluate published articles in international academic journals. </w:t>
      </w:r>
    </w:p>
    <w:p w14:paraId="6216EB6F" w14:textId="77777777" w:rsidR="00784E45" w:rsidRDefault="00784E45" w:rsidP="00784E45">
      <w:pPr>
        <w:spacing w:after="120" w:line="240" w:lineRule="auto"/>
        <w:ind w:left="414"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44F55" w:rsidRPr="00302082" w14:paraId="07085151" w14:textId="77777777" w:rsidTr="00694309">
        <w:trPr>
          <w:trHeight w:val="305"/>
        </w:trPr>
        <w:tc>
          <w:tcPr>
            <w:tcW w:w="1526" w:type="dxa"/>
          </w:tcPr>
          <w:p w14:paraId="3A16B3FC" w14:textId="0CAD8B7F" w:rsidR="00444F55" w:rsidRPr="00506EEA" w:rsidRDefault="00444F55" w:rsidP="00444F55">
            <w:pPr>
              <w:spacing w:after="120"/>
              <w:ind w:right="-330"/>
              <w:rPr>
                <w:rFonts w:ascii="Arial" w:hAnsi="Arial" w:cs="Arial"/>
              </w:rPr>
            </w:pPr>
          </w:p>
        </w:tc>
        <w:tc>
          <w:tcPr>
            <w:tcW w:w="1701" w:type="dxa"/>
          </w:tcPr>
          <w:p w14:paraId="1403AEBB" w14:textId="5E7D6C38" w:rsidR="00444F55" w:rsidRPr="00506EEA" w:rsidRDefault="00444F55" w:rsidP="00444F55">
            <w:pPr>
              <w:spacing w:after="120"/>
              <w:ind w:right="-330"/>
              <w:rPr>
                <w:rFonts w:ascii="Arial" w:hAnsi="Arial" w:cs="Arial"/>
              </w:rPr>
            </w:pPr>
          </w:p>
        </w:tc>
        <w:tc>
          <w:tcPr>
            <w:tcW w:w="2410" w:type="dxa"/>
          </w:tcPr>
          <w:p w14:paraId="6C52E9CA" w14:textId="070ED13B" w:rsidR="00444F55" w:rsidRPr="00506EEA" w:rsidRDefault="00444F55" w:rsidP="00444F55">
            <w:pPr>
              <w:spacing w:after="120"/>
              <w:ind w:right="-330"/>
              <w:rPr>
                <w:rFonts w:ascii="Arial" w:hAnsi="Arial" w:cs="Arial"/>
              </w:rPr>
            </w:pPr>
          </w:p>
        </w:tc>
        <w:tc>
          <w:tcPr>
            <w:tcW w:w="2448" w:type="dxa"/>
          </w:tcPr>
          <w:p w14:paraId="43DFCA84" w14:textId="7F980BEF" w:rsidR="00444F55" w:rsidRPr="00506EEA" w:rsidRDefault="00444F55" w:rsidP="00444F55">
            <w:pPr>
              <w:spacing w:after="120"/>
              <w:ind w:right="-330"/>
              <w:rPr>
                <w:rFonts w:ascii="Arial" w:hAnsi="Arial" w:cs="Arial"/>
              </w:rPr>
            </w:pPr>
          </w:p>
        </w:tc>
        <w:tc>
          <w:tcPr>
            <w:tcW w:w="2597" w:type="dxa"/>
          </w:tcPr>
          <w:p w14:paraId="7B690596" w14:textId="31EA2B9E" w:rsidR="00444F55" w:rsidRPr="00506EEA" w:rsidRDefault="00444F55" w:rsidP="00444F55">
            <w:pPr>
              <w:spacing w:after="120"/>
              <w:ind w:right="-330"/>
              <w:rPr>
                <w:rFonts w:ascii="Arial" w:hAnsi="Arial" w:cs="Arial"/>
              </w:rPr>
            </w:pPr>
          </w:p>
        </w:tc>
      </w:tr>
      <w:tr w:rsidR="00444F55" w:rsidRPr="00302082" w14:paraId="647DDE06" w14:textId="77777777" w:rsidTr="00694309">
        <w:trPr>
          <w:trHeight w:val="305"/>
        </w:trPr>
        <w:tc>
          <w:tcPr>
            <w:tcW w:w="1526" w:type="dxa"/>
          </w:tcPr>
          <w:p w14:paraId="652453C9" w14:textId="77777777" w:rsidR="00444F55" w:rsidRPr="00302082" w:rsidRDefault="00444F55" w:rsidP="00444F55">
            <w:pPr>
              <w:spacing w:after="120"/>
              <w:ind w:right="-330"/>
              <w:rPr>
                <w:rFonts w:ascii="Arial" w:hAnsi="Arial" w:cs="Arial"/>
              </w:rPr>
            </w:pPr>
          </w:p>
        </w:tc>
        <w:tc>
          <w:tcPr>
            <w:tcW w:w="1701" w:type="dxa"/>
          </w:tcPr>
          <w:p w14:paraId="3DAF2B2C" w14:textId="77777777" w:rsidR="00444F55" w:rsidRPr="00302082" w:rsidRDefault="00444F55" w:rsidP="00444F55">
            <w:pPr>
              <w:spacing w:after="120"/>
              <w:ind w:right="-330"/>
              <w:rPr>
                <w:rFonts w:ascii="Arial" w:hAnsi="Arial" w:cs="Arial"/>
              </w:rPr>
            </w:pPr>
          </w:p>
        </w:tc>
        <w:tc>
          <w:tcPr>
            <w:tcW w:w="2410" w:type="dxa"/>
          </w:tcPr>
          <w:p w14:paraId="04181912" w14:textId="77777777" w:rsidR="00444F55" w:rsidRPr="00302082" w:rsidRDefault="00444F55" w:rsidP="00444F55">
            <w:pPr>
              <w:spacing w:after="120"/>
              <w:ind w:right="-330"/>
              <w:rPr>
                <w:rFonts w:ascii="Arial" w:hAnsi="Arial" w:cs="Arial"/>
              </w:rPr>
            </w:pPr>
          </w:p>
        </w:tc>
        <w:tc>
          <w:tcPr>
            <w:tcW w:w="2448" w:type="dxa"/>
          </w:tcPr>
          <w:p w14:paraId="2B86721A" w14:textId="77777777" w:rsidR="00444F55" w:rsidRPr="00302082" w:rsidRDefault="00444F55" w:rsidP="00444F55">
            <w:pPr>
              <w:spacing w:after="120"/>
              <w:ind w:right="-330"/>
              <w:rPr>
                <w:rFonts w:ascii="Arial" w:hAnsi="Arial" w:cs="Arial"/>
              </w:rPr>
            </w:pPr>
          </w:p>
        </w:tc>
        <w:tc>
          <w:tcPr>
            <w:tcW w:w="2597" w:type="dxa"/>
          </w:tcPr>
          <w:p w14:paraId="5FD40983" w14:textId="77777777" w:rsidR="00444F55" w:rsidRPr="00302082" w:rsidRDefault="00444F55" w:rsidP="00444F5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11F3B5B4" w:rsidR="008B2543" w:rsidRDefault="0019787E" w:rsidP="009A2D37">
        <w:pPr>
          <w:pStyle w:val="Footer"/>
          <w:jc w:val="center"/>
        </w:pPr>
        <w:r>
          <w:fldChar w:fldCharType="begin"/>
        </w:r>
        <w:r>
          <w:instrText xml:space="preserve"> PAGE   \* MERGEFORMAT </w:instrText>
        </w:r>
        <w:r>
          <w:fldChar w:fldCharType="separate"/>
        </w:r>
        <w:r w:rsidR="00424768">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1"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0"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8"/>
  </w:num>
  <w:num w:numId="6">
    <w:abstractNumId w:val="15"/>
  </w:num>
  <w:num w:numId="7">
    <w:abstractNumId w:val="22"/>
  </w:num>
  <w:num w:numId="8">
    <w:abstractNumId w:val="17"/>
  </w:num>
  <w:num w:numId="9">
    <w:abstractNumId w:val="8"/>
  </w:num>
  <w:num w:numId="10">
    <w:abstractNumId w:val="19"/>
  </w:num>
  <w:num w:numId="11">
    <w:abstractNumId w:val="10"/>
  </w:num>
  <w:num w:numId="12">
    <w:abstractNumId w:val="21"/>
  </w:num>
  <w:num w:numId="13">
    <w:abstractNumId w:val="3"/>
  </w:num>
  <w:num w:numId="14">
    <w:abstractNumId w:val="1"/>
  </w:num>
  <w:num w:numId="15">
    <w:abstractNumId w:val="11"/>
  </w:num>
  <w:num w:numId="16">
    <w:abstractNumId w:val="23"/>
  </w:num>
  <w:num w:numId="17">
    <w:abstractNumId w:val="13"/>
  </w:num>
  <w:num w:numId="18">
    <w:abstractNumId w:val="16"/>
  </w:num>
  <w:num w:numId="19">
    <w:abstractNumId w:val="14"/>
  </w:num>
  <w:num w:numId="20">
    <w:abstractNumId w:val="5"/>
  </w:num>
  <w:num w:numId="21">
    <w:abstractNumId w:val="6"/>
  </w:num>
  <w:num w:numId="22">
    <w:abstractNumId w:val="12"/>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174F"/>
    <w:rsid w:val="0001243F"/>
    <w:rsid w:val="00021EA0"/>
    <w:rsid w:val="00025992"/>
    <w:rsid w:val="00027937"/>
    <w:rsid w:val="00030C9E"/>
    <w:rsid w:val="00031E67"/>
    <w:rsid w:val="000405A6"/>
    <w:rsid w:val="000408CC"/>
    <w:rsid w:val="00045373"/>
    <w:rsid w:val="00063A2F"/>
    <w:rsid w:val="00064256"/>
    <w:rsid w:val="00064820"/>
    <w:rsid w:val="000678D3"/>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407C0"/>
    <w:rsid w:val="0024369C"/>
    <w:rsid w:val="002461AF"/>
    <w:rsid w:val="002465A1"/>
    <w:rsid w:val="002524C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858"/>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768"/>
    <w:rsid w:val="00424C90"/>
    <w:rsid w:val="00436BE9"/>
    <w:rsid w:val="00441E76"/>
    <w:rsid w:val="0044241A"/>
    <w:rsid w:val="004443DA"/>
    <w:rsid w:val="00444F55"/>
    <w:rsid w:val="00446A75"/>
    <w:rsid w:val="004474A2"/>
    <w:rsid w:val="00460925"/>
    <w:rsid w:val="00471C6C"/>
    <w:rsid w:val="00472023"/>
    <w:rsid w:val="004741D6"/>
    <w:rsid w:val="00486993"/>
    <w:rsid w:val="00492DA4"/>
    <w:rsid w:val="00496AA3"/>
    <w:rsid w:val="00497C98"/>
    <w:rsid w:val="004A39D7"/>
    <w:rsid w:val="004A55FA"/>
    <w:rsid w:val="004B2265"/>
    <w:rsid w:val="004B5D03"/>
    <w:rsid w:val="004B7685"/>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FF2"/>
    <w:rsid w:val="00651A82"/>
    <w:rsid w:val="006525E9"/>
    <w:rsid w:val="0066747B"/>
    <w:rsid w:val="006725EC"/>
    <w:rsid w:val="00674ED0"/>
    <w:rsid w:val="00682650"/>
    <w:rsid w:val="00683609"/>
    <w:rsid w:val="00684851"/>
    <w:rsid w:val="00692328"/>
    <w:rsid w:val="00694309"/>
    <w:rsid w:val="00695285"/>
    <w:rsid w:val="00696FF5"/>
    <w:rsid w:val="006A2206"/>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4E45"/>
    <w:rsid w:val="00787070"/>
    <w:rsid w:val="007906FD"/>
    <w:rsid w:val="007950E0"/>
    <w:rsid w:val="00797197"/>
    <w:rsid w:val="007972A7"/>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87612"/>
    <w:rsid w:val="0089148D"/>
    <w:rsid w:val="00891E0D"/>
    <w:rsid w:val="008A0F36"/>
    <w:rsid w:val="008B2543"/>
    <w:rsid w:val="008B4B6E"/>
    <w:rsid w:val="008D7401"/>
    <w:rsid w:val="008F03F7"/>
    <w:rsid w:val="008F44FA"/>
    <w:rsid w:val="00903DF6"/>
    <w:rsid w:val="00921CF6"/>
    <w:rsid w:val="00922E9E"/>
    <w:rsid w:val="00924EF0"/>
    <w:rsid w:val="00934D7B"/>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15E2"/>
    <w:rsid w:val="00A97038"/>
    <w:rsid w:val="00AA3C15"/>
    <w:rsid w:val="00AA6330"/>
    <w:rsid w:val="00AC277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67C"/>
    <w:rsid w:val="00C02AA2"/>
    <w:rsid w:val="00C04C95"/>
    <w:rsid w:val="00C12613"/>
    <w:rsid w:val="00C16DEF"/>
    <w:rsid w:val="00C2492F"/>
    <w:rsid w:val="00C3744A"/>
    <w:rsid w:val="00C4002A"/>
    <w:rsid w:val="00C46912"/>
    <w:rsid w:val="00C57028"/>
    <w:rsid w:val="00C612A8"/>
    <w:rsid w:val="00C61A40"/>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D02E99"/>
    <w:rsid w:val="00D0724E"/>
    <w:rsid w:val="00D13357"/>
    <w:rsid w:val="00D13A13"/>
    <w:rsid w:val="00D2689A"/>
    <w:rsid w:val="00D65506"/>
    <w:rsid w:val="00D70A90"/>
    <w:rsid w:val="00D75308"/>
    <w:rsid w:val="00D773CF"/>
    <w:rsid w:val="00D83563"/>
    <w:rsid w:val="00D8448F"/>
    <w:rsid w:val="00D84F78"/>
    <w:rsid w:val="00DA64B6"/>
    <w:rsid w:val="00DB1B22"/>
    <w:rsid w:val="00DB5C9D"/>
    <w:rsid w:val="00DD02E6"/>
    <w:rsid w:val="00DF665B"/>
    <w:rsid w:val="00E0152A"/>
    <w:rsid w:val="00E03394"/>
    <w:rsid w:val="00E066E5"/>
    <w:rsid w:val="00E22F03"/>
    <w:rsid w:val="00E233C1"/>
    <w:rsid w:val="00E5097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4933"/>
    <w:rsid w:val="00EF5044"/>
    <w:rsid w:val="00F0195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wiley.com/WileyCDA/Section/id-302479.html?query=Iftekhar+Hasa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wiley.com/WileyCDA/Section/id-302479.html?query=John+Teall" TargetMode="External"/><Relationship Id="rId17" Type="http://schemas.openxmlformats.org/officeDocument/2006/relationships/fontTable" Target="fontTable.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2E10-FA55-4794-AF62-B0B2EA6F59D0}">
  <ds:schemaRef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 ds:uri="ef2b9e05-657a-4dc1-8c6c-679bdea18f38"/>
  </ds:schemaRefs>
</ds:datastoreItem>
</file>

<file path=customXml/itemProps2.xml><?xml version="1.0" encoding="utf-8"?>
<ds:datastoreItem xmlns:ds="http://schemas.openxmlformats.org/officeDocument/2006/customXml" ds:itemID="{7C54C27F-8493-4839-8BC9-1D5919417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DC35D-6D79-4743-BE60-9D55B5865034}"/>
</file>

<file path=customXml/itemProps4.xml><?xml version="1.0" encoding="utf-8"?>
<ds:datastoreItem xmlns:ds="http://schemas.openxmlformats.org/officeDocument/2006/customXml" ds:itemID="{E2D7E0DB-E16B-464F-A3E9-37EAFE5D16A4}">
  <ds:schemaRefs>
    <ds:schemaRef ds:uri="http://schemas.microsoft.com/sharepoint/v3/contenttype/forms"/>
  </ds:schemaRefs>
</ds:datastoreItem>
</file>

<file path=customXml/itemProps5.xml><?xml version="1.0" encoding="utf-8"?>
<ds:datastoreItem xmlns:ds="http://schemas.openxmlformats.org/officeDocument/2006/customXml" ds:itemID="{0184ED01-5132-4E4B-9743-A4292BA2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2</cp:revision>
  <cp:lastPrinted>2015-09-09T08:37:00Z</cp:lastPrinted>
  <dcterms:created xsi:type="dcterms:W3CDTF">2018-02-26T15:01:00Z</dcterms:created>
  <dcterms:modified xsi:type="dcterms:W3CDTF">2018-02-26T15:01:00Z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af44779f-608a-436e-a378-b7199c274504</vt:lpwstr>
  </property>
  <property fmtid="{D5CDD505-2E9C-101B-9397-08002B2CF9AE}" pid="4" name="Order">
    <vt:r8>92500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