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9FBA15B"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B5648">
        <w:rPr>
          <w:rFonts w:ascii="Arial" w:hAnsi="Arial" w:cs="Arial"/>
        </w:rPr>
        <w:t>710</w:t>
      </w:r>
      <w:r>
        <w:rPr>
          <w:rFonts w:ascii="Arial" w:hAnsi="Arial" w:cs="Arial"/>
        </w:rPr>
        <w:t xml:space="preserve"> (CB</w:t>
      </w:r>
      <w:r w:rsidR="000B5648">
        <w:rPr>
          <w:rFonts w:ascii="Arial" w:hAnsi="Arial" w:cs="Arial"/>
        </w:rPr>
        <w:t>371</w:t>
      </w:r>
      <w:r w:rsidR="007C05EE">
        <w:rPr>
          <w:rFonts w:ascii="Arial" w:hAnsi="Arial" w:cs="Arial"/>
        </w:rPr>
        <w:t>)</w:t>
      </w:r>
      <w:r w:rsidR="00B35C17">
        <w:rPr>
          <w:rFonts w:ascii="Arial" w:hAnsi="Arial" w:cs="Arial"/>
        </w:rPr>
        <w:t xml:space="preserve"> </w:t>
      </w:r>
      <w:r w:rsidR="000B5648">
        <w:rPr>
          <w:rFonts w:ascii="Arial" w:hAnsi="Arial" w:cs="Arial"/>
        </w:rPr>
        <w:t>Marketing Principles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EB9B733" w:rsidR="009A2D37" w:rsidRDefault="000B5648"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E7FF7C"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BA (Hons) in Business &amp; Management / BA in Business &amp; Management with a Year in Industry</w:t>
      </w:r>
    </w:p>
    <w:p w14:paraId="58410945"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BA (Hons) in Accounting &amp; Management / BA in Accounting &amp; Management with a Year in Industry</w:t>
      </w:r>
    </w:p>
    <w:p w14:paraId="520D7202"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BSc (Hons) in Business Information Technology</w:t>
      </w:r>
    </w:p>
    <w:p w14:paraId="4C13117E" w14:textId="3B4FAD29" w:rsidR="00552B03" w:rsidRPr="00552B03" w:rsidRDefault="00552B03" w:rsidP="00552B03">
      <w:pPr>
        <w:pStyle w:val="ListParagraph"/>
        <w:spacing w:after="120" w:line="240" w:lineRule="auto"/>
        <w:ind w:left="567" w:right="260"/>
        <w:rPr>
          <w:rFonts w:ascii="Arial" w:hAnsi="Arial" w:cs="Arial"/>
          <w:iCs/>
        </w:rPr>
      </w:pP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D5A8D4"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8.1. Demonstrate knowledge of the concepts and principles of marketing.</w:t>
      </w:r>
    </w:p>
    <w:p w14:paraId="2FBABDA3"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8.2. Demonstrate an ability to evaluate and interpret marketing concepts and principles in relation to other business functions.</w:t>
      </w:r>
    </w:p>
    <w:p w14:paraId="2A09E0EC"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8.3. Explain the relationship between the internal and external environments in the formulation and execution of marketing strategies</w:t>
      </w:r>
    </w:p>
    <w:p w14:paraId="580674E1"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8.4. Appreciate the commercial and ethical challenges of marketing decision-making in domestic and international business environments</w:t>
      </w:r>
    </w:p>
    <w:p w14:paraId="1AAF82EB" w14:textId="19E8251D" w:rsidR="00A915E2" w:rsidRDefault="00A915E2" w:rsidP="000B5648">
      <w:pPr>
        <w:spacing w:after="120" w:line="240" w:lineRule="auto"/>
        <w:ind w:right="260"/>
        <w:rPr>
          <w:rFonts w:ascii="Arial" w:hAnsi="Arial" w:cs="Arial"/>
          <w:b/>
        </w:rPr>
      </w:pP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916B4F"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9.1. Demonstrate an ability to link theories and concepts to practical situations.</w:t>
      </w:r>
    </w:p>
    <w:p w14:paraId="04CE8F3E"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9.2. Demonstrate an ability to present, evaluate and interpret qualitative and quantitative data.</w:t>
      </w:r>
    </w:p>
    <w:p w14:paraId="0359F353"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9.3. Demonstrate an ability to write coherently and critically as appropriate to the level.</w:t>
      </w:r>
    </w:p>
    <w:p w14:paraId="2CD87AAA"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9.4. Demonstrate an ability to work with others to develop interpersonal and team-working silks</w:t>
      </w:r>
    </w:p>
    <w:p w14:paraId="47729845" w14:textId="60CF2F9C" w:rsidR="00C61A40" w:rsidRPr="00A915E2" w:rsidRDefault="00C61A40" w:rsidP="000B5648">
      <w:pPr>
        <w:pStyle w:val="ListParagraph"/>
        <w:spacing w:after="120" w:line="240" w:lineRule="auto"/>
        <w:ind w:left="414" w:right="260"/>
        <w:rPr>
          <w:rFonts w:ascii="Arial" w:hAnsi="Arial" w:cs="Arial"/>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AF84FC" w14:textId="5D7E804A" w:rsidR="000B5648" w:rsidRDefault="000B5648" w:rsidP="000B5648">
      <w:pPr>
        <w:pStyle w:val="ListParagraph"/>
        <w:spacing w:before="60" w:after="60" w:line="240" w:lineRule="auto"/>
        <w:ind w:left="567"/>
        <w:rPr>
          <w:rFonts w:ascii="Arial" w:hAnsi="Arial" w:cs="Arial"/>
        </w:rPr>
      </w:pPr>
      <w:r w:rsidRPr="00CC4909">
        <w:rPr>
          <w:rFonts w:ascii="Arial" w:hAnsi="Arial" w:cs="Arial"/>
        </w:rPr>
        <w:t>The module introduces to students the importance of marketing in competitive an</w:t>
      </w:r>
      <w:r>
        <w:rPr>
          <w:rFonts w:ascii="Arial" w:hAnsi="Arial" w:cs="Arial"/>
        </w:rPr>
        <w:t xml:space="preserve">d dynamic environments. Indicative </w:t>
      </w:r>
      <w:r w:rsidRPr="00CC4909">
        <w:rPr>
          <w:rFonts w:ascii="Arial" w:hAnsi="Arial" w:cs="Arial"/>
        </w:rPr>
        <w:t>topics of the module are:</w:t>
      </w:r>
    </w:p>
    <w:p w14:paraId="5F8D95E1" w14:textId="77777777" w:rsidR="000B5648" w:rsidRPr="00CC4909" w:rsidRDefault="000B5648" w:rsidP="000B5648">
      <w:pPr>
        <w:pStyle w:val="ListParagraph"/>
        <w:spacing w:before="60" w:after="60" w:line="240" w:lineRule="auto"/>
        <w:ind w:left="567"/>
        <w:jc w:val="both"/>
        <w:rPr>
          <w:rFonts w:ascii="Arial" w:hAnsi="Arial" w:cs="Arial"/>
        </w:rPr>
      </w:pPr>
    </w:p>
    <w:p w14:paraId="55BBCCE0"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marketing concept</w:t>
      </w:r>
    </w:p>
    <w:p w14:paraId="20AF9C0C"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marketing environment</w:t>
      </w:r>
    </w:p>
    <w:p w14:paraId="0C0236B4"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Market segmentation &amp; targeting</w:t>
      </w:r>
    </w:p>
    <w:p w14:paraId="4BF94FA9"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 xml:space="preserve">Brand development and management </w:t>
      </w:r>
    </w:p>
    <w:p w14:paraId="3671F00B"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Management of the marketing mix</w:t>
      </w:r>
    </w:p>
    <w:p w14:paraId="4C12B42E"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Marketing research and new product development</w:t>
      </w:r>
    </w:p>
    <w:p w14:paraId="04972EEB" w14:textId="77777777" w:rsidR="000B5648"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implications of internationalisation for marketing managers</w:t>
      </w:r>
    </w:p>
    <w:p w14:paraId="0E9069EF" w14:textId="0E8E043B" w:rsidR="0001174F" w:rsidRPr="000B5648"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Ethical issues in marketing</w:t>
      </w: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E8C265"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Armstrong, G., Kotler, P., Harker, M. and Brennan, R. (2015) </w:t>
      </w:r>
      <w:r w:rsidRPr="000B5648">
        <w:rPr>
          <w:rFonts w:ascii="Arial" w:hAnsi="Arial" w:cs="Arial"/>
          <w:i/>
        </w:rPr>
        <w:t>Marketing: An Introduction</w:t>
      </w:r>
      <w:r w:rsidRPr="000B5648">
        <w:rPr>
          <w:rFonts w:ascii="Arial" w:hAnsi="Arial" w:cs="Arial"/>
        </w:rPr>
        <w:t>. 3rd ed. London: Pearson Education</w:t>
      </w:r>
    </w:p>
    <w:p w14:paraId="46768571"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Armstrong, G., and Kotler, P. (2015) </w:t>
      </w:r>
      <w:r w:rsidRPr="000B5648">
        <w:rPr>
          <w:rFonts w:ascii="Arial" w:hAnsi="Arial" w:cs="Arial"/>
          <w:i/>
        </w:rPr>
        <w:t>Principles of Marketing</w:t>
      </w:r>
      <w:r w:rsidRPr="000B5648">
        <w:rPr>
          <w:rFonts w:ascii="Arial" w:hAnsi="Arial" w:cs="Arial"/>
        </w:rPr>
        <w:t>. 16th edn. London: Pearson Education</w:t>
      </w:r>
    </w:p>
    <w:p w14:paraId="4BEA1758"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Dibb, S., Simkin, L., Ferrell, O.C. and Pride, W.M. (2016) </w:t>
      </w:r>
      <w:r w:rsidRPr="000B5648">
        <w:rPr>
          <w:rFonts w:ascii="Arial" w:hAnsi="Arial" w:cs="Arial"/>
          <w:i/>
        </w:rPr>
        <w:t>Marketing: Concepts and Strategies</w:t>
      </w:r>
      <w:r w:rsidRPr="000B5648">
        <w:rPr>
          <w:rFonts w:ascii="Arial" w:hAnsi="Arial" w:cs="Arial"/>
        </w:rPr>
        <w:t>. 7th edn. Hampshire: Cengage Learning</w:t>
      </w:r>
    </w:p>
    <w:p w14:paraId="6E8E55E5"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Palmer, A. (2012) </w:t>
      </w:r>
      <w:r w:rsidRPr="000B5648">
        <w:rPr>
          <w:rFonts w:ascii="Arial" w:hAnsi="Arial" w:cs="Arial"/>
          <w:i/>
        </w:rPr>
        <w:t>Introduction to Marketing: Theory and Practice</w:t>
      </w:r>
      <w:r w:rsidRPr="000B5648">
        <w:rPr>
          <w:rFonts w:ascii="Arial" w:hAnsi="Arial" w:cs="Arial"/>
        </w:rPr>
        <w:t>. 3rd edn. Oxford: OUP</w:t>
      </w:r>
    </w:p>
    <w:p w14:paraId="38706375" w14:textId="77777777" w:rsidR="0001174F" w:rsidRDefault="0001174F" w:rsidP="000B5648">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B4BDC3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1174F">
        <w:rPr>
          <w:rFonts w:ascii="Arial" w:hAnsi="Arial" w:cs="Arial"/>
          <w:iCs/>
        </w:rPr>
        <w:t>21</w:t>
      </w:r>
    </w:p>
    <w:p w14:paraId="0AB4FB84" w14:textId="64BD101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1174F">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6C570E00" w:rsidR="007B32E8" w:rsidRPr="008F0C2F" w:rsidRDefault="00784E45" w:rsidP="00784E45">
      <w:pPr>
        <w:pStyle w:val="ListParagraph"/>
        <w:spacing w:after="120" w:line="240" w:lineRule="auto"/>
        <w:ind w:left="567" w:right="260"/>
        <w:jc w:val="both"/>
        <w:rPr>
          <w:rFonts w:ascii="Arial" w:hAnsi="Arial" w:cs="Arial"/>
          <w:iCs/>
        </w:rPr>
      </w:pPr>
      <w:r w:rsidRPr="008F0C2F">
        <w:rPr>
          <w:rFonts w:ascii="Arial" w:hAnsi="Arial" w:cs="Arial"/>
          <w:iCs/>
        </w:rPr>
        <w:t>Group Project (3000 words) (40</w:t>
      </w:r>
      <w:r w:rsidR="007B32E8" w:rsidRPr="008F0C2F">
        <w:rPr>
          <w:rFonts w:ascii="Arial" w:hAnsi="Arial" w:cs="Arial"/>
          <w:iCs/>
        </w:rPr>
        <w:t>%)</w:t>
      </w:r>
    </w:p>
    <w:p w14:paraId="095E7DB8" w14:textId="05D546BA" w:rsidR="0001174F" w:rsidRDefault="0001174F" w:rsidP="007B32E8">
      <w:pPr>
        <w:pStyle w:val="ListParagraph"/>
        <w:spacing w:after="120" w:line="240" w:lineRule="auto"/>
        <w:ind w:left="567" w:right="260"/>
        <w:jc w:val="both"/>
        <w:rPr>
          <w:rFonts w:ascii="Arial" w:hAnsi="Arial" w:cs="Arial"/>
          <w:iCs/>
        </w:rPr>
      </w:pPr>
      <w:r w:rsidRPr="008F0C2F">
        <w:rPr>
          <w:rFonts w:ascii="Arial" w:hAnsi="Arial" w:cs="Arial"/>
          <w:iCs/>
        </w:rPr>
        <w:t>Exam, 2 hours (60%)</w:t>
      </w:r>
    </w:p>
    <w:p w14:paraId="2D22558A" w14:textId="0FF5C904" w:rsidR="006043FC" w:rsidRDefault="006043FC" w:rsidP="001C1D48">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1B8B062D" w:rsidR="007B32E8" w:rsidRPr="007B32E8" w:rsidRDefault="00FD2896" w:rsidP="007B32E8">
      <w:pPr>
        <w:pStyle w:val="ListParagraph"/>
        <w:spacing w:after="120" w:line="240" w:lineRule="auto"/>
        <w:ind w:left="567" w:right="260"/>
        <w:jc w:val="both"/>
        <w:rPr>
          <w:rFonts w:ascii="Arial" w:hAnsi="Arial" w:cs="Arial"/>
          <w:b/>
          <w:iCs/>
        </w:rPr>
      </w:pPr>
      <w:r>
        <w:rPr>
          <w:rFonts w:ascii="Arial" w:hAnsi="Arial" w:cs="Arial"/>
          <w:iCs/>
        </w:rPr>
        <w:t>Like for Like</w:t>
      </w:r>
      <w:bookmarkStart w:id="0" w:name="_GoBack"/>
      <w:bookmarkEnd w:id="0"/>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F0C2F" w:rsidRDefault="006F3F8B" w:rsidP="00696FF5">
      <w:pPr>
        <w:numPr>
          <w:ilvl w:val="0"/>
          <w:numId w:val="1"/>
        </w:numPr>
        <w:spacing w:after="120" w:line="240" w:lineRule="auto"/>
        <w:ind w:left="567" w:right="261" w:hanging="567"/>
        <w:jc w:val="both"/>
        <w:rPr>
          <w:rFonts w:ascii="Arial" w:hAnsi="Arial" w:cs="Arial"/>
          <w:b/>
          <w:iCs/>
        </w:rPr>
      </w:pPr>
      <w:r w:rsidRPr="008F0C2F">
        <w:rPr>
          <w:rFonts w:ascii="Arial" w:hAnsi="Arial" w:cs="Arial"/>
          <w:b/>
          <w:iCs/>
        </w:rPr>
        <w:t xml:space="preserve">Map of </w:t>
      </w:r>
      <w:r w:rsidR="00883204" w:rsidRPr="008F0C2F">
        <w:rPr>
          <w:rFonts w:ascii="Arial" w:hAnsi="Arial" w:cs="Arial"/>
          <w:b/>
          <w:iCs/>
        </w:rPr>
        <w:t xml:space="preserve">module learning outcomes </w:t>
      </w:r>
      <w:r w:rsidR="00B30E07" w:rsidRPr="008F0C2F">
        <w:rPr>
          <w:rFonts w:ascii="Arial" w:hAnsi="Arial" w:cs="Arial"/>
          <w:b/>
          <w:iCs/>
        </w:rPr>
        <w:t>(sections 8 &amp; 9)</w:t>
      </w:r>
      <w:r w:rsidR="00883204" w:rsidRPr="008F0C2F">
        <w:rPr>
          <w:rFonts w:ascii="Arial" w:hAnsi="Arial" w:cs="Arial"/>
          <w:b/>
          <w:iCs/>
        </w:rPr>
        <w:t xml:space="preserve"> to l</w:t>
      </w:r>
      <w:r w:rsidRPr="008F0C2F">
        <w:rPr>
          <w:rFonts w:ascii="Arial" w:hAnsi="Arial" w:cs="Arial"/>
          <w:b/>
          <w:iCs/>
        </w:rPr>
        <w:t>earning</w:t>
      </w:r>
      <w:r w:rsidR="00B30E07" w:rsidRPr="008F0C2F">
        <w:rPr>
          <w:rFonts w:ascii="Arial" w:hAnsi="Arial" w:cs="Arial"/>
          <w:b/>
          <w:iCs/>
        </w:rPr>
        <w:t xml:space="preserve"> and </w:t>
      </w:r>
      <w:r w:rsidR="00883204" w:rsidRPr="008F0C2F">
        <w:rPr>
          <w:rFonts w:ascii="Arial" w:hAnsi="Arial" w:cs="Arial"/>
          <w:b/>
          <w:iCs/>
        </w:rPr>
        <w:t>teaching m</w:t>
      </w:r>
      <w:r w:rsidR="00B30E07" w:rsidRPr="008F0C2F">
        <w:rPr>
          <w:rFonts w:ascii="Arial" w:hAnsi="Arial" w:cs="Arial"/>
          <w:b/>
          <w:iCs/>
        </w:rPr>
        <w:t>ethods (section12</w:t>
      </w:r>
      <w:r w:rsidRPr="008F0C2F">
        <w:rPr>
          <w:rFonts w:ascii="Arial" w:hAnsi="Arial" w:cs="Arial"/>
          <w:b/>
          <w:iCs/>
        </w:rPr>
        <w:t>) and m</w:t>
      </w:r>
      <w:r w:rsidR="00883204" w:rsidRPr="008F0C2F">
        <w:rPr>
          <w:rFonts w:ascii="Arial" w:hAnsi="Arial" w:cs="Arial"/>
          <w:b/>
          <w:iCs/>
        </w:rPr>
        <w:t>ethods of a</w:t>
      </w:r>
      <w:r w:rsidR="00B30E07" w:rsidRPr="008F0C2F">
        <w:rPr>
          <w:rFonts w:ascii="Arial" w:hAnsi="Arial" w:cs="Arial"/>
          <w:b/>
          <w:iCs/>
        </w:rPr>
        <w:t>ssessment (section 13</w:t>
      </w:r>
      <w:r w:rsidR="00EF4933" w:rsidRPr="008F0C2F">
        <w:rPr>
          <w:rFonts w:ascii="Arial" w:hAnsi="Arial" w:cs="Arial"/>
          <w:b/>
          <w:iCs/>
        </w:rPr>
        <w:t>)</w:t>
      </w:r>
    </w:p>
    <w:tbl>
      <w:tblPr>
        <w:tblStyle w:val="TableGrid"/>
        <w:tblW w:w="5000" w:type="pct"/>
        <w:tblLook w:val="04A0" w:firstRow="1" w:lastRow="0" w:firstColumn="1" w:lastColumn="0" w:noHBand="0" w:noVBand="1"/>
      </w:tblPr>
      <w:tblGrid>
        <w:gridCol w:w="2436"/>
        <w:gridCol w:w="1039"/>
        <w:gridCol w:w="995"/>
        <w:gridCol w:w="1000"/>
        <w:gridCol w:w="1000"/>
        <w:gridCol w:w="1000"/>
        <w:gridCol w:w="995"/>
        <w:gridCol w:w="1000"/>
        <w:gridCol w:w="991"/>
      </w:tblGrid>
      <w:tr w:rsidR="00784E45" w:rsidRPr="00BD563E" w14:paraId="2628CB58" w14:textId="77777777" w:rsidTr="008F0C2F">
        <w:tc>
          <w:tcPr>
            <w:tcW w:w="1165" w:type="pct"/>
            <w:shd w:val="clear" w:color="auto" w:fill="D9D9D9" w:themeFill="background1" w:themeFillShade="D9"/>
          </w:tcPr>
          <w:p w14:paraId="525485F3" w14:textId="77777777" w:rsidR="00784E45" w:rsidRPr="00302082" w:rsidRDefault="00784E45" w:rsidP="00E245DF">
            <w:pPr>
              <w:spacing w:after="120"/>
              <w:ind w:left="33"/>
              <w:rPr>
                <w:rFonts w:ascii="Arial" w:hAnsi="Arial" w:cs="Arial"/>
                <w:b/>
              </w:rPr>
            </w:pPr>
            <w:r w:rsidRPr="00302082">
              <w:rPr>
                <w:rFonts w:ascii="Arial" w:hAnsi="Arial" w:cs="Arial"/>
                <w:b/>
              </w:rPr>
              <w:t>Module learning outcome</w:t>
            </w:r>
          </w:p>
        </w:tc>
        <w:tc>
          <w:tcPr>
            <w:tcW w:w="497" w:type="pct"/>
          </w:tcPr>
          <w:p w14:paraId="14CCCCD8"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.1</w:t>
            </w:r>
          </w:p>
        </w:tc>
        <w:tc>
          <w:tcPr>
            <w:tcW w:w="476" w:type="pct"/>
          </w:tcPr>
          <w:p w14:paraId="0FDB4061"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.2</w:t>
            </w:r>
          </w:p>
        </w:tc>
        <w:tc>
          <w:tcPr>
            <w:tcW w:w="478" w:type="pct"/>
          </w:tcPr>
          <w:p w14:paraId="69418EC5"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.3</w:t>
            </w:r>
          </w:p>
        </w:tc>
        <w:tc>
          <w:tcPr>
            <w:tcW w:w="478" w:type="pct"/>
          </w:tcPr>
          <w:p w14:paraId="130F0AFD"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.4</w:t>
            </w:r>
          </w:p>
        </w:tc>
        <w:tc>
          <w:tcPr>
            <w:tcW w:w="478" w:type="pct"/>
          </w:tcPr>
          <w:p w14:paraId="43254335" w14:textId="77777777" w:rsidR="00784E45" w:rsidRPr="00BD563E" w:rsidRDefault="00784E45" w:rsidP="00E245DF">
            <w:pPr>
              <w:spacing w:after="120"/>
              <w:rPr>
                <w:rFonts w:ascii="Arial" w:hAnsi="Arial" w:cs="Arial"/>
                <w:i/>
                <w:sz w:val="20"/>
              </w:rPr>
            </w:pPr>
            <w:r>
              <w:rPr>
                <w:rFonts w:ascii="Arial" w:hAnsi="Arial" w:cs="Arial"/>
                <w:i/>
                <w:sz w:val="20"/>
              </w:rPr>
              <w:t>9.1</w:t>
            </w:r>
          </w:p>
        </w:tc>
        <w:tc>
          <w:tcPr>
            <w:tcW w:w="476" w:type="pct"/>
          </w:tcPr>
          <w:p w14:paraId="0790240B" w14:textId="77777777" w:rsidR="00784E45" w:rsidRPr="00BD563E" w:rsidRDefault="00784E45" w:rsidP="00E245DF">
            <w:pPr>
              <w:spacing w:after="120"/>
              <w:rPr>
                <w:rFonts w:ascii="Arial" w:hAnsi="Arial" w:cs="Arial"/>
                <w:i/>
                <w:sz w:val="20"/>
              </w:rPr>
            </w:pPr>
            <w:r>
              <w:rPr>
                <w:rFonts w:ascii="Arial" w:hAnsi="Arial" w:cs="Arial"/>
                <w:i/>
                <w:sz w:val="20"/>
              </w:rPr>
              <w:t>9</w:t>
            </w:r>
            <w:r w:rsidRPr="00BD563E">
              <w:rPr>
                <w:rFonts w:ascii="Arial" w:hAnsi="Arial" w:cs="Arial"/>
                <w:i/>
                <w:sz w:val="20"/>
              </w:rPr>
              <w:t>.</w:t>
            </w:r>
            <w:r>
              <w:rPr>
                <w:rFonts w:ascii="Arial" w:hAnsi="Arial" w:cs="Arial"/>
                <w:i/>
                <w:sz w:val="20"/>
              </w:rPr>
              <w:t>2</w:t>
            </w:r>
          </w:p>
        </w:tc>
        <w:tc>
          <w:tcPr>
            <w:tcW w:w="478" w:type="pct"/>
          </w:tcPr>
          <w:p w14:paraId="3FC38107" w14:textId="77777777" w:rsidR="00784E45" w:rsidRPr="00BD563E" w:rsidRDefault="00784E45" w:rsidP="00E245DF">
            <w:pPr>
              <w:spacing w:after="120"/>
              <w:rPr>
                <w:rFonts w:ascii="Arial" w:hAnsi="Arial" w:cs="Arial"/>
                <w:i/>
                <w:sz w:val="20"/>
              </w:rPr>
            </w:pPr>
            <w:r>
              <w:rPr>
                <w:rFonts w:ascii="Arial" w:hAnsi="Arial" w:cs="Arial"/>
                <w:i/>
                <w:sz w:val="20"/>
              </w:rPr>
              <w:t>9.3</w:t>
            </w:r>
          </w:p>
        </w:tc>
        <w:tc>
          <w:tcPr>
            <w:tcW w:w="474" w:type="pct"/>
          </w:tcPr>
          <w:p w14:paraId="4A39CAE0" w14:textId="77777777" w:rsidR="00784E45" w:rsidRPr="00BD563E" w:rsidRDefault="00784E45" w:rsidP="00E245DF">
            <w:pPr>
              <w:spacing w:after="120"/>
              <w:rPr>
                <w:rFonts w:ascii="Arial" w:hAnsi="Arial" w:cs="Arial"/>
                <w:i/>
                <w:sz w:val="20"/>
              </w:rPr>
            </w:pPr>
            <w:r>
              <w:rPr>
                <w:rFonts w:ascii="Arial" w:hAnsi="Arial" w:cs="Arial"/>
                <w:i/>
                <w:sz w:val="20"/>
              </w:rPr>
              <w:t>9.4</w:t>
            </w:r>
          </w:p>
        </w:tc>
      </w:tr>
      <w:tr w:rsidR="00784E45" w:rsidRPr="00302082" w14:paraId="4EC93346" w14:textId="77777777" w:rsidTr="008F0C2F">
        <w:tc>
          <w:tcPr>
            <w:tcW w:w="1165" w:type="pct"/>
            <w:shd w:val="clear" w:color="auto" w:fill="D9D9D9" w:themeFill="background1" w:themeFillShade="D9"/>
          </w:tcPr>
          <w:p w14:paraId="060DABE4" w14:textId="77777777" w:rsidR="00784E45" w:rsidRPr="00302082" w:rsidRDefault="00784E45" w:rsidP="00E245DF">
            <w:pPr>
              <w:spacing w:after="120"/>
              <w:rPr>
                <w:rFonts w:ascii="Arial" w:hAnsi="Arial" w:cs="Arial"/>
                <w:b/>
              </w:rPr>
            </w:pPr>
            <w:r w:rsidRPr="00302082">
              <w:rPr>
                <w:rFonts w:ascii="Arial" w:hAnsi="Arial" w:cs="Arial"/>
                <w:b/>
              </w:rPr>
              <w:t>Learning/ teaching method</w:t>
            </w:r>
          </w:p>
        </w:tc>
        <w:tc>
          <w:tcPr>
            <w:tcW w:w="497" w:type="pct"/>
          </w:tcPr>
          <w:p w14:paraId="5B2D609B" w14:textId="77777777" w:rsidR="00784E45" w:rsidRPr="00302082" w:rsidRDefault="00784E45" w:rsidP="00E245DF">
            <w:pPr>
              <w:spacing w:after="120"/>
              <w:rPr>
                <w:rFonts w:ascii="Arial" w:hAnsi="Arial" w:cs="Arial"/>
                <w:b/>
              </w:rPr>
            </w:pPr>
          </w:p>
        </w:tc>
        <w:tc>
          <w:tcPr>
            <w:tcW w:w="476" w:type="pct"/>
          </w:tcPr>
          <w:p w14:paraId="76DFF15F" w14:textId="77777777" w:rsidR="00784E45" w:rsidRPr="00302082" w:rsidRDefault="00784E45" w:rsidP="00E245DF">
            <w:pPr>
              <w:spacing w:after="120"/>
              <w:rPr>
                <w:rFonts w:ascii="Arial" w:hAnsi="Arial" w:cs="Arial"/>
                <w:b/>
              </w:rPr>
            </w:pPr>
          </w:p>
        </w:tc>
        <w:tc>
          <w:tcPr>
            <w:tcW w:w="478" w:type="pct"/>
          </w:tcPr>
          <w:p w14:paraId="083BCC44" w14:textId="77777777" w:rsidR="00784E45" w:rsidRPr="00302082" w:rsidRDefault="00784E45" w:rsidP="00E245DF">
            <w:pPr>
              <w:spacing w:after="120"/>
              <w:rPr>
                <w:rFonts w:ascii="Arial" w:hAnsi="Arial" w:cs="Arial"/>
                <w:b/>
              </w:rPr>
            </w:pPr>
          </w:p>
        </w:tc>
        <w:tc>
          <w:tcPr>
            <w:tcW w:w="478" w:type="pct"/>
          </w:tcPr>
          <w:p w14:paraId="7917FED4" w14:textId="77777777" w:rsidR="00784E45" w:rsidRPr="00302082" w:rsidRDefault="00784E45" w:rsidP="00E245DF">
            <w:pPr>
              <w:spacing w:after="120"/>
              <w:rPr>
                <w:rFonts w:ascii="Arial" w:hAnsi="Arial" w:cs="Arial"/>
                <w:b/>
              </w:rPr>
            </w:pPr>
          </w:p>
        </w:tc>
        <w:tc>
          <w:tcPr>
            <w:tcW w:w="478" w:type="pct"/>
          </w:tcPr>
          <w:p w14:paraId="2897F8B6" w14:textId="77777777" w:rsidR="00784E45" w:rsidRPr="00302082" w:rsidRDefault="00784E45" w:rsidP="00E245DF">
            <w:pPr>
              <w:spacing w:after="120"/>
              <w:rPr>
                <w:rFonts w:ascii="Arial" w:hAnsi="Arial" w:cs="Arial"/>
                <w:b/>
              </w:rPr>
            </w:pPr>
          </w:p>
        </w:tc>
        <w:tc>
          <w:tcPr>
            <w:tcW w:w="476" w:type="pct"/>
          </w:tcPr>
          <w:p w14:paraId="692D34F5" w14:textId="77777777" w:rsidR="00784E45" w:rsidRPr="00302082" w:rsidRDefault="00784E45" w:rsidP="00E245DF">
            <w:pPr>
              <w:spacing w:after="120"/>
              <w:rPr>
                <w:rFonts w:ascii="Arial" w:hAnsi="Arial" w:cs="Arial"/>
                <w:b/>
              </w:rPr>
            </w:pPr>
          </w:p>
        </w:tc>
        <w:tc>
          <w:tcPr>
            <w:tcW w:w="478" w:type="pct"/>
          </w:tcPr>
          <w:p w14:paraId="065588DA" w14:textId="77777777" w:rsidR="00784E45" w:rsidRPr="00302082" w:rsidRDefault="00784E45" w:rsidP="00E245DF">
            <w:pPr>
              <w:spacing w:after="120"/>
              <w:rPr>
                <w:rFonts w:ascii="Arial" w:hAnsi="Arial" w:cs="Arial"/>
                <w:b/>
              </w:rPr>
            </w:pPr>
          </w:p>
        </w:tc>
        <w:tc>
          <w:tcPr>
            <w:tcW w:w="474" w:type="pct"/>
          </w:tcPr>
          <w:p w14:paraId="1A6FD19D" w14:textId="77777777" w:rsidR="00784E45" w:rsidRPr="00302082" w:rsidRDefault="00784E45" w:rsidP="00E245DF">
            <w:pPr>
              <w:spacing w:after="120"/>
              <w:rPr>
                <w:rFonts w:ascii="Arial" w:hAnsi="Arial" w:cs="Arial"/>
                <w:b/>
              </w:rPr>
            </w:pPr>
          </w:p>
        </w:tc>
      </w:tr>
      <w:tr w:rsidR="00784E45" w:rsidRPr="00757C40" w14:paraId="25627401" w14:textId="77777777" w:rsidTr="008F0C2F">
        <w:tc>
          <w:tcPr>
            <w:tcW w:w="1165" w:type="pct"/>
          </w:tcPr>
          <w:p w14:paraId="17C0E9F6" w14:textId="77777777" w:rsidR="00784E45" w:rsidRPr="007E3FBB" w:rsidRDefault="00784E45" w:rsidP="00E245DF">
            <w:pPr>
              <w:spacing w:after="120"/>
              <w:rPr>
                <w:rFonts w:ascii="Arial" w:hAnsi="Arial" w:cs="Arial"/>
                <w:sz w:val="20"/>
                <w:szCs w:val="20"/>
              </w:rPr>
            </w:pPr>
            <w:r w:rsidRPr="007E3FBB">
              <w:rPr>
                <w:rFonts w:ascii="Arial" w:hAnsi="Arial" w:cs="Arial"/>
                <w:sz w:val="20"/>
                <w:szCs w:val="20"/>
              </w:rPr>
              <w:t>Lectures</w:t>
            </w:r>
          </w:p>
        </w:tc>
        <w:tc>
          <w:tcPr>
            <w:tcW w:w="497" w:type="pct"/>
          </w:tcPr>
          <w:p w14:paraId="41BF88FE"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6BF75A94"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0B5AC599"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345B2C5D"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78" w:type="pct"/>
          </w:tcPr>
          <w:p w14:paraId="28C1C4F4"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2CAD7DF6" w14:textId="77777777" w:rsidR="00784E45" w:rsidRPr="00757C40" w:rsidRDefault="00784E45" w:rsidP="00E245DF">
            <w:pPr>
              <w:spacing w:after="120"/>
              <w:rPr>
                <w:rFonts w:ascii="Arial" w:hAnsi="Arial" w:cs="Arial"/>
                <w:b/>
                <w:color w:val="000000" w:themeColor="text1"/>
              </w:rPr>
            </w:pPr>
            <w:r w:rsidRPr="00270404">
              <w:rPr>
                <w:rFonts w:ascii="Arial" w:hAnsi="Arial" w:cs="Arial"/>
                <w:b/>
                <w:color w:val="000000" w:themeColor="text1"/>
              </w:rPr>
              <w:t>X</w:t>
            </w:r>
          </w:p>
        </w:tc>
        <w:tc>
          <w:tcPr>
            <w:tcW w:w="478" w:type="pct"/>
          </w:tcPr>
          <w:p w14:paraId="16C61E7C" w14:textId="77777777" w:rsidR="00784E45" w:rsidRPr="00757C40" w:rsidRDefault="00784E45" w:rsidP="00E245DF">
            <w:pPr>
              <w:spacing w:after="120"/>
              <w:rPr>
                <w:rFonts w:ascii="Arial" w:hAnsi="Arial" w:cs="Arial"/>
                <w:b/>
                <w:color w:val="000000" w:themeColor="text1"/>
              </w:rPr>
            </w:pPr>
          </w:p>
        </w:tc>
        <w:tc>
          <w:tcPr>
            <w:tcW w:w="474" w:type="pct"/>
          </w:tcPr>
          <w:p w14:paraId="498C45E6" w14:textId="77777777" w:rsidR="00784E45" w:rsidRPr="00757C40" w:rsidRDefault="00784E45" w:rsidP="00E245DF">
            <w:pPr>
              <w:spacing w:after="120"/>
              <w:rPr>
                <w:rFonts w:ascii="Arial" w:hAnsi="Arial" w:cs="Arial"/>
                <w:b/>
                <w:color w:val="000000" w:themeColor="text1"/>
              </w:rPr>
            </w:pPr>
          </w:p>
        </w:tc>
      </w:tr>
      <w:tr w:rsidR="00784E45" w:rsidRPr="00310F47" w14:paraId="40884D6E" w14:textId="77777777" w:rsidTr="008F0C2F">
        <w:tc>
          <w:tcPr>
            <w:tcW w:w="1165" w:type="pct"/>
          </w:tcPr>
          <w:p w14:paraId="4D090FF9" w14:textId="77777777" w:rsidR="00784E45" w:rsidRPr="007E3FBB" w:rsidRDefault="00784E45" w:rsidP="00E245DF">
            <w:pPr>
              <w:spacing w:after="120"/>
              <w:rPr>
                <w:rFonts w:ascii="Arial" w:hAnsi="Arial" w:cs="Arial"/>
                <w:sz w:val="20"/>
                <w:szCs w:val="20"/>
              </w:rPr>
            </w:pPr>
            <w:r w:rsidRPr="007E3FBB">
              <w:rPr>
                <w:rFonts w:ascii="Arial" w:hAnsi="Arial" w:cs="Arial"/>
                <w:sz w:val="20"/>
                <w:szCs w:val="20"/>
              </w:rPr>
              <w:t>Seminars</w:t>
            </w:r>
          </w:p>
        </w:tc>
        <w:tc>
          <w:tcPr>
            <w:tcW w:w="497" w:type="pct"/>
          </w:tcPr>
          <w:p w14:paraId="4A44AF39"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6" w:type="pct"/>
          </w:tcPr>
          <w:p w14:paraId="4802F9F2"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353B8365"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472C824C"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118F77D4"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6" w:type="pct"/>
          </w:tcPr>
          <w:p w14:paraId="47F4A7CD" w14:textId="77777777" w:rsidR="00784E45" w:rsidRPr="00310F47" w:rsidRDefault="00784E45" w:rsidP="00E245DF">
            <w:pPr>
              <w:spacing w:after="120"/>
              <w:rPr>
                <w:rFonts w:ascii="Arial" w:hAnsi="Arial" w:cs="Arial"/>
                <w:b/>
                <w:color w:val="FF0000"/>
              </w:rPr>
            </w:pPr>
            <w:r w:rsidRPr="008C67D8">
              <w:rPr>
                <w:rFonts w:ascii="Arial" w:hAnsi="Arial" w:cs="Arial"/>
                <w:b/>
                <w:color w:val="000000" w:themeColor="text1"/>
              </w:rPr>
              <w:t>X</w:t>
            </w:r>
          </w:p>
        </w:tc>
        <w:tc>
          <w:tcPr>
            <w:tcW w:w="478" w:type="pct"/>
          </w:tcPr>
          <w:p w14:paraId="0FD64EA0" w14:textId="77777777" w:rsidR="00784E45" w:rsidRPr="00310F47" w:rsidRDefault="00784E45" w:rsidP="00E245DF">
            <w:pPr>
              <w:spacing w:after="120"/>
              <w:rPr>
                <w:rFonts w:ascii="Arial" w:hAnsi="Arial" w:cs="Arial"/>
                <w:b/>
                <w:color w:val="FF0000"/>
              </w:rPr>
            </w:pPr>
            <w:r w:rsidRPr="00270404">
              <w:rPr>
                <w:rFonts w:ascii="Arial" w:hAnsi="Arial" w:cs="Arial"/>
                <w:b/>
                <w:color w:val="000000" w:themeColor="text1"/>
              </w:rPr>
              <w:t>X</w:t>
            </w:r>
          </w:p>
        </w:tc>
        <w:tc>
          <w:tcPr>
            <w:tcW w:w="474" w:type="pct"/>
          </w:tcPr>
          <w:p w14:paraId="2B92F9DD" w14:textId="77777777" w:rsidR="00784E45" w:rsidRPr="00310F47" w:rsidRDefault="00784E45" w:rsidP="00E245DF">
            <w:pPr>
              <w:spacing w:after="120"/>
              <w:rPr>
                <w:rFonts w:ascii="Arial" w:hAnsi="Arial" w:cs="Arial"/>
                <w:b/>
                <w:color w:val="FF0000"/>
              </w:rPr>
            </w:pPr>
            <w:r w:rsidRPr="005C5B5C">
              <w:rPr>
                <w:rFonts w:ascii="Arial" w:hAnsi="Arial" w:cs="Arial"/>
                <w:b/>
                <w:color w:val="000000" w:themeColor="text1"/>
              </w:rPr>
              <w:t>X</w:t>
            </w:r>
          </w:p>
        </w:tc>
      </w:tr>
      <w:tr w:rsidR="00784E45" w:rsidRPr="00310F47" w14:paraId="69A5F60B" w14:textId="77777777" w:rsidTr="008F0C2F">
        <w:tc>
          <w:tcPr>
            <w:tcW w:w="1165" w:type="pct"/>
          </w:tcPr>
          <w:p w14:paraId="480F4D00" w14:textId="77777777" w:rsidR="00784E45" w:rsidRPr="00537E30" w:rsidRDefault="00784E45" w:rsidP="00E245DF">
            <w:pPr>
              <w:spacing w:after="120"/>
              <w:rPr>
                <w:rFonts w:ascii="Arial" w:hAnsi="Arial" w:cs="Arial"/>
              </w:rPr>
            </w:pPr>
            <w:r>
              <w:rPr>
                <w:rFonts w:ascii="Arial" w:hAnsi="Arial" w:cs="Arial"/>
                <w:sz w:val="20"/>
                <w:szCs w:val="20"/>
              </w:rPr>
              <w:t>Independent study</w:t>
            </w:r>
          </w:p>
        </w:tc>
        <w:tc>
          <w:tcPr>
            <w:tcW w:w="497" w:type="pct"/>
          </w:tcPr>
          <w:p w14:paraId="2C5FD775"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73D968BC"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7693EE34"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4262F1D"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78" w:type="pct"/>
          </w:tcPr>
          <w:p w14:paraId="67EA2680"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1CD3FAD5" w14:textId="77777777" w:rsidR="00784E45" w:rsidRPr="00310F47" w:rsidRDefault="00784E45" w:rsidP="00E245DF">
            <w:pPr>
              <w:spacing w:after="120"/>
              <w:rPr>
                <w:rFonts w:ascii="Arial" w:hAnsi="Arial" w:cs="Arial"/>
                <w:b/>
                <w:color w:val="FF0000"/>
              </w:rPr>
            </w:pPr>
            <w:r w:rsidRPr="008C67D8">
              <w:rPr>
                <w:rFonts w:ascii="Arial" w:hAnsi="Arial" w:cs="Arial"/>
                <w:b/>
                <w:color w:val="000000" w:themeColor="text1"/>
              </w:rPr>
              <w:t>X</w:t>
            </w:r>
          </w:p>
        </w:tc>
        <w:tc>
          <w:tcPr>
            <w:tcW w:w="478" w:type="pct"/>
          </w:tcPr>
          <w:p w14:paraId="0B4A7A4D"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4" w:type="pct"/>
          </w:tcPr>
          <w:p w14:paraId="434282EF" w14:textId="77777777" w:rsidR="00784E45" w:rsidRPr="00310F47" w:rsidRDefault="00784E45" w:rsidP="00E245DF">
            <w:pPr>
              <w:spacing w:after="120"/>
              <w:rPr>
                <w:rFonts w:ascii="Arial" w:hAnsi="Arial" w:cs="Arial"/>
                <w:b/>
                <w:color w:val="FF0000"/>
              </w:rPr>
            </w:pPr>
          </w:p>
        </w:tc>
      </w:tr>
      <w:tr w:rsidR="00784E45" w:rsidRPr="00302082" w14:paraId="5C9D92A9" w14:textId="77777777" w:rsidTr="008F0C2F">
        <w:tc>
          <w:tcPr>
            <w:tcW w:w="1165" w:type="pct"/>
            <w:shd w:val="clear" w:color="auto" w:fill="D9D9D9" w:themeFill="background1" w:themeFillShade="D9"/>
          </w:tcPr>
          <w:p w14:paraId="1EDD016E" w14:textId="77777777" w:rsidR="00784E45" w:rsidRPr="00302082" w:rsidRDefault="00784E45" w:rsidP="00E245DF">
            <w:pPr>
              <w:spacing w:after="120"/>
              <w:rPr>
                <w:rFonts w:ascii="Arial" w:hAnsi="Arial" w:cs="Arial"/>
                <w:b/>
              </w:rPr>
            </w:pPr>
            <w:r w:rsidRPr="00302082">
              <w:rPr>
                <w:rFonts w:ascii="Arial" w:hAnsi="Arial" w:cs="Arial"/>
                <w:b/>
              </w:rPr>
              <w:t>Assessment method</w:t>
            </w:r>
          </w:p>
        </w:tc>
        <w:tc>
          <w:tcPr>
            <w:tcW w:w="497" w:type="pct"/>
          </w:tcPr>
          <w:p w14:paraId="6E5631F6" w14:textId="77777777" w:rsidR="00784E45" w:rsidRPr="00302082" w:rsidRDefault="00784E45" w:rsidP="00E245DF">
            <w:pPr>
              <w:spacing w:after="120"/>
              <w:rPr>
                <w:rFonts w:ascii="Arial" w:hAnsi="Arial" w:cs="Arial"/>
                <w:b/>
              </w:rPr>
            </w:pPr>
          </w:p>
        </w:tc>
        <w:tc>
          <w:tcPr>
            <w:tcW w:w="476" w:type="pct"/>
          </w:tcPr>
          <w:p w14:paraId="7BC79117" w14:textId="77777777" w:rsidR="00784E45" w:rsidRPr="00302082" w:rsidRDefault="00784E45" w:rsidP="00E245DF">
            <w:pPr>
              <w:spacing w:after="120"/>
              <w:rPr>
                <w:rFonts w:ascii="Arial" w:hAnsi="Arial" w:cs="Arial"/>
                <w:b/>
              </w:rPr>
            </w:pPr>
          </w:p>
        </w:tc>
        <w:tc>
          <w:tcPr>
            <w:tcW w:w="478" w:type="pct"/>
          </w:tcPr>
          <w:p w14:paraId="321620C2" w14:textId="77777777" w:rsidR="00784E45" w:rsidRPr="00302082" w:rsidRDefault="00784E45" w:rsidP="00E245DF">
            <w:pPr>
              <w:spacing w:after="120"/>
              <w:rPr>
                <w:rFonts w:ascii="Arial" w:hAnsi="Arial" w:cs="Arial"/>
                <w:b/>
              </w:rPr>
            </w:pPr>
          </w:p>
        </w:tc>
        <w:tc>
          <w:tcPr>
            <w:tcW w:w="478" w:type="pct"/>
          </w:tcPr>
          <w:p w14:paraId="15F380A1" w14:textId="77777777" w:rsidR="00784E45" w:rsidRPr="00302082" w:rsidRDefault="00784E45" w:rsidP="00E245DF">
            <w:pPr>
              <w:spacing w:after="120"/>
              <w:rPr>
                <w:rFonts w:ascii="Arial" w:hAnsi="Arial" w:cs="Arial"/>
                <w:b/>
              </w:rPr>
            </w:pPr>
          </w:p>
        </w:tc>
        <w:tc>
          <w:tcPr>
            <w:tcW w:w="478" w:type="pct"/>
          </w:tcPr>
          <w:p w14:paraId="399A6546" w14:textId="77777777" w:rsidR="00784E45" w:rsidRPr="00302082" w:rsidRDefault="00784E45" w:rsidP="00E245DF">
            <w:pPr>
              <w:spacing w:after="120"/>
              <w:rPr>
                <w:rFonts w:ascii="Arial" w:hAnsi="Arial" w:cs="Arial"/>
                <w:b/>
              </w:rPr>
            </w:pPr>
          </w:p>
        </w:tc>
        <w:tc>
          <w:tcPr>
            <w:tcW w:w="476" w:type="pct"/>
          </w:tcPr>
          <w:p w14:paraId="732BFE86" w14:textId="77777777" w:rsidR="00784E45" w:rsidRPr="00302082" w:rsidRDefault="00784E45" w:rsidP="00E245DF">
            <w:pPr>
              <w:spacing w:after="120"/>
              <w:rPr>
                <w:rFonts w:ascii="Arial" w:hAnsi="Arial" w:cs="Arial"/>
                <w:b/>
              </w:rPr>
            </w:pPr>
          </w:p>
        </w:tc>
        <w:tc>
          <w:tcPr>
            <w:tcW w:w="478" w:type="pct"/>
          </w:tcPr>
          <w:p w14:paraId="79D0618C" w14:textId="77777777" w:rsidR="00784E45" w:rsidRPr="00302082" w:rsidRDefault="00784E45" w:rsidP="00E245DF">
            <w:pPr>
              <w:spacing w:after="120"/>
              <w:rPr>
                <w:rFonts w:ascii="Arial" w:hAnsi="Arial" w:cs="Arial"/>
                <w:b/>
              </w:rPr>
            </w:pPr>
          </w:p>
        </w:tc>
        <w:tc>
          <w:tcPr>
            <w:tcW w:w="474" w:type="pct"/>
          </w:tcPr>
          <w:p w14:paraId="4A3B3643" w14:textId="77777777" w:rsidR="00784E45" w:rsidRPr="00302082" w:rsidRDefault="00784E45" w:rsidP="00E245DF">
            <w:pPr>
              <w:spacing w:after="120"/>
              <w:rPr>
                <w:rFonts w:ascii="Arial" w:hAnsi="Arial" w:cs="Arial"/>
                <w:b/>
              </w:rPr>
            </w:pPr>
          </w:p>
        </w:tc>
      </w:tr>
      <w:tr w:rsidR="00784E45" w:rsidRPr="00757C40" w14:paraId="12EB7CC1" w14:textId="77777777" w:rsidTr="008F0C2F">
        <w:tc>
          <w:tcPr>
            <w:tcW w:w="1165" w:type="pct"/>
          </w:tcPr>
          <w:p w14:paraId="241053EF" w14:textId="0930DFDB" w:rsidR="00784E45" w:rsidRPr="00B5569F" w:rsidRDefault="00784E45" w:rsidP="00784E45">
            <w:pPr>
              <w:spacing w:after="120"/>
              <w:rPr>
                <w:rFonts w:ascii="Arial" w:hAnsi="Arial" w:cs="Arial"/>
              </w:rPr>
            </w:pPr>
            <w:r>
              <w:rPr>
                <w:rFonts w:ascii="Arial" w:hAnsi="Arial" w:cs="Arial"/>
                <w:sz w:val="20"/>
                <w:szCs w:val="20"/>
              </w:rPr>
              <w:t xml:space="preserve">Examination </w:t>
            </w:r>
          </w:p>
        </w:tc>
        <w:tc>
          <w:tcPr>
            <w:tcW w:w="497" w:type="pct"/>
          </w:tcPr>
          <w:p w14:paraId="7C73A31B"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7B452D6E"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7ECC116"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40B820AA"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72C9F205"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4856A8F8"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8" w:type="pct"/>
          </w:tcPr>
          <w:p w14:paraId="3F9D1560"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4" w:type="pct"/>
          </w:tcPr>
          <w:p w14:paraId="0849D134" w14:textId="77777777" w:rsidR="00784E45" w:rsidRPr="00757C40" w:rsidRDefault="00784E45" w:rsidP="00E245DF">
            <w:pPr>
              <w:spacing w:after="120"/>
              <w:rPr>
                <w:rFonts w:ascii="Arial" w:hAnsi="Arial" w:cs="Arial"/>
                <w:b/>
                <w:color w:val="000000" w:themeColor="text1"/>
              </w:rPr>
            </w:pPr>
          </w:p>
        </w:tc>
      </w:tr>
      <w:tr w:rsidR="00784E45" w:rsidRPr="00757C40" w14:paraId="5A480957" w14:textId="77777777" w:rsidTr="008F0C2F">
        <w:tc>
          <w:tcPr>
            <w:tcW w:w="1165" w:type="pct"/>
          </w:tcPr>
          <w:p w14:paraId="6F1DA8D0" w14:textId="06B210D7" w:rsidR="00784E45" w:rsidRPr="00B5569F" w:rsidRDefault="00784E45" w:rsidP="00784E45">
            <w:pPr>
              <w:spacing w:after="120"/>
              <w:rPr>
                <w:rFonts w:ascii="Arial" w:hAnsi="Arial" w:cs="Arial"/>
              </w:rPr>
            </w:pPr>
            <w:r>
              <w:rPr>
                <w:rFonts w:ascii="Arial" w:hAnsi="Arial" w:cs="Arial"/>
                <w:sz w:val="20"/>
                <w:szCs w:val="20"/>
              </w:rPr>
              <w:t xml:space="preserve">Group Project </w:t>
            </w:r>
          </w:p>
        </w:tc>
        <w:tc>
          <w:tcPr>
            <w:tcW w:w="497" w:type="pct"/>
          </w:tcPr>
          <w:p w14:paraId="044A738F"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373FD5EB"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6FE6F37"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09FD5877"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57378BA5"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08F51E8C" w14:textId="77777777" w:rsidR="00784E45" w:rsidRPr="00757C40" w:rsidRDefault="00784E45" w:rsidP="00E245DF">
            <w:pPr>
              <w:spacing w:after="120"/>
              <w:rPr>
                <w:rFonts w:ascii="Arial" w:hAnsi="Arial" w:cs="Arial"/>
                <w:b/>
                <w:color w:val="000000" w:themeColor="text1"/>
              </w:rPr>
            </w:pPr>
            <w:r w:rsidRPr="008C67D8">
              <w:rPr>
                <w:rFonts w:ascii="Arial" w:hAnsi="Arial" w:cs="Arial"/>
                <w:b/>
                <w:color w:val="000000" w:themeColor="text1"/>
              </w:rPr>
              <w:t>X</w:t>
            </w:r>
          </w:p>
        </w:tc>
        <w:tc>
          <w:tcPr>
            <w:tcW w:w="478" w:type="pct"/>
          </w:tcPr>
          <w:p w14:paraId="3EA1A006"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4" w:type="pct"/>
          </w:tcPr>
          <w:p w14:paraId="5984E4BD"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5CA25FE4" w14:textId="77777777" w:rsidR="00784E45" w:rsidRPr="00784E45" w:rsidRDefault="00784E45" w:rsidP="00784E45">
      <w:pPr>
        <w:pStyle w:val="ListParagraph"/>
        <w:autoSpaceDE w:val="0"/>
        <w:autoSpaceDN w:val="0"/>
        <w:adjustRightInd w:val="0"/>
        <w:spacing w:after="120" w:line="240" w:lineRule="auto"/>
        <w:ind w:left="567" w:right="261"/>
        <w:jc w:val="both"/>
        <w:rPr>
          <w:rFonts w:ascii="Arial" w:hAnsi="Arial" w:cs="Arial"/>
        </w:rPr>
      </w:pPr>
      <w:r w:rsidRPr="00784E45">
        <w:rPr>
          <w:rFonts w:ascii="Arial" w:hAnsi="Arial" w:cs="Arial"/>
        </w:rPr>
        <w:t>Internationalisation is formally reflected in subject specific learning outcomes for the module which include to: appreciate the commercial and ethical challenges of marketing decision-making in domestic and international business environments. In addition, the module will extensively use examples of international companies in lectures and seminar.</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4E45" w:rsidRPr="00302082" w14:paraId="07085151" w14:textId="77777777" w:rsidTr="00694309">
        <w:trPr>
          <w:trHeight w:val="305"/>
        </w:trPr>
        <w:tc>
          <w:tcPr>
            <w:tcW w:w="1526" w:type="dxa"/>
          </w:tcPr>
          <w:p w14:paraId="3A16B3FC" w14:textId="7A61BFA2" w:rsidR="00784E45" w:rsidRPr="00506EEA" w:rsidRDefault="00784E45" w:rsidP="00784E45">
            <w:pPr>
              <w:spacing w:after="120"/>
              <w:ind w:right="-330"/>
              <w:rPr>
                <w:rFonts w:ascii="Arial" w:hAnsi="Arial" w:cs="Arial"/>
              </w:rPr>
            </w:pPr>
            <w:r>
              <w:rPr>
                <w:rFonts w:ascii="Arial" w:hAnsi="Arial" w:cs="Arial"/>
              </w:rPr>
              <w:t>03/10/17</w:t>
            </w:r>
          </w:p>
        </w:tc>
        <w:tc>
          <w:tcPr>
            <w:tcW w:w="1701" w:type="dxa"/>
          </w:tcPr>
          <w:p w14:paraId="1403AEBB" w14:textId="13019DC5" w:rsidR="00784E45" w:rsidRPr="00506EEA" w:rsidRDefault="00784E45" w:rsidP="00784E45">
            <w:pPr>
              <w:spacing w:after="120"/>
              <w:ind w:right="-330"/>
              <w:rPr>
                <w:rFonts w:ascii="Arial" w:hAnsi="Arial" w:cs="Arial"/>
              </w:rPr>
            </w:pPr>
            <w:r>
              <w:rPr>
                <w:rFonts w:ascii="Arial" w:hAnsi="Arial" w:cs="Arial"/>
              </w:rPr>
              <w:t>Major</w:t>
            </w:r>
          </w:p>
        </w:tc>
        <w:tc>
          <w:tcPr>
            <w:tcW w:w="2410" w:type="dxa"/>
          </w:tcPr>
          <w:p w14:paraId="6C52E9CA" w14:textId="400E420B" w:rsidR="00784E45" w:rsidRPr="00506EEA" w:rsidRDefault="00784E45" w:rsidP="00784E45">
            <w:pPr>
              <w:spacing w:after="120"/>
              <w:ind w:right="-330"/>
              <w:rPr>
                <w:rFonts w:ascii="Arial" w:hAnsi="Arial" w:cs="Arial"/>
              </w:rPr>
            </w:pPr>
            <w:r>
              <w:rPr>
                <w:rFonts w:ascii="Arial" w:hAnsi="Arial" w:cs="Arial"/>
              </w:rPr>
              <w:t>January 2018</w:t>
            </w:r>
          </w:p>
        </w:tc>
        <w:tc>
          <w:tcPr>
            <w:tcW w:w="2448" w:type="dxa"/>
          </w:tcPr>
          <w:p w14:paraId="43DFCA84" w14:textId="7E0871AA" w:rsidR="00784E45" w:rsidRPr="00506EEA" w:rsidRDefault="00784E45" w:rsidP="00784E45">
            <w:pPr>
              <w:spacing w:after="120"/>
              <w:ind w:right="-330"/>
              <w:rPr>
                <w:rFonts w:ascii="Arial" w:hAnsi="Arial" w:cs="Arial"/>
              </w:rPr>
            </w:pPr>
            <w:r>
              <w:rPr>
                <w:rFonts w:ascii="Arial" w:hAnsi="Arial" w:cs="Arial"/>
              </w:rPr>
              <w:t>12,13</w:t>
            </w:r>
          </w:p>
        </w:tc>
        <w:tc>
          <w:tcPr>
            <w:tcW w:w="2597" w:type="dxa"/>
          </w:tcPr>
          <w:p w14:paraId="7B690596" w14:textId="24FD8683" w:rsidR="00784E45" w:rsidRPr="00506EEA" w:rsidRDefault="00784E45" w:rsidP="00784E45">
            <w:pPr>
              <w:spacing w:after="120"/>
              <w:ind w:right="-330"/>
              <w:rPr>
                <w:rFonts w:ascii="Arial" w:hAnsi="Arial" w:cs="Arial"/>
              </w:rPr>
            </w:pPr>
            <w:r>
              <w:rPr>
                <w:rFonts w:ascii="Arial" w:hAnsi="Arial" w:cs="Arial"/>
              </w:rPr>
              <w:t>No</w:t>
            </w:r>
          </w:p>
        </w:tc>
      </w:tr>
      <w:tr w:rsidR="00784E45" w:rsidRPr="00302082" w14:paraId="647DDE06" w14:textId="77777777" w:rsidTr="00694309">
        <w:trPr>
          <w:trHeight w:val="305"/>
        </w:trPr>
        <w:tc>
          <w:tcPr>
            <w:tcW w:w="1526" w:type="dxa"/>
          </w:tcPr>
          <w:p w14:paraId="652453C9" w14:textId="77777777" w:rsidR="00784E45" w:rsidRPr="00302082" w:rsidRDefault="00784E45" w:rsidP="00784E45">
            <w:pPr>
              <w:spacing w:after="120"/>
              <w:ind w:right="-330"/>
              <w:rPr>
                <w:rFonts w:ascii="Arial" w:hAnsi="Arial" w:cs="Arial"/>
              </w:rPr>
            </w:pPr>
          </w:p>
        </w:tc>
        <w:tc>
          <w:tcPr>
            <w:tcW w:w="1701" w:type="dxa"/>
          </w:tcPr>
          <w:p w14:paraId="3DAF2B2C" w14:textId="77777777" w:rsidR="00784E45" w:rsidRPr="00302082" w:rsidRDefault="00784E45" w:rsidP="00784E45">
            <w:pPr>
              <w:spacing w:after="120"/>
              <w:ind w:right="-330"/>
              <w:rPr>
                <w:rFonts w:ascii="Arial" w:hAnsi="Arial" w:cs="Arial"/>
              </w:rPr>
            </w:pPr>
          </w:p>
        </w:tc>
        <w:tc>
          <w:tcPr>
            <w:tcW w:w="2410" w:type="dxa"/>
          </w:tcPr>
          <w:p w14:paraId="04181912" w14:textId="77777777" w:rsidR="00784E45" w:rsidRPr="00302082" w:rsidRDefault="00784E45" w:rsidP="00784E45">
            <w:pPr>
              <w:spacing w:after="120"/>
              <w:ind w:right="-330"/>
              <w:rPr>
                <w:rFonts w:ascii="Arial" w:hAnsi="Arial" w:cs="Arial"/>
              </w:rPr>
            </w:pPr>
          </w:p>
        </w:tc>
        <w:tc>
          <w:tcPr>
            <w:tcW w:w="2448" w:type="dxa"/>
          </w:tcPr>
          <w:p w14:paraId="2B86721A" w14:textId="77777777" w:rsidR="00784E45" w:rsidRPr="00302082" w:rsidRDefault="00784E45" w:rsidP="00784E45">
            <w:pPr>
              <w:spacing w:after="120"/>
              <w:ind w:right="-330"/>
              <w:rPr>
                <w:rFonts w:ascii="Arial" w:hAnsi="Arial" w:cs="Arial"/>
              </w:rPr>
            </w:pPr>
          </w:p>
        </w:tc>
        <w:tc>
          <w:tcPr>
            <w:tcW w:w="2597" w:type="dxa"/>
          </w:tcPr>
          <w:p w14:paraId="5FD40983" w14:textId="77777777" w:rsidR="00784E45" w:rsidRPr="00302082" w:rsidRDefault="00784E45" w:rsidP="00784E4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211C2D86" w:rsidR="008B2543" w:rsidRDefault="0019787E" w:rsidP="009A2D37">
        <w:pPr>
          <w:pStyle w:val="Footer"/>
          <w:jc w:val="center"/>
        </w:pPr>
        <w:r>
          <w:fldChar w:fldCharType="begin"/>
        </w:r>
        <w:r>
          <w:instrText xml:space="preserve"> PAGE   \* MERGEFORMAT </w:instrText>
        </w:r>
        <w:r>
          <w:fldChar w:fldCharType="separate"/>
        </w:r>
        <w:r w:rsidR="00C03D1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6"/>
  </w:num>
  <w:num w:numId="6">
    <w:abstractNumId w:val="13"/>
  </w:num>
  <w:num w:numId="7">
    <w:abstractNumId w:val="19"/>
  </w:num>
  <w:num w:numId="8">
    <w:abstractNumId w:val="15"/>
  </w:num>
  <w:num w:numId="9">
    <w:abstractNumId w:val="8"/>
  </w:num>
  <w:num w:numId="10">
    <w:abstractNumId w:val="17"/>
  </w:num>
  <w:num w:numId="11">
    <w:abstractNumId w:val="9"/>
  </w:num>
  <w:num w:numId="12">
    <w:abstractNumId w:val="18"/>
  </w:num>
  <w:num w:numId="13">
    <w:abstractNumId w:val="3"/>
  </w:num>
  <w:num w:numId="14">
    <w:abstractNumId w:val="1"/>
  </w:num>
  <w:num w:numId="15">
    <w:abstractNumId w:val="10"/>
  </w:num>
  <w:num w:numId="16">
    <w:abstractNumId w:val="20"/>
  </w:num>
  <w:num w:numId="17">
    <w:abstractNumId w:val="11"/>
  </w:num>
  <w:num w:numId="18">
    <w:abstractNumId w:val="14"/>
  </w:num>
  <w:num w:numId="19">
    <w:abstractNumId w:val="1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0C2F"/>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01B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3D1D"/>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896"/>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045F-7076-4E3D-BC8A-924119594A24}">
  <ds:schemaRefs>
    <ds:schemaRef ds:uri="http://schemas.microsoft.com/sharepoint/v3/contenttype/forms"/>
  </ds:schemaRefs>
</ds:datastoreItem>
</file>

<file path=customXml/itemProps2.xml><?xml version="1.0" encoding="utf-8"?>
<ds:datastoreItem xmlns:ds="http://schemas.openxmlformats.org/officeDocument/2006/customXml" ds:itemID="{E652C0CD-C719-474C-A57A-B85F9DD28946}">
  <ds:schemaRefs>
    <ds:schemaRef ds:uri="http://purl.org/dc/terms/"/>
    <ds:schemaRef ds:uri="ef2b9e05-657a-4dc1-8c6c-679bdea18f38"/>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B0E7ECD-2694-4634-A275-3C06C3ED5CF3}"/>
</file>

<file path=customXml/itemProps4.xml><?xml version="1.0" encoding="utf-8"?>
<ds:datastoreItem xmlns:ds="http://schemas.openxmlformats.org/officeDocument/2006/customXml" ds:itemID="{5A3909E2-7625-4AE0-8848-A15484CC474B}">
  <ds:schemaRefs>
    <ds:schemaRef ds:uri="http://schemas.microsoft.com/sharepoint/events"/>
  </ds:schemaRefs>
</ds:datastoreItem>
</file>

<file path=customXml/itemProps5.xml><?xml version="1.0" encoding="utf-8"?>
<ds:datastoreItem xmlns:ds="http://schemas.openxmlformats.org/officeDocument/2006/customXml" ds:itemID="{65462297-B235-4E38-8256-72C93FB0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2018-02-26T14:47:00Z</dcterms:created>
  <dcterms:modified xsi:type="dcterms:W3CDTF">2018-02-26T14:47:00Z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c32b94e3-3d1a-47c4-bb8a-80aa90233538</vt:lpwstr>
  </property>
</Properties>
</file>