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09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C4A874" w14:textId="384DF67B" w:rsidR="00154D48" w:rsidRPr="00154D48" w:rsidRDefault="005F1730" w:rsidP="00154D48">
      <w:pPr>
        <w:spacing w:after="120" w:line="240" w:lineRule="auto"/>
        <w:ind w:left="567" w:right="260"/>
        <w:jc w:val="both"/>
        <w:rPr>
          <w:rFonts w:ascii="Arial" w:hAnsi="Arial" w:cs="Arial"/>
        </w:rPr>
      </w:pPr>
      <w:bookmarkStart w:id="0" w:name="_GoBack"/>
      <w:r>
        <w:rPr>
          <w:rFonts w:ascii="Arial" w:hAnsi="Arial" w:cs="Arial"/>
        </w:rPr>
        <w:t>RS</w:t>
      </w:r>
      <w:r w:rsidR="00C92449">
        <w:rPr>
          <w:rFonts w:ascii="Arial" w:hAnsi="Arial" w:cs="Arial"/>
        </w:rPr>
        <w:t xml:space="preserve">ST6110/RSST6120 (TH611/TH612) </w:t>
      </w:r>
      <w:proofErr w:type="gramStart"/>
      <w:r>
        <w:rPr>
          <w:rFonts w:ascii="Arial" w:hAnsi="Arial" w:cs="Arial"/>
        </w:rPr>
        <w:t>The</w:t>
      </w:r>
      <w:proofErr w:type="gramEnd"/>
      <w:r>
        <w:rPr>
          <w:rFonts w:ascii="Arial" w:hAnsi="Arial" w:cs="Arial"/>
        </w:rPr>
        <w:t xml:space="preserve"> Sacred in Contemporary Society</w:t>
      </w:r>
    </w:p>
    <w:bookmarkEnd w:id="0"/>
    <w:p w14:paraId="787F37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15C1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EE716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6684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F1730">
        <w:rPr>
          <w:rFonts w:ascii="Arial" w:hAnsi="Arial" w:cs="Arial"/>
          <w:iCs/>
        </w:rPr>
        <w:t>5 (RSST6110) and Level 6 (RSST6120)</w:t>
      </w:r>
    </w:p>
    <w:p w14:paraId="21F0E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9DA49E" w14:textId="77777777" w:rsidR="00154D48" w:rsidRPr="00154D48" w:rsidRDefault="005F1730" w:rsidP="00154D48">
      <w:pPr>
        <w:spacing w:after="120" w:line="240" w:lineRule="auto"/>
        <w:ind w:left="567" w:right="260"/>
        <w:rPr>
          <w:rFonts w:ascii="Arial" w:hAnsi="Arial" w:cs="Arial"/>
        </w:rPr>
      </w:pPr>
      <w:r>
        <w:rPr>
          <w:rFonts w:ascii="Arial" w:hAnsi="Arial" w:cs="Arial"/>
        </w:rPr>
        <w:t>30 Credits (15 ECTS)</w:t>
      </w:r>
    </w:p>
    <w:p w14:paraId="64C10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B82D70"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B417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E70C1F"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None</w:t>
      </w:r>
    </w:p>
    <w:p w14:paraId="30C8EC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2AE7EF" w14:textId="77777777" w:rsidR="00154D48" w:rsidRDefault="005F1730"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34107093" w14:textId="77777777" w:rsidR="005F1730" w:rsidRPr="00154D48" w:rsidRDefault="005F1730" w:rsidP="00154D48">
      <w:pPr>
        <w:spacing w:after="120" w:line="240" w:lineRule="auto"/>
        <w:ind w:left="567" w:right="260"/>
        <w:rPr>
          <w:rFonts w:ascii="Arial" w:hAnsi="Arial" w:cs="Arial"/>
          <w:iCs/>
        </w:rPr>
      </w:pPr>
      <w:r>
        <w:rPr>
          <w:rFonts w:ascii="Arial" w:hAnsi="Arial" w:cs="Arial"/>
          <w:iCs/>
        </w:rPr>
        <w:t>Also available as a ‘Wild’ module</w:t>
      </w:r>
    </w:p>
    <w:p w14:paraId="75BB8C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3707D179"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8.1</w:t>
      </w:r>
      <w:r w:rsidRPr="005F1730">
        <w:rPr>
          <w:rFonts w:ascii="Arial" w:hAnsi="Arial" w:cs="Arial"/>
        </w:rPr>
        <w:tab/>
      </w:r>
      <w:r>
        <w:rPr>
          <w:rFonts w:ascii="Arial" w:hAnsi="Arial" w:cs="Arial"/>
        </w:rPr>
        <w:t xml:space="preserve">Demonstrate </w:t>
      </w:r>
      <w:r w:rsidRPr="005F1730">
        <w:rPr>
          <w:rFonts w:ascii="Arial" w:hAnsi="Arial" w:cs="Arial"/>
        </w:rPr>
        <w:t>critical</w:t>
      </w:r>
      <w:r>
        <w:rPr>
          <w:rFonts w:ascii="Arial" w:hAnsi="Arial" w:cs="Arial"/>
        </w:rPr>
        <w:t xml:space="preserve"> understanding of</w:t>
      </w:r>
      <w:r w:rsidRPr="005F1730">
        <w:rPr>
          <w:rFonts w:ascii="Arial" w:hAnsi="Arial" w:cs="Arial"/>
        </w:rPr>
        <w:t xml:space="preserve"> the differences between ontological and cultural theories of the sacred</w:t>
      </w:r>
      <w:r>
        <w:rPr>
          <w:rFonts w:ascii="Arial" w:hAnsi="Arial" w:cs="Arial"/>
        </w:rPr>
        <w:t>;</w:t>
      </w:r>
    </w:p>
    <w:p w14:paraId="41FBE3B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2</w:t>
      </w:r>
      <w:r w:rsidRPr="005F1730">
        <w:rPr>
          <w:rFonts w:ascii="Arial" w:hAnsi="Arial" w:cs="Arial"/>
        </w:rPr>
        <w:tab/>
      </w:r>
      <w:r>
        <w:rPr>
          <w:rFonts w:ascii="Arial" w:hAnsi="Arial" w:cs="Arial"/>
        </w:rPr>
        <w:t>S</w:t>
      </w:r>
      <w:r w:rsidRPr="005F1730">
        <w:rPr>
          <w:rFonts w:ascii="Arial" w:hAnsi="Arial" w:cs="Arial"/>
        </w:rPr>
        <w:t>ituate cultural theories of the sacred within broader forms of cultural theory (e.g. cultural sociology)</w:t>
      </w:r>
      <w:r>
        <w:rPr>
          <w:rFonts w:ascii="Arial" w:hAnsi="Arial" w:cs="Arial"/>
        </w:rPr>
        <w:t>;</w:t>
      </w:r>
    </w:p>
    <w:p w14:paraId="775B349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3</w:t>
      </w:r>
      <w:r w:rsidRPr="005F1730">
        <w:rPr>
          <w:rFonts w:ascii="Arial" w:hAnsi="Arial" w:cs="Arial"/>
        </w:rPr>
        <w:tab/>
      </w:r>
      <w:r>
        <w:rPr>
          <w:rFonts w:ascii="Arial" w:hAnsi="Arial" w:cs="Arial"/>
        </w:rPr>
        <w:t>E</w:t>
      </w:r>
      <w:r w:rsidRPr="005F1730">
        <w:rPr>
          <w:rFonts w:ascii="Arial" w:hAnsi="Arial" w:cs="Arial"/>
        </w:rPr>
        <w:t>ngage critically with key cultural theorists of the sacred, demonstrating a clear understanding of their work, an ability to articulate a balanced and well-informed critique of it, and an ability to use their concepts, where appropriate, to relevant social and cultural phenomena</w:t>
      </w:r>
      <w:r>
        <w:rPr>
          <w:rFonts w:ascii="Arial" w:hAnsi="Arial" w:cs="Arial"/>
        </w:rPr>
        <w:t>;</w:t>
      </w:r>
    </w:p>
    <w:p w14:paraId="00FCD07C" w14:textId="77777777" w:rsidR="00154D48"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4</w:t>
      </w:r>
      <w:r w:rsidRPr="005F1730">
        <w:rPr>
          <w:rFonts w:ascii="Arial" w:hAnsi="Arial" w:cs="Arial"/>
        </w:rPr>
        <w:tab/>
      </w:r>
      <w:r>
        <w:rPr>
          <w:rFonts w:ascii="Arial" w:hAnsi="Arial" w:cs="Arial"/>
        </w:rPr>
        <w:t>P</w:t>
      </w:r>
      <w:r w:rsidRPr="005F1730">
        <w:rPr>
          <w:rFonts w:ascii="Arial" w:hAnsi="Arial" w:cs="Arial"/>
        </w:rPr>
        <w:t>rovide balanced and well-evidenced arguments on whether a particular contemporary cultural phenomenon can be appropriately understood in sacred terms, as well as what this suggests about the nature of the sacred as a cultural structure</w:t>
      </w:r>
      <w:r>
        <w:rPr>
          <w:rFonts w:ascii="Arial" w:hAnsi="Arial" w:cs="Arial"/>
        </w:rPr>
        <w:t>.</w:t>
      </w:r>
    </w:p>
    <w:p w14:paraId="7DD6D9DE" w14:textId="77777777" w:rsidR="005F1730" w:rsidRDefault="005F1730" w:rsidP="005F1730">
      <w:pPr>
        <w:spacing w:after="120" w:line="240" w:lineRule="auto"/>
        <w:ind w:left="550" w:right="260"/>
        <w:rPr>
          <w:rFonts w:ascii="Arial" w:hAnsi="Arial" w:cs="Arial"/>
        </w:rPr>
      </w:pPr>
      <w:r w:rsidRPr="005F1730">
        <w:rPr>
          <w:rFonts w:ascii="Arial" w:hAnsi="Arial" w:cs="Arial"/>
          <w:b/>
        </w:rPr>
        <w:t xml:space="preserve">On successfully completing the module Level </w:t>
      </w:r>
      <w:r>
        <w:rPr>
          <w:rFonts w:ascii="Arial" w:hAnsi="Arial" w:cs="Arial"/>
          <w:b/>
        </w:rPr>
        <w:t>6</w:t>
      </w:r>
      <w:r w:rsidRPr="005F1730">
        <w:rPr>
          <w:rFonts w:ascii="Arial" w:hAnsi="Arial" w:cs="Arial"/>
          <w:b/>
        </w:rPr>
        <w:t xml:space="preserve"> students will be able to:</w:t>
      </w:r>
    </w:p>
    <w:p w14:paraId="36711C07"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8.5</w:t>
      </w:r>
      <w:r w:rsidRPr="005F1730">
        <w:rPr>
          <w:rFonts w:ascii="Arial" w:hAnsi="Arial" w:cs="Arial"/>
        </w:rPr>
        <w:tab/>
      </w:r>
      <w:r>
        <w:rPr>
          <w:rFonts w:ascii="Arial" w:hAnsi="Arial" w:cs="Arial"/>
        </w:rPr>
        <w:t>D</w:t>
      </w:r>
      <w:r w:rsidRPr="005F1730">
        <w:rPr>
          <w:rFonts w:ascii="Arial" w:hAnsi="Arial" w:cs="Arial"/>
        </w:rPr>
        <w:t>emonstrate a critical appreciation of differences between ontological and cultural theories of the sacred in ways that connect systematically with broader theoretical debates in the study of religion</w:t>
      </w:r>
      <w:r>
        <w:rPr>
          <w:rFonts w:ascii="Arial" w:hAnsi="Arial" w:cs="Arial"/>
        </w:rPr>
        <w:t>;</w:t>
      </w:r>
    </w:p>
    <w:p w14:paraId="2C4CF9A8"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8.6</w:t>
      </w:r>
      <w:r w:rsidRPr="005F1730">
        <w:rPr>
          <w:rFonts w:ascii="Arial" w:hAnsi="Arial" w:cs="Arial"/>
        </w:rPr>
        <w:tab/>
      </w:r>
      <w:r>
        <w:rPr>
          <w:rFonts w:ascii="Arial" w:hAnsi="Arial" w:cs="Arial"/>
        </w:rPr>
        <w:t>M</w:t>
      </w:r>
      <w:r w:rsidRPr="005F1730">
        <w:rPr>
          <w:rFonts w:ascii="Arial" w:hAnsi="Arial" w:cs="Arial"/>
        </w:rPr>
        <w:t>ake appropriate use of wider forms of cultural theory (e.g. cultural sociology) to develop nuanced analyses of the nature and significance of the sacred and the profane in the social and cultural conditions of modernity</w:t>
      </w:r>
      <w:r>
        <w:rPr>
          <w:rFonts w:ascii="Arial" w:hAnsi="Arial" w:cs="Arial"/>
        </w:rPr>
        <w:t>;</w:t>
      </w:r>
    </w:p>
    <w:p w14:paraId="201275F4"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8.7</w:t>
      </w:r>
      <w:r w:rsidRPr="005F1730">
        <w:rPr>
          <w:rFonts w:ascii="Arial" w:hAnsi="Arial" w:cs="Arial"/>
        </w:rPr>
        <w:tab/>
      </w:r>
      <w:r>
        <w:rPr>
          <w:rFonts w:ascii="Arial" w:hAnsi="Arial" w:cs="Arial"/>
        </w:rPr>
        <w:t>E</w:t>
      </w:r>
      <w:r w:rsidRPr="005F1730">
        <w:rPr>
          <w:rFonts w:ascii="Arial" w:hAnsi="Arial" w:cs="Arial"/>
        </w:rPr>
        <w:t>ngage critically with the leading edge of work on the cultural study of the sacred and reflect on its specific strengths and limitations in providing a theoretical framework for analysing contemporary social and cultural life</w:t>
      </w:r>
      <w:r>
        <w:rPr>
          <w:rFonts w:ascii="Arial" w:hAnsi="Arial" w:cs="Arial"/>
        </w:rPr>
        <w:t>;</w:t>
      </w:r>
    </w:p>
    <w:p w14:paraId="7F43D5E6" w14:textId="77777777" w:rsidR="005F1730" w:rsidRPr="00154D48" w:rsidRDefault="005F1730" w:rsidP="005F1730">
      <w:pPr>
        <w:spacing w:after="120" w:line="240" w:lineRule="auto"/>
        <w:ind w:left="1430" w:right="260" w:hanging="550"/>
        <w:jc w:val="both"/>
        <w:rPr>
          <w:rFonts w:ascii="Arial" w:hAnsi="Arial" w:cs="Arial"/>
        </w:rPr>
      </w:pPr>
      <w:r>
        <w:rPr>
          <w:rFonts w:ascii="Arial" w:hAnsi="Arial" w:cs="Arial"/>
        </w:rPr>
        <w:t>8.8</w:t>
      </w:r>
      <w:r w:rsidRPr="005F1730">
        <w:rPr>
          <w:rFonts w:ascii="Arial" w:hAnsi="Arial" w:cs="Arial"/>
        </w:rPr>
        <w:tab/>
      </w:r>
      <w:r>
        <w:rPr>
          <w:rFonts w:ascii="Arial" w:hAnsi="Arial" w:cs="Arial"/>
        </w:rPr>
        <w:t xml:space="preserve">Demonstrate </w:t>
      </w:r>
      <w:r w:rsidRPr="005F1730">
        <w:rPr>
          <w:rFonts w:ascii="Arial" w:hAnsi="Arial" w:cs="Arial"/>
        </w:rPr>
        <w:t>understand</w:t>
      </w:r>
      <w:r>
        <w:rPr>
          <w:rFonts w:ascii="Arial" w:hAnsi="Arial" w:cs="Arial"/>
        </w:rPr>
        <w:t>ing</w:t>
      </w:r>
      <w:r w:rsidRPr="005F1730">
        <w:rPr>
          <w:rFonts w:ascii="Arial" w:hAnsi="Arial" w:cs="Arial"/>
        </w:rPr>
        <w:t xml:space="preserve"> and make use of methodological approaches used by leading theorists of the cultural study of the sacred in ways that both establish their value and limitations for understanding a contemporary cultural phenomenon in terms of the sacred and the profane, as well as the value and limitations of particular methodological approaches more generally</w:t>
      </w:r>
      <w:r>
        <w:rPr>
          <w:rFonts w:ascii="Arial" w:hAnsi="Arial" w:cs="Arial"/>
        </w:rPr>
        <w:t>.</w:t>
      </w:r>
    </w:p>
    <w:p w14:paraId="6871C4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6F901F16"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lastRenderedPageBreak/>
        <w:t>9.1</w:t>
      </w:r>
      <w:r w:rsidRPr="005F1730">
        <w:rPr>
          <w:color w:val="auto"/>
          <w:sz w:val="22"/>
          <w:szCs w:val="22"/>
        </w:rPr>
        <w:tab/>
      </w:r>
      <w:r>
        <w:rPr>
          <w:color w:val="auto"/>
          <w:sz w:val="22"/>
          <w:szCs w:val="22"/>
        </w:rPr>
        <w:t>D</w:t>
      </w:r>
      <w:r w:rsidRPr="005F1730">
        <w:rPr>
          <w:color w:val="auto"/>
          <w:sz w:val="22"/>
          <w:szCs w:val="22"/>
        </w:rPr>
        <w:t>emonstrate a clear understanding of relevant literature</w:t>
      </w:r>
      <w:r>
        <w:rPr>
          <w:color w:val="auto"/>
          <w:sz w:val="22"/>
          <w:szCs w:val="22"/>
        </w:rPr>
        <w:t>;</w:t>
      </w:r>
    </w:p>
    <w:p w14:paraId="0705725A"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9.2</w:t>
      </w:r>
      <w:r w:rsidRPr="005F1730">
        <w:rPr>
          <w:color w:val="auto"/>
          <w:sz w:val="22"/>
          <w:szCs w:val="22"/>
        </w:rPr>
        <w:tab/>
      </w:r>
      <w:r>
        <w:rPr>
          <w:color w:val="auto"/>
          <w:sz w:val="22"/>
          <w:szCs w:val="22"/>
        </w:rPr>
        <w:t>I</w:t>
      </w:r>
      <w:r w:rsidRPr="005F1730">
        <w:rPr>
          <w:color w:val="auto"/>
          <w:sz w:val="22"/>
          <w:szCs w:val="22"/>
        </w:rPr>
        <w:t>dentify and critically evaluate sources relevant to a particular theory or debate</w:t>
      </w:r>
      <w:r>
        <w:rPr>
          <w:color w:val="auto"/>
          <w:sz w:val="22"/>
          <w:szCs w:val="22"/>
        </w:rPr>
        <w:t>;</w:t>
      </w:r>
    </w:p>
    <w:p w14:paraId="770094C6" w14:textId="77777777" w:rsidR="00154D48" w:rsidRDefault="005F1730" w:rsidP="005F1730">
      <w:pPr>
        <w:pStyle w:val="Default"/>
        <w:spacing w:after="120"/>
        <w:ind w:left="1430" w:right="260" w:hanging="550"/>
        <w:jc w:val="both"/>
        <w:rPr>
          <w:color w:val="auto"/>
          <w:sz w:val="22"/>
          <w:szCs w:val="22"/>
        </w:rPr>
      </w:pPr>
      <w:r>
        <w:rPr>
          <w:color w:val="auto"/>
          <w:sz w:val="22"/>
          <w:szCs w:val="22"/>
        </w:rPr>
        <w:t>9.3</w:t>
      </w:r>
      <w:r w:rsidRPr="005F1730">
        <w:rPr>
          <w:color w:val="auto"/>
          <w:sz w:val="22"/>
          <w:szCs w:val="22"/>
        </w:rPr>
        <w:tab/>
      </w:r>
      <w:r>
        <w:rPr>
          <w:color w:val="auto"/>
          <w:sz w:val="22"/>
          <w:szCs w:val="22"/>
        </w:rPr>
        <w:t>I</w:t>
      </w:r>
      <w:r w:rsidRPr="005F1730">
        <w:rPr>
          <w:color w:val="auto"/>
          <w:sz w:val="22"/>
          <w:szCs w:val="22"/>
        </w:rPr>
        <w:t>dentify and analyse relevant primary case material drawn from outside academic texts (e.g. news media).</w:t>
      </w:r>
    </w:p>
    <w:p w14:paraId="6C5864F7" w14:textId="77777777" w:rsidR="005F1730" w:rsidRDefault="005F1730" w:rsidP="005F1730">
      <w:pPr>
        <w:pStyle w:val="Default"/>
        <w:spacing w:after="120"/>
        <w:ind w:left="550" w:right="260"/>
        <w:rPr>
          <w:color w:val="auto"/>
          <w:sz w:val="22"/>
          <w:szCs w:val="22"/>
        </w:rPr>
      </w:pPr>
      <w:r w:rsidRPr="005F1730">
        <w:rPr>
          <w:b/>
          <w:color w:val="auto"/>
          <w:sz w:val="22"/>
          <w:szCs w:val="22"/>
        </w:rPr>
        <w:t xml:space="preserve">On successfully completing the module Level </w:t>
      </w:r>
      <w:r>
        <w:rPr>
          <w:b/>
          <w:color w:val="auto"/>
          <w:sz w:val="22"/>
          <w:szCs w:val="22"/>
        </w:rPr>
        <w:t>6</w:t>
      </w:r>
      <w:r w:rsidRPr="005F1730">
        <w:rPr>
          <w:b/>
          <w:color w:val="auto"/>
          <w:sz w:val="22"/>
          <w:szCs w:val="22"/>
        </w:rPr>
        <w:t xml:space="preserve"> students will be able to:</w:t>
      </w:r>
    </w:p>
    <w:p w14:paraId="16264D72"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9.4</w:t>
      </w:r>
      <w:r w:rsidRPr="005F1730">
        <w:rPr>
          <w:color w:val="auto"/>
          <w:sz w:val="22"/>
          <w:szCs w:val="22"/>
        </w:rPr>
        <w:tab/>
      </w:r>
      <w:r>
        <w:rPr>
          <w:color w:val="auto"/>
          <w:sz w:val="22"/>
          <w:szCs w:val="22"/>
        </w:rPr>
        <w:t>D</w:t>
      </w:r>
      <w:r w:rsidRPr="005F1730">
        <w:rPr>
          <w:color w:val="auto"/>
          <w:sz w:val="22"/>
          <w:szCs w:val="22"/>
        </w:rPr>
        <w:t>emonstrate the ability to understand key and advanced concepts and to be able to apply these across a range of different contexts and issues</w:t>
      </w:r>
      <w:r>
        <w:rPr>
          <w:color w:val="auto"/>
          <w:sz w:val="22"/>
          <w:szCs w:val="22"/>
        </w:rPr>
        <w:t>;</w:t>
      </w:r>
    </w:p>
    <w:p w14:paraId="5675CFAD"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9.5</w:t>
      </w:r>
      <w:r w:rsidRPr="005F1730">
        <w:rPr>
          <w:color w:val="auto"/>
          <w:sz w:val="22"/>
          <w:szCs w:val="22"/>
        </w:rPr>
        <w:tab/>
      </w:r>
      <w:r>
        <w:rPr>
          <w:color w:val="auto"/>
          <w:sz w:val="22"/>
          <w:szCs w:val="22"/>
        </w:rPr>
        <w:t>D</w:t>
      </w:r>
      <w:r w:rsidRPr="005F1730">
        <w:rPr>
          <w:color w:val="auto"/>
          <w:sz w:val="22"/>
          <w:szCs w:val="22"/>
        </w:rPr>
        <w:t>emonstrate advanced skills in searching for approach literature and other relevant sources appropriate to their work (e.g. use of online databases)</w:t>
      </w:r>
      <w:r>
        <w:rPr>
          <w:color w:val="auto"/>
          <w:sz w:val="22"/>
          <w:szCs w:val="22"/>
        </w:rPr>
        <w:t>;</w:t>
      </w:r>
    </w:p>
    <w:p w14:paraId="00AD01B5" w14:textId="77777777" w:rsidR="005F1730" w:rsidRDefault="005F1730" w:rsidP="005F1730">
      <w:pPr>
        <w:pStyle w:val="Default"/>
        <w:spacing w:after="120"/>
        <w:ind w:left="1430" w:right="260" w:hanging="550"/>
        <w:jc w:val="both"/>
        <w:rPr>
          <w:color w:val="auto"/>
          <w:sz w:val="22"/>
          <w:szCs w:val="22"/>
        </w:rPr>
      </w:pPr>
      <w:r>
        <w:rPr>
          <w:color w:val="auto"/>
          <w:sz w:val="22"/>
          <w:szCs w:val="22"/>
        </w:rPr>
        <w:t>9.6</w:t>
      </w:r>
      <w:r w:rsidRPr="005F1730">
        <w:rPr>
          <w:color w:val="auto"/>
          <w:sz w:val="22"/>
          <w:szCs w:val="22"/>
        </w:rPr>
        <w:tab/>
      </w:r>
      <w:r>
        <w:rPr>
          <w:color w:val="auto"/>
          <w:sz w:val="22"/>
          <w:szCs w:val="22"/>
        </w:rPr>
        <w:t>Demonstrate</w:t>
      </w:r>
      <w:r w:rsidRPr="005F1730">
        <w:rPr>
          <w:color w:val="auto"/>
          <w:sz w:val="22"/>
          <w:szCs w:val="22"/>
        </w:rPr>
        <w:t xml:space="preserve"> flexibility, creativity and autonomy in researching sources that are relevant to the particular issue and theoretical concepts they are working with by obtaining and analysing relevant primary data from non-academic sources</w:t>
      </w:r>
      <w:r>
        <w:rPr>
          <w:color w:val="auto"/>
          <w:sz w:val="22"/>
          <w:szCs w:val="22"/>
        </w:rPr>
        <w:t>.</w:t>
      </w:r>
    </w:p>
    <w:p w14:paraId="082738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B9CA5D" w14:textId="77777777" w:rsidR="00154D48" w:rsidRPr="00154D48" w:rsidRDefault="0003594F" w:rsidP="0003594F">
      <w:pPr>
        <w:spacing w:after="120" w:line="240" w:lineRule="auto"/>
        <w:ind w:left="567" w:right="260"/>
        <w:jc w:val="both"/>
        <w:rPr>
          <w:rFonts w:ascii="Arial" w:hAnsi="Arial" w:cs="Arial"/>
          <w:iCs/>
        </w:rPr>
      </w:pPr>
      <w:r w:rsidRPr="0003594F">
        <w:rPr>
          <w:rFonts w:ascii="Arial" w:hAnsi="Arial" w:cs="Arial"/>
          <w:iCs/>
        </w:rPr>
        <w:t xml:space="preserve">The primary aims of this module are to give students a critical grounding in current cultural theories of the sacred, to provide them with opportunities to explore how these concepts relate to contemporary social and cultural phenomena, and to reflect on how this process might help us to refine cultural theories of the sacred. The module will enable students to distinguish between ontological and cultural theories of the sacred, and will introduce them to key cultural theorists of the sacred such as Durkheim, </w:t>
      </w:r>
      <w:proofErr w:type="spellStart"/>
      <w:r w:rsidRPr="0003594F">
        <w:rPr>
          <w:rFonts w:ascii="Arial" w:hAnsi="Arial" w:cs="Arial"/>
          <w:iCs/>
        </w:rPr>
        <w:t>Shils</w:t>
      </w:r>
      <w:proofErr w:type="spellEnd"/>
      <w:r w:rsidRPr="0003594F">
        <w:rPr>
          <w:rFonts w:ascii="Arial" w:hAnsi="Arial" w:cs="Arial"/>
          <w:iCs/>
        </w:rPr>
        <w:t xml:space="preserve">, </w:t>
      </w:r>
      <w:proofErr w:type="spellStart"/>
      <w:r w:rsidRPr="0003594F">
        <w:rPr>
          <w:rFonts w:ascii="Arial" w:hAnsi="Arial" w:cs="Arial"/>
          <w:iCs/>
        </w:rPr>
        <w:t>Bellah</w:t>
      </w:r>
      <w:proofErr w:type="spellEnd"/>
      <w:r w:rsidRPr="0003594F">
        <w:rPr>
          <w:rFonts w:ascii="Arial" w:hAnsi="Arial" w:cs="Arial"/>
          <w:iCs/>
        </w:rPr>
        <w:t xml:space="preserve">, and Alexander. A range of cases will also be explored to provide students with opportunities to think about how relevant concepts might relate to specific social and cultural phenomena, and to provide a basis for the analytical work they undertake in their assessed </w:t>
      </w:r>
      <w:r>
        <w:rPr>
          <w:rFonts w:ascii="Arial" w:hAnsi="Arial" w:cs="Arial"/>
          <w:iCs/>
        </w:rPr>
        <w:t>work</w:t>
      </w:r>
      <w:r w:rsidRPr="0003594F">
        <w:rPr>
          <w:rFonts w:ascii="Arial" w:hAnsi="Arial" w:cs="Arial"/>
          <w:iCs/>
        </w:rPr>
        <w:t>.</w:t>
      </w:r>
    </w:p>
    <w:p w14:paraId="69952D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F5380E"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Aldridge, A. </w:t>
      </w:r>
      <w:r>
        <w:rPr>
          <w:rFonts w:ascii="Arial" w:hAnsi="Arial" w:cs="Arial"/>
        </w:rPr>
        <w:t>(</w:t>
      </w:r>
      <w:r w:rsidRPr="0003594F">
        <w:rPr>
          <w:rFonts w:ascii="Arial" w:hAnsi="Arial" w:cs="Arial"/>
        </w:rPr>
        <w:t>2007</w:t>
      </w:r>
      <w:r>
        <w:rPr>
          <w:rFonts w:ascii="Arial" w:hAnsi="Arial" w:cs="Arial"/>
        </w:rPr>
        <w:t>)</w:t>
      </w:r>
      <w:r w:rsidRPr="0003594F">
        <w:rPr>
          <w:rFonts w:ascii="Arial" w:hAnsi="Arial" w:cs="Arial"/>
        </w:rPr>
        <w:t xml:space="preserve">. </w:t>
      </w:r>
      <w:r w:rsidRPr="0003594F">
        <w:rPr>
          <w:rFonts w:ascii="Arial" w:hAnsi="Arial" w:cs="Arial"/>
          <w:i/>
        </w:rPr>
        <w:t>Religion in the Contemporary World</w:t>
      </w:r>
      <w:r w:rsidRPr="0003594F">
        <w:rPr>
          <w:rFonts w:ascii="Arial" w:hAnsi="Arial" w:cs="Arial"/>
        </w:rPr>
        <w:t>. Cambridge: Polity Press.</w:t>
      </w:r>
    </w:p>
    <w:p w14:paraId="4C744215"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Alexander, J. </w:t>
      </w:r>
      <w:r>
        <w:rPr>
          <w:rFonts w:ascii="Arial" w:hAnsi="Arial" w:cs="Arial"/>
        </w:rPr>
        <w:t>(</w:t>
      </w:r>
      <w:r w:rsidRPr="0003594F">
        <w:rPr>
          <w:rFonts w:ascii="Arial" w:hAnsi="Arial" w:cs="Arial"/>
        </w:rPr>
        <w:t>2005</w:t>
      </w:r>
      <w:r>
        <w:rPr>
          <w:rFonts w:ascii="Arial" w:hAnsi="Arial" w:cs="Arial"/>
        </w:rPr>
        <w:t>)</w:t>
      </w:r>
      <w:r w:rsidRPr="0003594F">
        <w:rPr>
          <w:rFonts w:ascii="Arial" w:hAnsi="Arial" w:cs="Arial"/>
        </w:rPr>
        <w:t xml:space="preserve">. </w:t>
      </w:r>
      <w:r w:rsidRPr="0003594F">
        <w:rPr>
          <w:rFonts w:ascii="Arial" w:hAnsi="Arial" w:cs="Arial"/>
          <w:i/>
        </w:rPr>
        <w:t>The Meanings of Social Life</w:t>
      </w:r>
      <w:r w:rsidRPr="0003594F">
        <w:rPr>
          <w:rFonts w:ascii="Arial" w:hAnsi="Arial" w:cs="Arial"/>
        </w:rPr>
        <w:t>. New York: Oxford University Press.</w:t>
      </w:r>
    </w:p>
    <w:p w14:paraId="23180708" w14:textId="241D98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Durkheim, E. </w:t>
      </w:r>
      <w:r>
        <w:rPr>
          <w:rFonts w:ascii="Arial" w:hAnsi="Arial" w:cs="Arial"/>
        </w:rPr>
        <w:t>(</w:t>
      </w:r>
      <w:r w:rsidR="0038722D" w:rsidRPr="0003594F">
        <w:rPr>
          <w:rFonts w:ascii="Arial" w:hAnsi="Arial" w:cs="Arial"/>
        </w:rPr>
        <w:t>19</w:t>
      </w:r>
      <w:r w:rsidR="0038722D">
        <w:rPr>
          <w:rFonts w:ascii="Arial" w:hAnsi="Arial" w:cs="Arial"/>
        </w:rPr>
        <w:t>95</w:t>
      </w:r>
      <w:r>
        <w:rPr>
          <w:rFonts w:ascii="Arial" w:hAnsi="Arial" w:cs="Arial"/>
        </w:rPr>
        <w:t>)</w:t>
      </w:r>
      <w:r w:rsidRPr="0003594F">
        <w:rPr>
          <w:rFonts w:ascii="Arial" w:hAnsi="Arial" w:cs="Arial"/>
        </w:rPr>
        <w:t xml:space="preserve">. </w:t>
      </w:r>
      <w:r w:rsidRPr="0003594F">
        <w:rPr>
          <w:rFonts w:ascii="Arial" w:hAnsi="Arial" w:cs="Arial"/>
          <w:i/>
        </w:rPr>
        <w:t>The Elementary Forms of the Religious Life</w:t>
      </w:r>
      <w:r w:rsidRPr="0003594F">
        <w:rPr>
          <w:rFonts w:ascii="Arial" w:hAnsi="Arial" w:cs="Arial"/>
        </w:rPr>
        <w:t xml:space="preserve">. </w:t>
      </w:r>
      <w:r w:rsidR="0038722D">
        <w:rPr>
          <w:rFonts w:ascii="Arial" w:hAnsi="Arial" w:cs="Arial"/>
        </w:rPr>
        <w:t>London</w:t>
      </w:r>
      <w:r w:rsidRPr="0003594F">
        <w:rPr>
          <w:rFonts w:ascii="Arial" w:hAnsi="Arial" w:cs="Arial"/>
        </w:rPr>
        <w:t xml:space="preserve">: </w:t>
      </w:r>
      <w:r w:rsidR="0038722D">
        <w:rPr>
          <w:rFonts w:ascii="Arial" w:hAnsi="Arial" w:cs="Arial"/>
        </w:rPr>
        <w:t>Free Press</w:t>
      </w:r>
      <w:r w:rsidRPr="0003594F">
        <w:rPr>
          <w:rFonts w:ascii="Arial" w:hAnsi="Arial" w:cs="Arial"/>
        </w:rPr>
        <w:t>.</w:t>
      </w:r>
    </w:p>
    <w:p w14:paraId="6BD28ADB" w14:textId="77777777" w:rsidR="00154D48" w:rsidRPr="00154D48" w:rsidRDefault="0003594F" w:rsidP="0003594F">
      <w:pPr>
        <w:spacing w:after="120" w:line="240" w:lineRule="auto"/>
        <w:ind w:left="567" w:right="260"/>
        <w:jc w:val="both"/>
        <w:rPr>
          <w:rFonts w:ascii="Arial" w:hAnsi="Arial" w:cs="Arial"/>
        </w:rPr>
      </w:pPr>
      <w:r w:rsidRPr="0003594F">
        <w:rPr>
          <w:rFonts w:ascii="Arial" w:hAnsi="Arial" w:cs="Arial"/>
        </w:rPr>
        <w:t xml:space="preserve">Lynch, G. </w:t>
      </w:r>
      <w:r>
        <w:rPr>
          <w:rFonts w:ascii="Arial" w:hAnsi="Arial" w:cs="Arial"/>
        </w:rPr>
        <w:t>(</w:t>
      </w:r>
      <w:r w:rsidRPr="0003594F">
        <w:rPr>
          <w:rFonts w:ascii="Arial" w:hAnsi="Arial" w:cs="Arial"/>
        </w:rPr>
        <w:t>2012</w:t>
      </w:r>
      <w:r>
        <w:rPr>
          <w:rFonts w:ascii="Arial" w:hAnsi="Arial" w:cs="Arial"/>
        </w:rPr>
        <w:t>)</w:t>
      </w:r>
      <w:r w:rsidRPr="0003594F">
        <w:rPr>
          <w:rFonts w:ascii="Arial" w:hAnsi="Arial" w:cs="Arial"/>
        </w:rPr>
        <w:t xml:space="preserve">. </w:t>
      </w:r>
      <w:r w:rsidRPr="0003594F">
        <w:rPr>
          <w:rFonts w:ascii="Arial" w:hAnsi="Arial" w:cs="Arial"/>
          <w:i/>
        </w:rPr>
        <w:t>On the Sacred</w:t>
      </w:r>
      <w:r w:rsidRPr="0003594F">
        <w:rPr>
          <w:rFonts w:ascii="Arial" w:hAnsi="Arial" w:cs="Arial"/>
        </w:rPr>
        <w:t>. London: Acumen.</w:t>
      </w:r>
    </w:p>
    <w:p w14:paraId="0725E2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678FCB" w14:textId="1E6ECC66"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3594F">
        <w:rPr>
          <w:rFonts w:ascii="Arial" w:hAnsi="Arial" w:cs="Arial"/>
          <w:iCs/>
        </w:rPr>
        <w:t>40</w:t>
      </w:r>
    </w:p>
    <w:p w14:paraId="47044732" w14:textId="1BA41D4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3594F">
        <w:rPr>
          <w:rFonts w:ascii="Arial" w:hAnsi="Arial" w:cs="Arial"/>
          <w:iCs/>
        </w:rPr>
        <w:t>2</w:t>
      </w:r>
      <w:r w:rsidR="00A24F59">
        <w:rPr>
          <w:rFonts w:ascii="Arial" w:hAnsi="Arial" w:cs="Arial"/>
          <w:iCs/>
        </w:rPr>
        <w:t>6</w:t>
      </w:r>
      <w:r w:rsidR="0003594F">
        <w:rPr>
          <w:rFonts w:ascii="Arial" w:hAnsi="Arial" w:cs="Arial"/>
          <w:iCs/>
        </w:rPr>
        <w:t>0</w:t>
      </w:r>
    </w:p>
    <w:p w14:paraId="0A2C2AF3"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3594F">
        <w:rPr>
          <w:rFonts w:ascii="Arial" w:hAnsi="Arial" w:cs="Arial"/>
          <w:iCs/>
        </w:rPr>
        <w:t>300</w:t>
      </w:r>
    </w:p>
    <w:p w14:paraId="5B7861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3A9E1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CEE81D" w14:textId="77777777" w:rsidR="0003594F" w:rsidRPr="00216E79" w:rsidRDefault="0003594F" w:rsidP="0003594F">
      <w:pPr>
        <w:pStyle w:val="ListParagraph"/>
        <w:numPr>
          <w:ilvl w:val="0"/>
          <w:numId w:val="10"/>
        </w:numPr>
        <w:spacing w:after="120" w:line="360" w:lineRule="auto"/>
        <w:ind w:right="260"/>
        <w:rPr>
          <w:rFonts w:ascii="Arial" w:hAnsi="Arial" w:cs="Arial"/>
          <w:iCs/>
        </w:rPr>
      </w:pPr>
      <w:r>
        <w:rPr>
          <w:rFonts w:ascii="Arial" w:hAnsi="Arial" w:cs="Arial"/>
          <w:iCs/>
        </w:rPr>
        <w:t>Essay</w:t>
      </w:r>
      <w:r w:rsidRPr="00216E79">
        <w:rPr>
          <w:rFonts w:ascii="Arial" w:hAnsi="Arial" w:cs="Arial"/>
          <w:iCs/>
        </w:rPr>
        <w:t xml:space="preserve"> (5</w:t>
      </w:r>
      <w:r>
        <w:rPr>
          <w:rFonts w:ascii="Arial" w:hAnsi="Arial" w:cs="Arial"/>
          <w:iCs/>
        </w:rPr>
        <w:t>,00</w:t>
      </w:r>
      <w:r w:rsidRPr="00216E79">
        <w:rPr>
          <w:rFonts w:ascii="Arial" w:hAnsi="Arial" w:cs="Arial"/>
          <w:iCs/>
        </w:rPr>
        <w:t xml:space="preserve">0 words) </w:t>
      </w:r>
      <w:r>
        <w:rPr>
          <w:rFonts w:ascii="Arial" w:hAnsi="Arial" w:cs="Arial"/>
          <w:iCs/>
        </w:rPr>
        <w:t>– 5</w:t>
      </w:r>
      <w:r w:rsidRPr="00216E79">
        <w:rPr>
          <w:rFonts w:ascii="Arial" w:hAnsi="Arial" w:cs="Arial"/>
          <w:iCs/>
        </w:rPr>
        <w:t>0%</w:t>
      </w:r>
    </w:p>
    <w:p w14:paraId="67AB76A0" w14:textId="77777777" w:rsidR="00154D48" w:rsidRPr="00D21873" w:rsidRDefault="0003594F" w:rsidP="0003594F">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216E79">
        <w:rPr>
          <w:rFonts w:ascii="Arial" w:hAnsi="Arial" w:cs="Arial"/>
          <w:iCs/>
        </w:rPr>
        <w:t xml:space="preserve"> (</w:t>
      </w:r>
      <w:r>
        <w:rPr>
          <w:rFonts w:ascii="Arial" w:hAnsi="Arial" w:cs="Arial"/>
          <w:iCs/>
        </w:rPr>
        <w:t>3 hours</w:t>
      </w:r>
      <w:r w:rsidRPr="00216E79">
        <w:rPr>
          <w:rFonts w:ascii="Arial" w:hAnsi="Arial" w:cs="Arial"/>
          <w:iCs/>
        </w:rPr>
        <w:t xml:space="preserve">) </w:t>
      </w:r>
      <w:r>
        <w:rPr>
          <w:rFonts w:ascii="Arial" w:hAnsi="Arial" w:cs="Arial"/>
          <w:iCs/>
        </w:rPr>
        <w:t>– 5</w:t>
      </w:r>
      <w:r w:rsidRPr="00216E79">
        <w:rPr>
          <w:rFonts w:ascii="Arial" w:hAnsi="Arial" w:cs="Arial"/>
          <w:iCs/>
        </w:rPr>
        <w:t>0%</w:t>
      </w:r>
    </w:p>
    <w:p w14:paraId="37F2CD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AFD3B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3594F">
        <w:rPr>
          <w:rFonts w:ascii="Arial" w:hAnsi="Arial" w:cs="Arial"/>
          <w:iCs/>
        </w:rPr>
        <w:t xml:space="preserve"> 100% Coursework</w:t>
      </w:r>
    </w:p>
    <w:p w14:paraId="0C59F5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3594F" w:rsidRPr="00302082" w14:paraId="30B7A87D" w14:textId="77777777" w:rsidTr="0003594F">
        <w:trPr>
          <w:cantSplit/>
          <w:trHeight w:val="1134"/>
        </w:trPr>
        <w:tc>
          <w:tcPr>
            <w:tcW w:w="2439" w:type="dxa"/>
            <w:shd w:val="clear" w:color="auto" w:fill="D9D9D9" w:themeFill="background1" w:themeFillShade="D9"/>
          </w:tcPr>
          <w:p w14:paraId="7225C6C5" w14:textId="77777777" w:rsidR="0003594F" w:rsidRPr="00302082" w:rsidRDefault="0003594F"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2E476E4D" w14:textId="77777777" w:rsidR="0003594F" w:rsidRPr="002302FD" w:rsidRDefault="0003594F" w:rsidP="0003594F">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14:paraId="055F47D5" w14:textId="77777777" w:rsidR="0003594F" w:rsidRPr="002302FD" w:rsidRDefault="0003594F" w:rsidP="0003594F">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14:paraId="33537146" w14:textId="77777777" w:rsidR="0003594F" w:rsidRPr="002302FD" w:rsidRDefault="0003594F" w:rsidP="0003594F">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14:paraId="232D5B6E" w14:textId="77777777" w:rsidR="0003594F" w:rsidRPr="002302FD" w:rsidRDefault="0003594F" w:rsidP="0003594F">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14:paraId="1E194C00"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1 / 9.4</w:t>
            </w:r>
          </w:p>
        </w:tc>
        <w:tc>
          <w:tcPr>
            <w:tcW w:w="567" w:type="dxa"/>
            <w:textDirection w:val="btLr"/>
          </w:tcPr>
          <w:p w14:paraId="4B8568F3"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2 / 9.5</w:t>
            </w:r>
          </w:p>
        </w:tc>
        <w:tc>
          <w:tcPr>
            <w:tcW w:w="567" w:type="dxa"/>
            <w:textDirection w:val="btLr"/>
          </w:tcPr>
          <w:p w14:paraId="58182105"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3 / 9.6</w:t>
            </w:r>
          </w:p>
        </w:tc>
      </w:tr>
      <w:tr w:rsidR="0003594F" w:rsidRPr="00302082" w14:paraId="2EC6BDDB" w14:textId="77777777" w:rsidTr="0003594F">
        <w:tc>
          <w:tcPr>
            <w:tcW w:w="2439" w:type="dxa"/>
            <w:shd w:val="clear" w:color="auto" w:fill="D9D9D9" w:themeFill="background1" w:themeFillShade="D9"/>
          </w:tcPr>
          <w:p w14:paraId="10C79DED" w14:textId="77777777" w:rsidR="0003594F" w:rsidRPr="00302082" w:rsidRDefault="0003594F" w:rsidP="00302082">
            <w:pPr>
              <w:spacing w:after="120"/>
              <w:rPr>
                <w:rFonts w:ascii="Arial" w:hAnsi="Arial" w:cs="Arial"/>
                <w:b/>
              </w:rPr>
            </w:pPr>
            <w:r w:rsidRPr="00302082">
              <w:rPr>
                <w:rFonts w:ascii="Arial" w:hAnsi="Arial" w:cs="Arial"/>
                <w:b/>
              </w:rPr>
              <w:t>Learning/ teaching method</w:t>
            </w:r>
          </w:p>
        </w:tc>
        <w:tc>
          <w:tcPr>
            <w:tcW w:w="567" w:type="dxa"/>
          </w:tcPr>
          <w:p w14:paraId="550250C2" w14:textId="77777777" w:rsidR="0003594F" w:rsidRPr="00302082" w:rsidRDefault="0003594F" w:rsidP="00302082">
            <w:pPr>
              <w:spacing w:after="120"/>
              <w:rPr>
                <w:rFonts w:ascii="Arial" w:hAnsi="Arial" w:cs="Arial"/>
                <w:b/>
              </w:rPr>
            </w:pPr>
          </w:p>
        </w:tc>
        <w:tc>
          <w:tcPr>
            <w:tcW w:w="567" w:type="dxa"/>
          </w:tcPr>
          <w:p w14:paraId="54E0FD24" w14:textId="77777777" w:rsidR="0003594F" w:rsidRPr="00302082" w:rsidRDefault="0003594F" w:rsidP="00302082">
            <w:pPr>
              <w:spacing w:after="120"/>
              <w:rPr>
                <w:rFonts w:ascii="Arial" w:hAnsi="Arial" w:cs="Arial"/>
                <w:b/>
              </w:rPr>
            </w:pPr>
          </w:p>
        </w:tc>
        <w:tc>
          <w:tcPr>
            <w:tcW w:w="567" w:type="dxa"/>
          </w:tcPr>
          <w:p w14:paraId="565C1FAD" w14:textId="77777777" w:rsidR="0003594F" w:rsidRPr="00302082" w:rsidRDefault="0003594F" w:rsidP="00302082">
            <w:pPr>
              <w:spacing w:after="120"/>
              <w:rPr>
                <w:rFonts w:ascii="Arial" w:hAnsi="Arial" w:cs="Arial"/>
                <w:b/>
              </w:rPr>
            </w:pPr>
          </w:p>
        </w:tc>
        <w:tc>
          <w:tcPr>
            <w:tcW w:w="567" w:type="dxa"/>
          </w:tcPr>
          <w:p w14:paraId="27380245" w14:textId="77777777" w:rsidR="0003594F" w:rsidRPr="00302082" w:rsidRDefault="0003594F" w:rsidP="00302082">
            <w:pPr>
              <w:spacing w:after="120"/>
              <w:rPr>
                <w:rFonts w:ascii="Arial" w:hAnsi="Arial" w:cs="Arial"/>
                <w:b/>
              </w:rPr>
            </w:pPr>
          </w:p>
        </w:tc>
        <w:tc>
          <w:tcPr>
            <w:tcW w:w="567" w:type="dxa"/>
          </w:tcPr>
          <w:p w14:paraId="2ABBE36A" w14:textId="77777777" w:rsidR="0003594F" w:rsidRPr="00302082" w:rsidRDefault="0003594F" w:rsidP="00302082">
            <w:pPr>
              <w:spacing w:after="120"/>
              <w:rPr>
                <w:rFonts w:ascii="Arial" w:hAnsi="Arial" w:cs="Arial"/>
                <w:b/>
              </w:rPr>
            </w:pPr>
          </w:p>
        </w:tc>
        <w:tc>
          <w:tcPr>
            <w:tcW w:w="567" w:type="dxa"/>
          </w:tcPr>
          <w:p w14:paraId="051024E4" w14:textId="77777777" w:rsidR="0003594F" w:rsidRPr="00302082" w:rsidRDefault="0003594F" w:rsidP="00302082">
            <w:pPr>
              <w:spacing w:after="120"/>
              <w:rPr>
                <w:rFonts w:ascii="Arial" w:hAnsi="Arial" w:cs="Arial"/>
                <w:b/>
              </w:rPr>
            </w:pPr>
          </w:p>
        </w:tc>
        <w:tc>
          <w:tcPr>
            <w:tcW w:w="567" w:type="dxa"/>
          </w:tcPr>
          <w:p w14:paraId="5763E7F6" w14:textId="77777777" w:rsidR="0003594F" w:rsidRPr="00302082" w:rsidRDefault="0003594F" w:rsidP="00302082">
            <w:pPr>
              <w:spacing w:after="120"/>
              <w:rPr>
                <w:rFonts w:ascii="Arial" w:hAnsi="Arial" w:cs="Arial"/>
                <w:b/>
              </w:rPr>
            </w:pPr>
          </w:p>
        </w:tc>
      </w:tr>
      <w:tr w:rsidR="0003594F" w:rsidRPr="00302082" w14:paraId="1243BBFC" w14:textId="77777777" w:rsidTr="0003594F">
        <w:tc>
          <w:tcPr>
            <w:tcW w:w="2439" w:type="dxa"/>
          </w:tcPr>
          <w:p w14:paraId="196E4D35" w14:textId="77777777" w:rsidR="0003594F" w:rsidRPr="005D4AED" w:rsidRDefault="0003594F" w:rsidP="00302082">
            <w:pPr>
              <w:spacing w:after="120"/>
              <w:rPr>
                <w:rFonts w:ascii="Arial" w:hAnsi="Arial" w:cs="Arial"/>
              </w:rPr>
            </w:pPr>
            <w:r w:rsidRPr="005D4AED">
              <w:rPr>
                <w:rFonts w:ascii="Arial" w:hAnsi="Arial" w:cs="Arial"/>
              </w:rPr>
              <w:t>Private Study</w:t>
            </w:r>
          </w:p>
        </w:tc>
        <w:tc>
          <w:tcPr>
            <w:tcW w:w="567" w:type="dxa"/>
            <w:vAlign w:val="center"/>
          </w:tcPr>
          <w:p w14:paraId="3794AB2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5D76697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2B87E2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ACB7C8D" w14:textId="77777777" w:rsidR="0003594F" w:rsidRPr="00302082" w:rsidRDefault="0003594F" w:rsidP="00944B1E">
            <w:pPr>
              <w:spacing w:after="120"/>
              <w:jc w:val="center"/>
              <w:rPr>
                <w:rFonts w:ascii="Arial" w:hAnsi="Arial" w:cs="Arial"/>
                <w:b/>
              </w:rPr>
            </w:pPr>
          </w:p>
        </w:tc>
        <w:tc>
          <w:tcPr>
            <w:tcW w:w="567" w:type="dxa"/>
            <w:vAlign w:val="center"/>
          </w:tcPr>
          <w:p w14:paraId="0B75E86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5621761" w14:textId="77777777" w:rsidR="0003594F" w:rsidRPr="00302082" w:rsidRDefault="0003594F" w:rsidP="00944B1E">
            <w:pPr>
              <w:spacing w:after="120"/>
              <w:jc w:val="center"/>
              <w:rPr>
                <w:rFonts w:ascii="Arial" w:hAnsi="Arial" w:cs="Arial"/>
                <w:b/>
              </w:rPr>
            </w:pPr>
          </w:p>
        </w:tc>
        <w:tc>
          <w:tcPr>
            <w:tcW w:w="567" w:type="dxa"/>
            <w:vAlign w:val="center"/>
          </w:tcPr>
          <w:p w14:paraId="5F27BB27" w14:textId="77777777" w:rsidR="0003594F" w:rsidRPr="00302082" w:rsidRDefault="0003594F" w:rsidP="00944B1E">
            <w:pPr>
              <w:spacing w:after="120"/>
              <w:jc w:val="center"/>
              <w:rPr>
                <w:rFonts w:ascii="Arial" w:hAnsi="Arial" w:cs="Arial"/>
                <w:b/>
              </w:rPr>
            </w:pPr>
          </w:p>
        </w:tc>
      </w:tr>
      <w:tr w:rsidR="0003594F" w:rsidRPr="00302082" w14:paraId="530B852B" w14:textId="77777777" w:rsidTr="0003594F">
        <w:tc>
          <w:tcPr>
            <w:tcW w:w="2439" w:type="dxa"/>
          </w:tcPr>
          <w:p w14:paraId="4B8F6CD7" w14:textId="77777777" w:rsidR="0003594F" w:rsidRPr="00154D48" w:rsidRDefault="0003594F" w:rsidP="00302082">
            <w:pPr>
              <w:spacing w:after="120"/>
              <w:rPr>
                <w:rFonts w:ascii="Arial" w:hAnsi="Arial" w:cs="Arial"/>
              </w:rPr>
            </w:pPr>
            <w:r>
              <w:rPr>
                <w:rFonts w:ascii="Arial" w:hAnsi="Arial" w:cs="Arial"/>
              </w:rPr>
              <w:t>Lecture</w:t>
            </w:r>
          </w:p>
        </w:tc>
        <w:tc>
          <w:tcPr>
            <w:tcW w:w="567" w:type="dxa"/>
            <w:vAlign w:val="center"/>
          </w:tcPr>
          <w:p w14:paraId="584F5A1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3FB9A2"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C16C2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15F9240" w14:textId="77777777" w:rsidR="0003594F" w:rsidRPr="00302082" w:rsidRDefault="0003594F" w:rsidP="00944B1E">
            <w:pPr>
              <w:spacing w:after="120"/>
              <w:jc w:val="center"/>
              <w:rPr>
                <w:rFonts w:ascii="Arial" w:hAnsi="Arial" w:cs="Arial"/>
                <w:b/>
              </w:rPr>
            </w:pPr>
          </w:p>
        </w:tc>
        <w:tc>
          <w:tcPr>
            <w:tcW w:w="567" w:type="dxa"/>
            <w:vAlign w:val="center"/>
          </w:tcPr>
          <w:p w14:paraId="3A7A78E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77D96C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80E2E1A" w14:textId="77777777" w:rsidR="0003594F" w:rsidRPr="00302082" w:rsidRDefault="0003594F" w:rsidP="00944B1E">
            <w:pPr>
              <w:spacing w:after="120"/>
              <w:jc w:val="center"/>
              <w:rPr>
                <w:rFonts w:ascii="Arial" w:hAnsi="Arial" w:cs="Arial"/>
                <w:b/>
              </w:rPr>
            </w:pPr>
          </w:p>
        </w:tc>
      </w:tr>
      <w:tr w:rsidR="0003594F" w:rsidRPr="00302082" w14:paraId="0ACB8C17" w14:textId="77777777" w:rsidTr="0003594F">
        <w:tc>
          <w:tcPr>
            <w:tcW w:w="2439" w:type="dxa"/>
          </w:tcPr>
          <w:p w14:paraId="7C00A7D9" w14:textId="77777777" w:rsidR="0003594F" w:rsidRPr="00154D48" w:rsidRDefault="0003594F" w:rsidP="00302082">
            <w:pPr>
              <w:spacing w:after="120"/>
              <w:rPr>
                <w:rFonts w:ascii="Arial" w:hAnsi="Arial" w:cs="Arial"/>
              </w:rPr>
            </w:pPr>
            <w:r>
              <w:rPr>
                <w:rFonts w:ascii="Arial" w:hAnsi="Arial" w:cs="Arial"/>
              </w:rPr>
              <w:t>Seminar</w:t>
            </w:r>
          </w:p>
        </w:tc>
        <w:tc>
          <w:tcPr>
            <w:tcW w:w="567" w:type="dxa"/>
            <w:vAlign w:val="center"/>
          </w:tcPr>
          <w:p w14:paraId="403418E2" w14:textId="77777777" w:rsidR="0003594F" w:rsidRPr="00302082" w:rsidRDefault="0003594F" w:rsidP="00944B1E">
            <w:pPr>
              <w:spacing w:after="120"/>
              <w:jc w:val="center"/>
              <w:rPr>
                <w:rFonts w:ascii="Arial" w:hAnsi="Arial" w:cs="Arial"/>
                <w:b/>
              </w:rPr>
            </w:pPr>
          </w:p>
        </w:tc>
        <w:tc>
          <w:tcPr>
            <w:tcW w:w="567" w:type="dxa"/>
            <w:vAlign w:val="center"/>
          </w:tcPr>
          <w:p w14:paraId="29AB630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F03D87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19438E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E57D06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9E3F5FC"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609F48"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3286321D" w14:textId="77777777" w:rsidTr="0003594F">
        <w:tc>
          <w:tcPr>
            <w:tcW w:w="2439" w:type="dxa"/>
            <w:shd w:val="clear" w:color="auto" w:fill="D9D9D9" w:themeFill="background1" w:themeFillShade="D9"/>
          </w:tcPr>
          <w:p w14:paraId="3DC9F671" w14:textId="77777777" w:rsidR="0003594F" w:rsidRPr="00302082" w:rsidRDefault="0003594F" w:rsidP="00302082">
            <w:pPr>
              <w:spacing w:after="120"/>
              <w:rPr>
                <w:rFonts w:ascii="Arial" w:hAnsi="Arial" w:cs="Arial"/>
                <w:b/>
              </w:rPr>
            </w:pPr>
            <w:r w:rsidRPr="00302082">
              <w:rPr>
                <w:rFonts w:ascii="Arial" w:hAnsi="Arial" w:cs="Arial"/>
                <w:b/>
              </w:rPr>
              <w:t>Assessment method</w:t>
            </w:r>
          </w:p>
        </w:tc>
        <w:tc>
          <w:tcPr>
            <w:tcW w:w="567" w:type="dxa"/>
            <w:vAlign w:val="center"/>
          </w:tcPr>
          <w:p w14:paraId="08002DB6" w14:textId="77777777" w:rsidR="0003594F" w:rsidRPr="00302082" w:rsidRDefault="0003594F" w:rsidP="00944B1E">
            <w:pPr>
              <w:spacing w:after="120"/>
              <w:jc w:val="center"/>
              <w:rPr>
                <w:rFonts w:ascii="Arial" w:hAnsi="Arial" w:cs="Arial"/>
                <w:b/>
              </w:rPr>
            </w:pPr>
          </w:p>
        </w:tc>
        <w:tc>
          <w:tcPr>
            <w:tcW w:w="567" w:type="dxa"/>
            <w:vAlign w:val="center"/>
          </w:tcPr>
          <w:p w14:paraId="09E65EBC" w14:textId="77777777" w:rsidR="0003594F" w:rsidRPr="00302082" w:rsidRDefault="0003594F" w:rsidP="00944B1E">
            <w:pPr>
              <w:spacing w:after="120"/>
              <w:jc w:val="center"/>
              <w:rPr>
                <w:rFonts w:ascii="Arial" w:hAnsi="Arial" w:cs="Arial"/>
                <w:b/>
              </w:rPr>
            </w:pPr>
          </w:p>
        </w:tc>
        <w:tc>
          <w:tcPr>
            <w:tcW w:w="567" w:type="dxa"/>
            <w:vAlign w:val="center"/>
          </w:tcPr>
          <w:p w14:paraId="65CD0DF0" w14:textId="77777777" w:rsidR="0003594F" w:rsidRPr="00302082" w:rsidRDefault="0003594F" w:rsidP="00944B1E">
            <w:pPr>
              <w:spacing w:after="120"/>
              <w:jc w:val="center"/>
              <w:rPr>
                <w:rFonts w:ascii="Arial" w:hAnsi="Arial" w:cs="Arial"/>
                <w:b/>
              </w:rPr>
            </w:pPr>
          </w:p>
        </w:tc>
        <w:tc>
          <w:tcPr>
            <w:tcW w:w="567" w:type="dxa"/>
            <w:vAlign w:val="center"/>
          </w:tcPr>
          <w:p w14:paraId="069CA082" w14:textId="77777777" w:rsidR="0003594F" w:rsidRPr="00302082" w:rsidRDefault="0003594F" w:rsidP="00944B1E">
            <w:pPr>
              <w:spacing w:after="120"/>
              <w:jc w:val="center"/>
              <w:rPr>
                <w:rFonts w:ascii="Arial" w:hAnsi="Arial" w:cs="Arial"/>
                <w:b/>
              </w:rPr>
            </w:pPr>
          </w:p>
        </w:tc>
        <w:tc>
          <w:tcPr>
            <w:tcW w:w="567" w:type="dxa"/>
            <w:vAlign w:val="center"/>
          </w:tcPr>
          <w:p w14:paraId="41C6596B" w14:textId="77777777" w:rsidR="0003594F" w:rsidRPr="00302082" w:rsidRDefault="0003594F" w:rsidP="00944B1E">
            <w:pPr>
              <w:spacing w:after="120"/>
              <w:jc w:val="center"/>
              <w:rPr>
                <w:rFonts w:ascii="Arial" w:hAnsi="Arial" w:cs="Arial"/>
                <w:b/>
              </w:rPr>
            </w:pPr>
          </w:p>
        </w:tc>
        <w:tc>
          <w:tcPr>
            <w:tcW w:w="567" w:type="dxa"/>
            <w:vAlign w:val="center"/>
          </w:tcPr>
          <w:p w14:paraId="71612E91" w14:textId="77777777" w:rsidR="0003594F" w:rsidRPr="00302082" w:rsidRDefault="0003594F" w:rsidP="00944B1E">
            <w:pPr>
              <w:spacing w:after="120"/>
              <w:jc w:val="center"/>
              <w:rPr>
                <w:rFonts w:ascii="Arial" w:hAnsi="Arial" w:cs="Arial"/>
                <w:b/>
              </w:rPr>
            </w:pPr>
          </w:p>
        </w:tc>
        <w:tc>
          <w:tcPr>
            <w:tcW w:w="567" w:type="dxa"/>
            <w:vAlign w:val="center"/>
          </w:tcPr>
          <w:p w14:paraId="38446291" w14:textId="77777777" w:rsidR="0003594F" w:rsidRPr="00302082" w:rsidRDefault="0003594F" w:rsidP="00944B1E">
            <w:pPr>
              <w:spacing w:after="120"/>
              <w:jc w:val="center"/>
              <w:rPr>
                <w:rFonts w:ascii="Arial" w:hAnsi="Arial" w:cs="Arial"/>
                <w:b/>
              </w:rPr>
            </w:pPr>
          </w:p>
        </w:tc>
      </w:tr>
      <w:tr w:rsidR="0003594F" w:rsidRPr="00302082" w14:paraId="0523C1F4" w14:textId="77777777" w:rsidTr="0003594F">
        <w:tc>
          <w:tcPr>
            <w:tcW w:w="2439" w:type="dxa"/>
          </w:tcPr>
          <w:p w14:paraId="613D496A" w14:textId="77777777" w:rsidR="0003594F" w:rsidRPr="00154D48" w:rsidRDefault="0003594F" w:rsidP="00302082">
            <w:pPr>
              <w:spacing w:after="120"/>
              <w:rPr>
                <w:rFonts w:ascii="Arial" w:hAnsi="Arial" w:cs="Arial"/>
              </w:rPr>
            </w:pPr>
            <w:r>
              <w:rPr>
                <w:rFonts w:ascii="Arial" w:hAnsi="Arial" w:cs="Arial"/>
              </w:rPr>
              <w:t>Essay</w:t>
            </w:r>
          </w:p>
        </w:tc>
        <w:tc>
          <w:tcPr>
            <w:tcW w:w="567" w:type="dxa"/>
            <w:vAlign w:val="center"/>
          </w:tcPr>
          <w:p w14:paraId="07366145" w14:textId="77777777" w:rsidR="0003594F" w:rsidRPr="00302082" w:rsidRDefault="0003594F" w:rsidP="00944B1E">
            <w:pPr>
              <w:spacing w:after="120"/>
              <w:jc w:val="center"/>
              <w:rPr>
                <w:rFonts w:ascii="Arial" w:hAnsi="Arial" w:cs="Arial"/>
                <w:b/>
              </w:rPr>
            </w:pPr>
          </w:p>
        </w:tc>
        <w:tc>
          <w:tcPr>
            <w:tcW w:w="567" w:type="dxa"/>
            <w:vAlign w:val="center"/>
          </w:tcPr>
          <w:p w14:paraId="4C3E4DE9" w14:textId="77777777" w:rsidR="0003594F" w:rsidRPr="00302082" w:rsidRDefault="0003594F" w:rsidP="00944B1E">
            <w:pPr>
              <w:spacing w:after="120"/>
              <w:jc w:val="center"/>
              <w:rPr>
                <w:rFonts w:ascii="Arial" w:hAnsi="Arial" w:cs="Arial"/>
                <w:b/>
              </w:rPr>
            </w:pPr>
          </w:p>
        </w:tc>
        <w:tc>
          <w:tcPr>
            <w:tcW w:w="567" w:type="dxa"/>
            <w:vAlign w:val="center"/>
          </w:tcPr>
          <w:p w14:paraId="0D3FC62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A280B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F30DA8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03D268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4FC7BBD"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52EED2CC" w14:textId="77777777" w:rsidTr="0003594F">
        <w:tc>
          <w:tcPr>
            <w:tcW w:w="2439" w:type="dxa"/>
          </w:tcPr>
          <w:p w14:paraId="47D45B46" w14:textId="77777777" w:rsidR="0003594F" w:rsidRPr="00154D48" w:rsidRDefault="0003594F" w:rsidP="00154D48">
            <w:pPr>
              <w:spacing w:after="120"/>
              <w:rPr>
                <w:rFonts w:ascii="Arial" w:hAnsi="Arial" w:cs="Arial"/>
              </w:rPr>
            </w:pPr>
            <w:r>
              <w:rPr>
                <w:rFonts w:ascii="Arial" w:hAnsi="Arial" w:cs="Arial"/>
              </w:rPr>
              <w:t>Examination</w:t>
            </w:r>
          </w:p>
        </w:tc>
        <w:tc>
          <w:tcPr>
            <w:tcW w:w="567" w:type="dxa"/>
            <w:vAlign w:val="center"/>
          </w:tcPr>
          <w:p w14:paraId="38BE57A9"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35AFF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BAC215F"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5890B8F" w14:textId="77777777" w:rsidR="0003594F" w:rsidRPr="00302082" w:rsidRDefault="0003594F" w:rsidP="00944B1E">
            <w:pPr>
              <w:spacing w:after="120"/>
              <w:jc w:val="center"/>
              <w:rPr>
                <w:rFonts w:ascii="Arial" w:hAnsi="Arial" w:cs="Arial"/>
                <w:b/>
              </w:rPr>
            </w:pPr>
          </w:p>
        </w:tc>
        <w:tc>
          <w:tcPr>
            <w:tcW w:w="567" w:type="dxa"/>
            <w:vAlign w:val="center"/>
          </w:tcPr>
          <w:p w14:paraId="658D42D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492BE8" w14:textId="77777777" w:rsidR="0003594F" w:rsidRPr="00302082" w:rsidRDefault="0003594F" w:rsidP="00944B1E">
            <w:pPr>
              <w:spacing w:after="120"/>
              <w:jc w:val="center"/>
              <w:rPr>
                <w:rFonts w:ascii="Arial" w:hAnsi="Arial" w:cs="Arial"/>
                <w:b/>
              </w:rPr>
            </w:pPr>
          </w:p>
        </w:tc>
        <w:tc>
          <w:tcPr>
            <w:tcW w:w="567" w:type="dxa"/>
            <w:vAlign w:val="center"/>
          </w:tcPr>
          <w:p w14:paraId="4D265745" w14:textId="77777777" w:rsidR="0003594F" w:rsidRPr="00302082" w:rsidRDefault="0003594F" w:rsidP="00944B1E">
            <w:pPr>
              <w:spacing w:after="120"/>
              <w:jc w:val="center"/>
              <w:rPr>
                <w:rFonts w:ascii="Arial" w:hAnsi="Arial" w:cs="Arial"/>
                <w:b/>
              </w:rPr>
            </w:pPr>
          </w:p>
        </w:tc>
      </w:tr>
    </w:tbl>
    <w:p w14:paraId="2F19C90E" w14:textId="77777777" w:rsidR="007A6245" w:rsidRDefault="007A6245" w:rsidP="00302082">
      <w:pPr>
        <w:spacing w:after="120" w:line="240" w:lineRule="auto"/>
        <w:ind w:left="426" w:right="260"/>
        <w:rPr>
          <w:rFonts w:ascii="Arial" w:hAnsi="Arial" w:cs="Arial"/>
          <w:b/>
          <w:iCs/>
        </w:rPr>
      </w:pPr>
    </w:p>
    <w:p w14:paraId="0B42FB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C949CA" w14:textId="77777777" w:rsidR="00883204" w:rsidRPr="00D50113" w:rsidRDefault="0003594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085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9D26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CE80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1B6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C2A83" w14:textId="77777777" w:rsidR="00154D48" w:rsidRPr="00154D48" w:rsidRDefault="0003594F" w:rsidP="00154D48">
      <w:pPr>
        <w:spacing w:after="120" w:line="240" w:lineRule="auto"/>
        <w:ind w:left="567" w:right="260"/>
        <w:rPr>
          <w:rFonts w:ascii="Arial" w:hAnsi="Arial" w:cs="Arial"/>
          <w:iCs/>
        </w:rPr>
      </w:pPr>
      <w:r>
        <w:rPr>
          <w:rFonts w:ascii="Arial" w:hAnsi="Arial" w:cs="Arial"/>
          <w:iCs/>
        </w:rPr>
        <w:t>Canterbury</w:t>
      </w:r>
    </w:p>
    <w:p w14:paraId="3857C1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652CC6" w14:textId="17B14EB7" w:rsidR="00154D48" w:rsidRPr="00154D48" w:rsidRDefault="0038722D" w:rsidP="005F1730">
      <w:pPr>
        <w:spacing w:after="120" w:line="240" w:lineRule="auto"/>
        <w:ind w:left="567" w:right="260"/>
        <w:jc w:val="both"/>
        <w:rPr>
          <w:rFonts w:ascii="Arial" w:hAnsi="Arial" w:cs="Arial"/>
          <w:iCs/>
        </w:rPr>
      </w:pPr>
      <w:r w:rsidRPr="0038722D">
        <w:rPr>
          <w:rFonts w:ascii="Arial" w:hAnsi="Arial" w:cs="Arial"/>
          <w:iCs/>
        </w:rPr>
        <w:t>The entire module explores themes, issues and methods in the cultural and social scientific study of the sacred from a global and internationalised perspective. By exploring case studies from different localities of the globe, the module examines how the sacred and the profane are organised in different geographies. As such, it provides the means for considering the methods, approaches and hermeneutic challenges involved in considering the sacred within a cross-cultural and international context.</w:t>
      </w:r>
      <w:r w:rsidR="005F1730">
        <w:rPr>
          <w:rFonts w:ascii="Arial" w:hAnsi="Arial" w:cs="Arial"/>
          <w:iCs/>
        </w:rPr>
        <w:t xml:space="preserve"> </w:t>
      </w:r>
    </w:p>
    <w:p w14:paraId="6A7388E2" w14:textId="77777777" w:rsidR="00641D6D" w:rsidRPr="00302082" w:rsidRDefault="00641D6D" w:rsidP="00302082">
      <w:pPr>
        <w:pBdr>
          <w:bottom w:val="single" w:sz="6" w:space="1" w:color="auto"/>
        </w:pBdr>
        <w:spacing w:after="120" w:line="240" w:lineRule="auto"/>
        <w:ind w:right="260"/>
        <w:rPr>
          <w:rFonts w:ascii="Arial" w:hAnsi="Arial" w:cs="Arial"/>
        </w:rPr>
      </w:pPr>
    </w:p>
    <w:p w14:paraId="6D5747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02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16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05C6AE7" w14:textId="77777777" w:rsidTr="00154D48">
        <w:trPr>
          <w:trHeight w:val="317"/>
        </w:trPr>
        <w:tc>
          <w:tcPr>
            <w:tcW w:w="1526" w:type="dxa"/>
          </w:tcPr>
          <w:p w14:paraId="0AA76F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7098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9713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23E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C4DB72" w14:textId="77777777" w:rsidTr="00154D48">
        <w:trPr>
          <w:trHeight w:val="305"/>
        </w:trPr>
        <w:tc>
          <w:tcPr>
            <w:tcW w:w="1526" w:type="dxa"/>
          </w:tcPr>
          <w:p w14:paraId="047DF51E" w14:textId="23634FD3" w:rsidR="00422B69" w:rsidRPr="00613708" w:rsidRDefault="005C48AB" w:rsidP="00613708">
            <w:pPr>
              <w:spacing w:after="120"/>
              <w:ind w:right="-115"/>
              <w:rPr>
                <w:rFonts w:ascii="Arial" w:hAnsi="Arial" w:cs="Arial"/>
                <w:sz w:val="18"/>
                <w:szCs w:val="18"/>
              </w:rPr>
            </w:pPr>
            <w:r>
              <w:rPr>
                <w:rFonts w:ascii="Arial" w:hAnsi="Arial" w:cs="Arial"/>
                <w:sz w:val="18"/>
                <w:szCs w:val="18"/>
              </w:rPr>
              <w:t>18/12/2018</w:t>
            </w:r>
          </w:p>
        </w:tc>
        <w:tc>
          <w:tcPr>
            <w:tcW w:w="1701" w:type="dxa"/>
          </w:tcPr>
          <w:p w14:paraId="6F31212A" w14:textId="0362734B" w:rsidR="00422B69" w:rsidRPr="00613708" w:rsidRDefault="005C48AB" w:rsidP="00613708">
            <w:pPr>
              <w:spacing w:after="120"/>
              <w:rPr>
                <w:rFonts w:ascii="Arial" w:hAnsi="Arial" w:cs="Arial"/>
                <w:sz w:val="18"/>
                <w:szCs w:val="18"/>
              </w:rPr>
            </w:pPr>
            <w:r>
              <w:rPr>
                <w:rFonts w:ascii="Arial" w:hAnsi="Arial" w:cs="Arial"/>
                <w:sz w:val="18"/>
                <w:szCs w:val="18"/>
              </w:rPr>
              <w:t>Major</w:t>
            </w:r>
          </w:p>
        </w:tc>
        <w:tc>
          <w:tcPr>
            <w:tcW w:w="1871" w:type="dxa"/>
          </w:tcPr>
          <w:p w14:paraId="4AD23AF9" w14:textId="643180A8" w:rsidR="00422B69" w:rsidRPr="00613708" w:rsidRDefault="005C48AB" w:rsidP="00613708">
            <w:pPr>
              <w:spacing w:after="120"/>
              <w:rPr>
                <w:rFonts w:ascii="Arial" w:hAnsi="Arial" w:cs="Arial"/>
                <w:sz w:val="18"/>
                <w:szCs w:val="18"/>
              </w:rPr>
            </w:pPr>
            <w:r>
              <w:rPr>
                <w:rFonts w:ascii="Arial" w:hAnsi="Arial" w:cs="Arial"/>
                <w:sz w:val="18"/>
                <w:szCs w:val="18"/>
              </w:rPr>
              <w:t>September 2019</w:t>
            </w:r>
          </w:p>
        </w:tc>
        <w:tc>
          <w:tcPr>
            <w:tcW w:w="2552" w:type="dxa"/>
          </w:tcPr>
          <w:p w14:paraId="7E2D3FE4" w14:textId="06716E09" w:rsidR="00422B69" w:rsidRPr="00613708" w:rsidRDefault="005C48AB" w:rsidP="00613708">
            <w:pPr>
              <w:spacing w:after="120"/>
              <w:rPr>
                <w:rFonts w:ascii="Arial" w:hAnsi="Arial" w:cs="Arial"/>
                <w:sz w:val="18"/>
                <w:szCs w:val="18"/>
              </w:rPr>
            </w:pPr>
            <w:r>
              <w:rPr>
                <w:rFonts w:ascii="Arial" w:hAnsi="Arial" w:cs="Arial"/>
                <w:sz w:val="18"/>
                <w:szCs w:val="18"/>
              </w:rPr>
              <w:t>11, 12, 17</w:t>
            </w:r>
          </w:p>
        </w:tc>
        <w:tc>
          <w:tcPr>
            <w:tcW w:w="3032" w:type="dxa"/>
          </w:tcPr>
          <w:p w14:paraId="28F8FB13" w14:textId="77777777" w:rsidR="00422B69" w:rsidRPr="00613708" w:rsidRDefault="00422B69" w:rsidP="00613708">
            <w:pPr>
              <w:spacing w:after="120"/>
              <w:rPr>
                <w:rFonts w:ascii="Arial" w:hAnsi="Arial" w:cs="Arial"/>
                <w:sz w:val="18"/>
                <w:szCs w:val="18"/>
              </w:rPr>
            </w:pPr>
          </w:p>
        </w:tc>
      </w:tr>
      <w:tr w:rsidR="00302082" w:rsidRPr="00302082" w14:paraId="32A01591" w14:textId="77777777" w:rsidTr="00154D48">
        <w:trPr>
          <w:trHeight w:val="305"/>
        </w:trPr>
        <w:tc>
          <w:tcPr>
            <w:tcW w:w="1526" w:type="dxa"/>
          </w:tcPr>
          <w:p w14:paraId="05239290" w14:textId="77777777" w:rsidR="00422B69" w:rsidRPr="00613708" w:rsidRDefault="00422B69" w:rsidP="00613708">
            <w:pPr>
              <w:spacing w:after="120"/>
              <w:ind w:right="-115"/>
              <w:rPr>
                <w:rFonts w:ascii="Arial" w:hAnsi="Arial" w:cs="Arial"/>
                <w:sz w:val="18"/>
                <w:szCs w:val="18"/>
              </w:rPr>
            </w:pPr>
          </w:p>
        </w:tc>
        <w:tc>
          <w:tcPr>
            <w:tcW w:w="1701" w:type="dxa"/>
          </w:tcPr>
          <w:p w14:paraId="40BA5263" w14:textId="77777777" w:rsidR="00422B69" w:rsidRPr="00613708" w:rsidRDefault="00422B69" w:rsidP="00613708">
            <w:pPr>
              <w:spacing w:after="120"/>
              <w:rPr>
                <w:rFonts w:ascii="Arial" w:hAnsi="Arial" w:cs="Arial"/>
                <w:sz w:val="18"/>
                <w:szCs w:val="18"/>
              </w:rPr>
            </w:pPr>
          </w:p>
        </w:tc>
        <w:tc>
          <w:tcPr>
            <w:tcW w:w="1871" w:type="dxa"/>
          </w:tcPr>
          <w:p w14:paraId="46F78305" w14:textId="77777777" w:rsidR="00422B69" w:rsidRPr="00613708" w:rsidRDefault="00422B69" w:rsidP="00613708">
            <w:pPr>
              <w:spacing w:after="120"/>
              <w:rPr>
                <w:rFonts w:ascii="Arial" w:hAnsi="Arial" w:cs="Arial"/>
                <w:sz w:val="18"/>
                <w:szCs w:val="18"/>
              </w:rPr>
            </w:pPr>
          </w:p>
        </w:tc>
        <w:tc>
          <w:tcPr>
            <w:tcW w:w="2552" w:type="dxa"/>
          </w:tcPr>
          <w:p w14:paraId="206A359A" w14:textId="77777777" w:rsidR="00422B69" w:rsidRPr="00613708" w:rsidRDefault="00422B69" w:rsidP="00613708">
            <w:pPr>
              <w:spacing w:after="120"/>
              <w:rPr>
                <w:rFonts w:ascii="Arial" w:hAnsi="Arial" w:cs="Arial"/>
                <w:sz w:val="18"/>
                <w:szCs w:val="18"/>
              </w:rPr>
            </w:pPr>
          </w:p>
        </w:tc>
        <w:tc>
          <w:tcPr>
            <w:tcW w:w="3032" w:type="dxa"/>
          </w:tcPr>
          <w:p w14:paraId="2597262B" w14:textId="77777777" w:rsidR="00422B69" w:rsidRPr="00613708" w:rsidRDefault="00422B69" w:rsidP="00613708">
            <w:pPr>
              <w:spacing w:after="120"/>
              <w:rPr>
                <w:rFonts w:ascii="Arial" w:hAnsi="Arial" w:cs="Arial"/>
                <w:sz w:val="18"/>
                <w:szCs w:val="18"/>
              </w:rPr>
            </w:pPr>
          </w:p>
        </w:tc>
      </w:tr>
    </w:tbl>
    <w:p w14:paraId="42681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2D92" w14:textId="77777777" w:rsidR="00201C5F" w:rsidRDefault="00201C5F" w:rsidP="009A2D37">
      <w:pPr>
        <w:spacing w:after="0" w:line="240" w:lineRule="auto"/>
      </w:pPr>
      <w:r>
        <w:separator/>
      </w:r>
    </w:p>
  </w:endnote>
  <w:endnote w:type="continuationSeparator" w:id="0">
    <w:p w14:paraId="423843CF" w14:textId="77777777" w:rsidR="00201C5F" w:rsidRDefault="00201C5F" w:rsidP="009A2D37">
      <w:pPr>
        <w:spacing w:after="0" w:line="240" w:lineRule="auto"/>
      </w:pPr>
      <w:r>
        <w:continuationSeparator/>
      </w:r>
    </w:p>
  </w:endnote>
  <w:endnote w:type="continuationNotice" w:id="1">
    <w:p w14:paraId="0251689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58D3C1" w14:textId="4382D84E" w:rsidR="008B2543" w:rsidRDefault="0019787E" w:rsidP="009A2D37">
        <w:pPr>
          <w:pStyle w:val="Footer"/>
          <w:jc w:val="center"/>
        </w:pPr>
        <w:r>
          <w:fldChar w:fldCharType="begin"/>
        </w:r>
        <w:r>
          <w:instrText xml:space="preserve"> PAGE   \* MERGEFORMAT </w:instrText>
        </w:r>
        <w:r>
          <w:fldChar w:fldCharType="separate"/>
        </w:r>
        <w:r w:rsidR="00C92449">
          <w:rPr>
            <w:noProof/>
          </w:rPr>
          <w:t>3</w:t>
        </w:r>
        <w:r>
          <w:rPr>
            <w:noProof/>
          </w:rPr>
          <w:fldChar w:fldCharType="end"/>
        </w:r>
      </w:p>
    </w:sdtContent>
  </w:sdt>
  <w:p w14:paraId="45C05E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EB29" w14:textId="77777777" w:rsidR="00201C5F" w:rsidRDefault="00201C5F" w:rsidP="009A2D37">
      <w:pPr>
        <w:spacing w:after="0" w:line="240" w:lineRule="auto"/>
      </w:pPr>
      <w:r>
        <w:separator/>
      </w:r>
    </w:p>
  </w:footnote>
  <w:footnote w:type="continuationSeparator" w:id="0">
    <w:p w14:paraId="19E80326" w14:textId="77777777" w:rsidR="00201C5F" w:rsidRDefault="00201C5F" w:rsidP="009A2D37">
      <w:pPr>
        <w:spacing w:after="0" w:line="240" w:lineRule="auto"/>
      </w:pPr>
      <w:r>
        <w:continuationSeparator/>
      </w:r>
    </w:p>
  </w:footnote>
  <w:footnote w:type="continuationNotice" w:id="1">
    <w:p w14:paraId="0B7BCF7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64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4B98DD" wp14:editId="123464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18490B" w14:textId="77777777" w:rsidR="008B2543" w:rsidRPr="008C00F8" w:rsidRDefault="008B2543" w:rsidP="005E6D38">
    <w:pPr>
      <w:pStyle w:val="Heading1"/>
      <w:spacing w:before="60" w:after="60"/>
      <w:rPr>
        <w:rFonts w:ascii="Arial" w:hAnsi="Arial" w:cs="Arial"/>
      </w:rPr>
    </w:pPr>
  </w:p>
  <w:p w14:paraId="14B707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3B55" w14:textId="17A4A9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F13AC" wp14:editId="34D29C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3A25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94F"/>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22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C48AB"/>
    <w:rsid w:val="005D4AED"/>
    <w:rsid w:val="005D7CD0"/>
    <w:rsid w:val="005E1A3A"/>
    <w:rsid w:val="005E6ADC"/>
    <w:rsid w:val="005E6D10"/>
    <w:rsid w:val="005E6D38"/>
    <w:rsid w:val="005E7B3F"/>
    <w:rsid w:val="005F040F"/>
    <w:rsid w:val="005F1730"/>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5553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4F5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2449"/>
    <w:rsid w:val="00CA3254"/>
    <w:rsid w:val="00CA78B9"/>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93B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4A62E-9167-4926-9712-65414482746C}">
  <ds:schemaRefs>
    <ds:schemaRef ds:uri="http://schemas.openxmlformats.org/officeDocument/2006/bibliography"/>
  </ds:schemaRefs>
</ds:datastoreItem>
</file>

<file path=customXml/itemProps2.xml><?xml version="1.0" encoding="utf-8"?>
<ds:datastoreItem xmlns:ds="http://schemas.openxmlformats.org/officeDocument/2006/customXml" ds:itemID="{2361B643-F4D6-400F-8284-7EE6B6530E60}"/>
</file>

<file path=customXml/itemProps3.xml><?xml version="1.0" encoding="utf-8"?>
<ds:datastoreItem xmlns:ds="http://schemas.openxmlformats.org/officeDocument/2006/customXml" ds:itemID="{8FC0FA00-E39F-49B8-8F3C-57805033E11F}"/>
</file>

<file path=customXml/itemProps4.xml><?xml version="1.0" encoding="utf-8"?>
<ds:datastoreItem xmlns:ds="http://schemas.openxmlformats.org/officeDocument/2006/customXml" ds:itemID="{1D4A4698-6F17-49C4-85DC-E43AF219451D}"/>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2019-01-29T11:41:00Z</dcterms:created>
  <dcterms:modified xsi:type="dcterms:W3CDTF">2019-03-01T10:46:00Z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