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302082" w:rsidRDefault="00171BC8" w:rsidP="00745702">
      <w:pPr>
        <w:spacing w:after="120" w:line="240" w:lineRule="auto"/>
        <w:ind w:left="567" w:right="260"/>
        <w:jc w:val="both"/>
        <w:rPr>
          <w:rFonts w:ascii="Arial" w:hAnsi="Arial" w:cs="Arial"/>
        </w:rPr>
      </w:pPr>
      <w:r>
        <w:rPr>
          <w:rFonts w:ascii="Arial" w:hAnsi="Arial" w:cs="Arial"/>
        </w:rPr>
        <w:t>PHIL6380/PHIL6390 (</w:t>
      </w:r>
      <w:r w:rsidR="00671431">
        <w:rPr>
          <w:rFonts w:ascii="Arial" w:hAnsi="Arial" w:cs="Arial"/>
        </w:rPr>
        <w:t>PL638/PL639</w:t>
      </w:r>
      <w:r>
        <w:rPr>
          <w:rFonts w:ascii="Arial" w:hAnsi="Arial" w:cs="Arial"/>
        </w:rPr>
        <w:t>)</w:t>
      </w:r>
      <w:r w:rsidR="00671431">
        <w:rPr>
          <w:rFonts w:ascii="Arial" w:hAnsi="Arial" w:cs="Arial"/>
        </w:rPr>
        <w:t xml:space="preserve"> – Death and Beauty: Schopenhauer and Nietzsche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671431" w:rsidP="00745702">
      <w:pPr>
        <w:spacing w:after="120" w:line="240" w:lineRule="auto"/>
        <w:ind w:left="567" w:right="260"/>
        <w:rPr>
          <w:rFonts w:ascii="Arial" w:hAnsi="Arial" w:cs="Arial"/>
          <w:iCs/>
        </w:rPr>
      </w:pPr>
      <w:r>
        <w:rPr>
          <w:rFonts w:ascii="Arial" w:hAnsi="Arial" w:cs="Arial"/>
          <w:iCs/>
        </w:rPr>
        <w:t>Level 5 (P</w:t>
      </w:r>
      <w:r w:rsidR="00171BC8">
        <w:rPr>
          <w:rFonts w:ascii="Arial" w:hAnsi="Arial" w:cs="Arial"/>
          <w:iCs/>
        </w:rPr>
        <w:t>HI</w:t>
      </w:r>
      <w:r>
        <w:rPr>
          <w:rFonts w:ascii="Arial" w:hAnsi="Arial" w:cs="Arial"/>
          <w:iCs/>
        </w:rPr>
        <w:t>L638</w:t>
      </w:r>
      <w:r w:rsidR="00171BC8">
        <w:rPr>
          <w:rFonts w:ascii="Arial" w:hAnsi="Arial" w:cs="Arial"/>
          <w:iCs/>
        </w:rPr>
        <w:t>0</w:t>
      </w:r>
      <w:r>
        <w:rPr>
          <w:rFonts w:ascii="Arial" w:hAnsi="Arial" w:cs="Arial"/>
          <w:iCs/>
        </w:rPr>
        <w:t>) and Level 6 (P</w:t>
      </w:r>
      <w:r w:rsidR="00171BC8">
        <w:rPr>
          <w:rFonts w:ascii="Arial" w:hAnsi="Arial" w:cs="Arial"/>
          <w:iCs/>
        </w:rPr>
        <w:t>HI</w:t>
      </w:r>
      <w:r>
        <w:rPr>
          <w:rFonts w:ascii="Arial" w:hAnsi="Arial" w:cs="Arial"/>
          <w:iCs/>
        </w:rPr>
        <w:t>L639</w:t>
      </w:r>
      <w:r w:rsidR="00171BC8">
        <w:rPr>
          <w:rFonts w:ascii="Arial" w:hAnsi="Arial" w:cs="Arial"/>
          <w:iCs/>
        </w:rPr>
        <w:t>0</w:t>
      </w:r>
      <w:r>
        <w:rPr>
          <w:rFonts w:ascii="Arial" w:hAnsi="Arial" w:cs="Arial"/>
          <w:iCs/>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671431" w:rsidP="00745702">
      <w:pPr>
        <w:spacing w:after="120" w:line="240" w:lineRule="auto"/>
        <w:ind w:left="567" w:right="260"/>
        <w:rPr>
          <w:rFonts w:ascii="Arial" w:hAnsi="Arial" w:cs="Arial"/>
        </w:rPr>
      </w:pPr>
      <w:r>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671431"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71431" w:rsidP="00745702">
      <w:pPr>
        <w:spacing w:after="120" w:line="240" w:lineRule="auto"/>
        <w:ind w:left="567" w:right="260"/>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25C76" w:rsidRPr="0036174D" w:rsidRDefault="00671431" w:rsidP="00745702">
      <w:pPr>
        <w:spacing w:after="120" w:line="240" w:lineRule="auto"/>
        <w:ind w:left="567" w:right="260"/>
        <w:rPr>
          <w:rFonts w:ascii="Arial" w:hAnsi="Arial" w:cs="Arial"/>
          <w:iCs/>
        </w:rPr>
      </w:pPr>
      <w:r>
        <w:rPr>
          <w:rFonts w:ascii="Arial" w:hAnsi="Arial" w:cs="Arial"/>
          <w:iCs/>
        </w:rPr>
        <w:t>Optional for BA Philosophy (Single and Joint Honours)</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671431">
        <w:rPr>
          <w:rFonts w:ascii="Arial" w:hAnsi="Arial" w:cs="Arial"/>
          <w:b/>
        </w:rPr>
        <w:t>,</w:t>
      </w:r>
      <w:r w:rsidR="00C729D7" w:rsidRPr="00302082">
        <w:rPr>
          <w:rFonts w:ascii="Arial" w:hAnsi="Arial" w:cs="Arial"/>
          <w:b/>
        </w:rPr>
        <w:t xml:space="preserve"> </w:t>
      </w:r>
      <w:r w:rsidR="00671431">
        <w:rPr>
          <w:rFonts w:ascii="Arial" w:hAnsi="Arial" w:cs="Arial"/>
          <w:b/>
        </w:rPr>
        <w:t xml:space="preserve">Level 5 </w:t>
      </w:r>
      <w:r w:rsidR="00C729D7" w:rsidRPr="00302082">
        <w:rPr>
          <w:rFonts w:ascii="Arial" w:hAnsi="Arial" w:cs="Arial"/>
          <w:b/>
        </w:rPr>
        <w:t>students will be able to:</w:t>
      </w:r>
    </w:p>
    <w:p w:rsidR="00C25C76" w:rsidRDefault="00671431"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A9605B">
        <w:rPr>
          <w:rFonts w:ascii="Arial" w:hAnsi="Arial" w:cs="Arial"/>
        </w:rPr>
        <w:t xml:space="preserve">Demonstrate </w:t>
      </w:r>
      <w:r w:rsidR="00055EC5">
        <w:rPr>
          <w:rFonts w:ascii="Arial" w:hAnsi="Arial" w:cs="Arial"/>
        </w:rPr>
        <w:t>critical</w:t>
      </w:r>
      <w:r w:rsidRPr="00671431">
        <w:rPr>
          <w:rFonts w:ascii="Arial" w:hAnsi="Arial" w:cs="Arial"/>
        </w:rPr>
        <w:t xml:space="preserve"> understanding of a specific writing or writings by Schopenhauer</w:t>
      </w:r>
      <w:r>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671431">
        <w:rPr>
          <w:rFonts w:ascii="Arial" w:hAnsi="Arial" w:cs="Arial"/>
        </w:rPr>
        <w:t>Connect specific writing or writings of Schopenhauer to modern works and themes</w:t>
      </w:r>
      <w:r w:rsidR="008413C7">
        <w:rPr>
          <w:rFonts w:ascii="Arial" w:hAnsi="Arial" w:cs="Arial"/>
        </w:rPr>
        <w:t xml:space="preserve"> and </w:t>
      </w:r>
      <w:r w:rsidRPr="00671431">
        <w:rPr>
          <w:rFonts w:ascii="Arial" w:hAnsi="Arial" w:cs="Arial"/>
        </w:rPr>
        <w:t>comment on those themes</w:t>
      </w:r>
      <w:r>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A9605B">
        <w:rPr>
          <w:rFonts w:ascii="Arial" w:hAnsi="Arial" w:cs="Arial"/>
        </w:rPr>
        <w:t>Demonstrate</w:t>
      </w:r>
      <w:r w:rsidR="00E66833">
        <w:rPr>
          <w:rFonts w:ascii="Arial" w:hAnsi="Arial" w:cs="Arial"/>
        </w:rPr>
        <w:t xml:space="preserve"> </w:t>
      </w:r>
      <w:r w:rsidR="00055EC5">
        <w:rPr>
          <w:rFonts w:ascii="Arial" w:hAnsi="Arial" w:cs="Arial"/>
        </w:rPr>
        <w:t>critical</w:t>
      </w:r>
      <w:r w:rsidRPr="00671431">
        <w:rPr>
          <w:rFonts w:ascii="Arial" w:hAnsi="Arial" w:cs="Arial"/>
        </w:rPr>
        <w:t xml:space="preserve"> understanding of a specific writing or writings by Nietzsche</w:t>
      </w:r>
    </w:p>
    <w:p w:rsidR="00671431" w:rsidRDefault="00671431"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671431">
        <w:rPr>
          <w:rFonts w:ascii="Arial" w:hAnsi="Arial" w:cs="Arial"/>
        </w:rPr>
        <w:t>Connect specific writing or writings of Nietzsche to modern works and themes</w:t>
      </w:r>
      <w:r w:rsidR="008413C7">
        <w:rPr>
          <w:rFonts w:ascii="Arial" w:hAnsi="Arial" w:cs="Arial"/>
        </w:rPr>
        <w:t xml:space="preserve"> and </w:t>
      </w:r>
      <w:r w:rsidRPr="00671431">
        <w:rPr>
          <w:rFonts w:ascii="Arial" w:hAnsi="Arial" w:cs="Arial"/>
        </w:rPr>
        <w:t>comment on those themes</w:t>
      </w:r>
      <w:r>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671431">
        <w:rPr>
          <w:rFonts w:ascii="Arial" w:hAnsi="Arial" w:cs="Arial"/>
        </w:rPr>
        <w:t xml:space="preserve">Connect </w:t>
      </w:r>
      <w:r w:rsidR="00A9605B">
        <w:rPr>
          <w:rFonts w:ascii="Arial" w:hAnsi="Arial" w:cs="Arial"/>
        </w:rPr>
        <w:t>and contrast the benefits</w:t>
      </w:r>
      <w:r w:rsidR="00A9605B" w:rsidRPr="00671431">
        <w:rPr>
          <w:rFonts w:ascii="Arial" w:hAnsi="Arial" w:cs="Arial"/>
        </w:rPr>
        <w:t xml:space="preserve"> </w:t>
      </w:r>
      <w:r w:rsidRPr="00671431">
        <w:rPr>
          <w:rFonts w:ascii="Arial" w:hAnsi="Arial" w:cs="Arial"/>
        </w:rPr>
        <w:t>of Schopenhauer and Nietzsche’s ideas</w:t>
      </w:r>
      <w:r w:rsidR="009928B8">
        <w:rPr>
          <w:rFonts w:ascii="Arial" w:hAnsi="Arial" w:cs="Arial"/>
        </w:rPr>
        <w:t xml:space="preserve"> to each other and critically compare them</w:t>
      </w:r>
      <w:proofErr w:type="gramStart"/>
      <w:r w:rsidR="009928B8">
        <w:rPr>
          <w:rFonts w:ascii="Arial" w:hAnsi="Arial" w:cs="Arial"/>
        </w:rPr>
        <w:t>.</w:t>
      </w:r>
      <w:r w:rsidRPr="00671431">
        <w:rPr>
          <w:rFonts w:ascii="Arial" w:hAnsi="Arial" w:cs="Arial"/>
        </w:rPr>
        <w:t>.</w:t>
      </w:r>
      <w:proofErr w:type="gramEnd"/>
    </w:p>
    <w:p w:rsidR="00671431" w:rsidRDefault="00671431" w:rsidP="00671431">
      <w:pPr>
        <w:spacing w:after="120" w:line="240" w:lineRule="auto"/>
        <w:ind w:left="567" w:right="260"/>
        <w:jc w:val="both"/>
        <w:rPr>
          <w:rFonts w:ascii="Arial" w:hAnsi="Arial" w:cs="Arial"/>
        </w:rPr>
      </w:pPr>
      <w:r w:rsidRPr="00671431">
        <w:rPr>
          <w:rFonts w:ascii="Arial" w:hAnsi="Arial" w:cs="Arial"/>
          <w:b/>
        </w:rPr>
        <w:t xml:space="preserve">On successfully completing the module, Level </w:t>
      </w:r>
      <w:r>
        <w:rPr>
          <w:rFonts w:ascii="Arial" w:hAnsi="Arial" w:cs="Arial"/>
          <w:b/>
        </w:rPr>
        <w:t>6</w:t>
      </w:r>
      <w:r w:rsidRPr="00671431">
        <w:rPr>
          <w:rFonts w:ascii="Arial" w:hAnsi="Arial" w:cs="Arial"/>
          <w:b/>
        </w:rPr>
        <w:t xml:space="preserve"> students will be able to:</w:t>
      </w:r>
    </w:p>
    <w:p w:rsidR="00671431" w:rsidRDefault="00671431" w:rsidP="0009626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00A9605B">
        <w:rPr>
          <w:rFonts w:ascii="Arial" w:hAnsi="Arial" w:cs="Arial"/>
        </w:rPr>
        <w:t xml:space="preserve">Demonstrate a </w:t>
      </w:r>
      <w:r w:rsidR="00055EC5">
        <w:rPr>
          <w:rFonts w:ascii="Arial" w:hAnsi="Arial" w:cs="Arial"/>
        </w:rPr>
        <w:t>systematic</w:t>
      </w:r>
      <w:r w:rsidR="00A9605B">
        <w:rPr>
          <w:rFonts w:ascii="Arial" w:hAnsi="Arial" w:cs="Arial"/>
        </w:rPr>
        <w:t xml:space="preserve"> understanding of</w:t>
      </w:r>
      <w:r w:rsidRPr="00671431">
        <w:rPr>
          <w:rFonts w:ascii="Arial" w:hAnsi="Arial" w:cs="Arial"/>
        </w:rPr>
        <w:t xml:space="preserve"> a specific writing or writings by Schopenhauer</w:t>
      </w:r>
      <w:r w:rsidR="00A9605B">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671431">
        <w:rPr>
          <w:rFonts w:ascii="Arial" w:hAnsi="Arial" w:cs="Arial"/>
        </w:rPr>
        <w:t>Connect specific writing or writings of Schopenhauer to modern works and themes</w:t>
      </w:r>
      <w:r w:rsidR="008413C7">
        <w:rPr>
          <w:rFonts w:ascii="Arial" w:hAnsi="Arial" w:cs="Arial"/>
        </w:rPr>
        <w:t xml:space="preserve">, and </w:t>
      </w:r>
      <w:r w:rsidRPr="00671431">
        <w:rPr>
          <w:rFonts w:ascii="Arial" w:hAnsi="Arial" w:cs="Arial"/>
        </w:rPr>
        <w:t>comment on those themes and critically assess Schopenhauer’s contributions</w:t>
      </w:r>
      <w:r w:rsidR="00A9605B">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8.8</w:t>
      </w:r>
      <w:r>
        <w:rPr>
          <w:rFonts w:ascii="Arial" w:hAnsi="Arial" w:cs="Arial"/>
        </w:rPr>
        <w:tab/>
      </w:r>
      <w:r w:rsidR="00A9605B">
        <w:rPr>
          <w:rFonts w:ascii="Arial" w:hAnsi="Arial" w:cs="Arial"/>
        </w:rPr>
        <w:t xml:space="preserve">Demonstrate a </w:t>
      </w:r>
      <w:r w:rsidR="00055EC5">
        <w:rPr>
          <w:rFonts w:ascii="Arial" w:hAnsi="Arial" w:cs="Arial"/>
        </w:rPr>
        <w:t>systematic</w:t>
      </w:r>
      <w:r w:rsidR="00A9605B">
        <w:rPr>
          <w:rFonts w:ascii="Arial" w:hAnsi="Arial" w:cs="Arial"/>
        </w:rPr>
        <w:t xml:space="preserve"> understanding of</w:t>
      </w:r>
      <w:r w:rsidRPr="00671431">
        <w:rPr>
          <w:rFonts w:ascii="Arial" w:hAnsi="Arial" w:cs="Arial"/>
        </w:rPr>
        <w:t xml:space="preserve"> a specific writing or writings by Nietzsche</w:t>
      </w:r>
      <w:r w:rsidR="00A9605B">
        <w:rPr>
          <w:rFonts w:ascii="Arial" w:hAnsi="Arial" w:cs="Arial"/>
        </w:rPr>
        <w:t>;</w:t>
      </w:r>
    </w:p>
    <w:p w:rsidR="00671431" w:rsidRDefault="00671431" w:rsidP="0009626C">
      <w:pPr>
        <w:spacing w:after="120" w:line="240" w:lineRule="auto"/>
        <w:ind w:left="1418" w:right="260" w:hanging="567"/>
        <w:jc w:val="both"/>
        <w:rPr>
          <w:rFonts w:ascii="Arial" w:hAnsi="Arial" w:cs="Arial"/>
        </w:rPr>
      </w:pPr>
      <w:r>
        <w:rPr>
          <w:rFonts w:ascii="Arial" w:hAnsi="Arial" w:cs="Arial"/>
        </w:rPr>
        <w:t>8.9</w:t>
      </w:r>
      <w:r>
        <w:rPr>
          <w:rFonts w:ascii="Arial" w:hAnsi="Arial" w:cs="Arial"/>
        </w:rPr>
        <w:tab/>
      </w:r>
      <w:r w:rsidRPr="00671431">
        <w:rPr>
          <w:rFonts w:ascii="Arial" w:hAnsi="Arial" w:cs="Arial"/>
        </w:rPr>
        <w:t>Connect specific writing or writings of Nietzsche to modern works and themes</w:t>
      </w:r>
      <w:r w:rsidR="008413C7">
        <w:rPr>
          <w:rFonts w:ascii="Arial" w:hAnsi="Arial" w:cs="Arial"/>
        </w:rPr>
        <w:t xml:space="preserve">, and </w:t>
      </w:r>
      <w:r w:rsidRPr="00671431">
        <w:rPr>
          <w:rFonts w:ascii="Arial" w:hAnsi="Arial" w:cs="Arial"/>
        </w:rPr>
        <w:t xml:space="preserve">comment on those themes and critically discuss Nietzsche’s </w:t>
      </w:r>
      <w:r w:rsidRPr="00671431">
        <w:rPr>
          <w:rFonts w:ascii="Arial" w:hAnsi="Arial" w:cs="Arial"/>
        </w:rPr>
        <w:lastRenderedPageBreak/>
        <w:t>contributions</w:t>
      </w:r>
      <w:r w:rsidR="00A9605B">
        <w:rPr>
          <w:rFonts w:ascii="Arial" w:hAnsi="Arial" w:cs="Arial"/>
        </w:rPr>
        <w:t>;</w:t>
      </w:r>
    </w:p>
    <w:p w:rsidR="00671431" w:rsidRPr="00C25C76" w:rsidRDefault="00671431" w:rsidP="0009626C">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671431">
        <w:rPr>
          <w:rFonts w:ascii="Arial" w:hAnsi="Arial" w:cs="Arial"/>
        </w:rPr>
        <w:t xml:space="preserve">Connect </w:t>
      </w:r>
      <w:r w:rsidR="00A9605B">
        <w:rPr>
          <w:rFonts w:ascii="Arial" w:hAnsi="Arial" w:cs="Arial"/>
        </w:rPr>
        <w:t>and contrast the benefits</w:t>
      </w:r>
      <w:r w:rsidR="00A9605B" w:rsidRPr="00671431">
        <w:rPr>
          <w:rFonts w:ascii="Arial" w:hAnsi="Arial" w:cs="Arial"/>
        </w:rPr>
        <w:t xml:space="preserve"> </w:t>
      </w:r>
      <w:r w:rsidRPr="00671431">
        <w:rPr>
          <w:rFonts w:ascii="Arial" w:hAnsi="Arial" w:cs="Arial"/>
        </w:rPr>
        <w:t>of Schopenhauer and Nietzsche’s ideas to each other, and critically compare them in a sustained manner that shows depth of understanding.</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71431">
        <w:rPr>
          <w:rFonts w:ascii="Arial" w:hAnsi="Arial" w:cs="Arial"/>
          <w:b/>
        </w:rPr>
        <w:t>, Level 5</w:t>
      </w:r>
      <w:r w:rsidR="00C729D7" w:rsidRPr="00302082">
        <w:rPr>
          <w:rFonts w:ascii="Arial" w:hAnsi="Arial" w:cs="Arial"/>
          <w:b/>
        </w:rPr>
        <w:t xml:space="preserve"> students will be able to:</w:t>
      </w:r>
    </w:p>
    <w:p w:rsidR="00C25C76" w:rsidRDefault="00671431"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w:t>
      </w:r>
      <w:r w:rsidRPr="00671431">
        <w:rPr>
          <w:rFonts w:ascii="Arial" w:hAnsi="Arial" w:cs="Arial"/>
        </w:rPr>
        <w:t>their skills in critical analysis and argument both through their reading and through listening to others</w:t>
      </w:r>
      <w:r>
        <w:rPr>
          <w:rFonts w:ascii="Arial" w:hAnsi="Arial" w:cs="Arial"/>
        </w:rPr>
        <w:t>;</w:t>
      </w:r>
    </w:p>
    <w:p w:rsidR="00671431" w:rsidRDefault="00671431"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w:t>
      </w:r>
      <w:r w:rsidRPr="00671431">
        <w:rPr>
          <w:rFonts w:ascii="Arial" w:hAnsi="Arial" w:cs="Arial"/>
        </w:rPr>
        <w:t xml:space="preserve"> their ability to make complex ideas understandable in their philosophical writing</w:t>
      </w:r>
      <w:r>
        <w:rPr>
          <w:rFonts w:ascii="Arial" w:hAnsi="Arial" w:cs="Arial"/>
        </w:rPr>
        <w:t>;</w:t>
      </w:r>
    </w:p>
    <w:p w:rsidR="00671431" w:rsidRDefault="00671431"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671431">
        <w:rPr>
          <w:rFonts w:ascii="Arial" w:hAnsi="Arial" w:cs="Arial"/>
        </w:rPr>
        <w:t xml:space="preserve"> their ability to make complex ideas understandable in their public speaking</w:t>
      </w:r>
      <w:r>
        <w:rPr>
          <w:rFonts w:ascii="Arial" w:hAnsi="Arial" w:cs="Arial"/>
        </w:rPr>
        <w:t>;</w:t>
      </w:r>
    </w:p>
    <w:p w:rsidR="00671431" w:rsidRDefault="00671431"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671431">
        <w:rPr>
          <w:rFonts w:ascii="Arial" w:hAnsi="Arial" w:cs="Arial"/>
        </w:rPr>
        <w:t xml:space="preserve"> their ability to work autonomously and to take responsibility for their learning</w:t>
      </w:r>
      <w:r>
        <w:rPr>
          <w:rFonts w:ascii="Arial" w:hAnsi="Arial" w:cs="Arial"/>
        </w:rPr>
        <w:t>.</w:t>
      </w:r>
    </w:p>
    <w:p w:rsidR="00671431" w:rsidRDefault="00671431" w:rsidP="00671431">
      <w:pPr>
        <w:spacing w:after="120" w:line="240" w:lineRule="auto"/>
        <w:ind w:left="567" w:right="260"/>
        <w:jc w:val="both"/>
        <w:rPr>
          <w:rFonts w:ascii="Arial" w:hAnsi="Arial" w:cs="Arial"/>
        </w:rPr>
      </w:pPr>
      <w:r w:rsidRPr="00671431">
        <w:rPr>
          <w:rFonts w:ascii="Arial" w:hAnsi="Arial" w:cs="Arial"/>
          <w:b/>
        </w:rPr>
        <w:t>On successfully completing the module, Level 6 students will be able to:</w:t>
      </w:r>
    </w:p>
    <w:p w:rsidR="00671431" w:rsidRDefault="00420118"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t>Demonstrate</w:t>
      </w:r>
      <w:r w:rsidRPr="00420118">
        <w:rPr>
          <w:rFonts w:ascii="Arial" w:hAnsi="Arial" w:cs="Arial"/>
        </w:rPr>
        <w:t xml:space="preserve"> enhanced skills in critical analysis and argument both through their reading and through listening to others</w:t>
      </w:r>
      <w:r>
        <w:rPr>
          <w:rFonts w:ascii="Arial" w:hAnsi="Arial" w:cs="Arial"/>
        </w:rPr>
        <w:t>;</w:t>
      </w:r>
    </w:p>
    <w:p w:rsidR="00420118" w:rsidRDefault="00420118"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420118">
        <w:rPr>
          <w:rFonts w:ascii="Arial" w:hAnsi="Arial" w:cs="Arial"/>
        </w:rPr>
        <w:t xml:space="preserve"> </w:t>
      </w:r>
      <w:r>
        <w:rPr>
          <w:rFonts w:ascii="Arial" w:hAnsi="Arial" w:cs="Arial"/>
        </w:rPr>
        <w:t xml:space="preserve">a </w:t>
      </w:r>
      <w:r w:rsidRPr="00420118">
        <w:rPr>
          <w:rFonts w:ascii="Arial" w:hAnsi="Arial" w:cs="Arial"/>
        </w:rPr>
        <w:t>deepened ability to make complex ideas understandable in their philosophical writing, and focussed on precision and clarity</w:t>
      </w:r>
      <w:r>
        <w:rPr>
          <w:rFonts w:ascii="Arial" w:hAnsi="Arial" w:cs="Arial"/>
        </w:rPr>
        <w:t>;</w:t>
      </w:r>
    </w:p>
    <w:p w:rsidR="00420118" w:rsidRDefault="00420118" w:rsidP="00C25C76">
      <w:pPr>
        <w:spacing w:after="120" w:line="240" w:lineRule="auto"/>
        <w:ind w:left="1418" w:right="260" w:hanging="567"/>
        <w:jc w:val="both"/>
        <w:rPr>
          <w:rFonts w:ascii="Arial" w:hAnsi="Arial" w:cs="Arial"/>
        </w:rPr>
      </w:pPr>
      <w:r>
        <w:rPr>
          <w:rFonts w:ascii="Arial" w:hAnsi="Arial" w:cs="Arial"/>
        </w:rPr>
        <w:t>9.7</w:t>
      </w:r>
      <w:r>
        <w:rPr>
          <w:rFonts w:ascii="Arial" w:hAnsi="Arial" w:cs="Arial"/>
        </w:rPr>
        <w:tab/>
        <w:t>Demonstrate a</w:t>
      </w:r>
      <w:r w:rsidRPr="00420118">
        <w:rPr>
          <w:rFonts w:ascii="Arial" w:hAnsi="Arial" w:cs="Arial"/>
        </w:rPr>
        <w:t xml:space="preserve"> deepened ability to make complex ideas understandable in their public speaking</w:t>
      </w:r>
      <w:r>
        <w:rPr>
          <w:rFonts w:ascii="Arial" w:hAnsi="Arial" w:cs="Arial"/>
        </w:rPr>
        <w:t>;</w:t>
      </w:r>
    </w:p>
    <w:p w:rsidR="00420118" w:rsidRPr="0036174D" w:rsidRDefault="00420118" w:rsidP="00C25C76">
      <w:pPr>
        <w:spacing w:after="120" w:line="240" w:lineRule="auto"/>
        <w:ind w:left="1418" w:right="260" w:hanging="567"/>
        <w:jc w:val="both"/>
        <w:rPr>
          <w:rFonts w:ascii="Arial" w:hAnsi="Arial" w:cs="Arial"/>
        </w:rPr>
      </w:pPr>
      <w:r>
        <w:rPr>
          <w:rFonts w:ascii="Arial" w:hAnsi="Arial" w:cs="Arial"/>
        </w:rPr>
        <w:t>9.8</w:t>
      </w:r>
      <w:r>
        <w:rPr>
          <w:rFonts w:ascii="Arial" w:hAnsi="Arial" w:cs="Arial"/>
        </w:rPr>
        <w:tab/>
        <w:t xml:space="preserve">Demonstrate </w:t>
      </w:r>
      <w:r w:rsidRPr="00420118">
        <w:rPr>
          <w:rFonts w:ascii="Arial" w:hAnsi="Arial" w:cs="Arial"/>
        </w:rPr>
        <w:t>confiden</w:t>
      </w:r>
      <w:r>
        <w:rPr>
          <w:rFonts w:ascii="Arial" w:hAnsi="Arial" w:cs="Arial"/>
        </w:rPr>
        <w:t>ce</w:t>
      </w:r>
      <w:r w:rsidRPr="00420118">
        <w:rPr>
          <w:rFonts w:ascii="Arial" w:hAnsi="Arial" w:cs="Arial"/>
        </w:rPr>
        <w:t xml:space="preserve"> in working autonomously and taking responsibility for their learning</w:t>
      </w:r>
      <w:r>
        <w:rPr>
          <w:rFonts w:ascii="Arial" w:hAnsi="Arial" w:cs="Arial"/>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3365C" w:rsidRPr="0033365C" w:rsidRDefault="0033365C" w:rsidP="0033365C">
      <w:pPr>
        <w:spacing w:after="120" w:line="240" w:lineRule="auto"/>
        <w:ind w:left="567" w:right="260"/>
        <w:jc w:val="both"/>
        <w:rPr>
          <w:rFonts w:ascii="Arial" w:hAnsi="Arial" w:cs="Arial"/>
          <w:iCs/>
        </w:rPr>
      </w:pPr>
      <w:r w:rsidRPr="0033365C">
        <w:rPr>
          <w:rFonts w:ascii="Arial" w:hAnsi="Arial" w:cs="Arial"/>
          <w:iCs/>
        </w:rPr>
        <w:t xml:space="preserve">This module concerns ideas of two of the most interesting of Western philosophers: Arthur Schopenhauer and Friedrich Nietzsche.  Both thinkers developed ideas that transformed much of the intellectual landscape of </w:t>
      </w:r>
      <w:r w:rsidR="000A3F23">
        <w:rPr>
          <w:rFonts w:ascii="Arial" w:hAnsi="Arial" w:cs="Arial"/>
          <w:iCs/>
        </w:rPr>
        <w:t xml:space="preserve">the </w:t>
      </w:r>
      <w:r w:rsidRPr="0033365C">
        <w:rPr>
          <w:rFonts w:ascii="Arial" w:hAnsi="Arial" w:cs="Arial"/>
          <w:iCs/>
        </w:rPr>
        <w:t xml:space="preserve">twentieth century, and both wrote books that prove fruitful for successive generations.   They wrote on many themes: ethics, religion, aesthetics, metaphysics, and epistemology.  Both take their starting point from those thinkers that came before, notably Kant and Hegel.  However, they are interesting to compare because they have such different views on philosophical thought and various themes.  In particular, some of Nietzsche’s thought is framed explicitly in opposition to Schopenhauer’s, with the former casting the latter as the great pessimist.  An appreciation of their ideas is an important part of the education of many philosophy students.  However, both Schopenhauer and Nietzsche can be hard writers to read and understand.  This module is designed both to introduce some of their ideas and develop a student’s appreciation of them such that he or she can discuss them with confidence and critical insight.  </w:t>
      </w:r>
    </w:p>
    <w:p w:rsidR="009A2D37" w:rsidRPr="0036174D" w:rsidRDefault="0033365C" w:rsidP="0033365C">
      <w:pPr>
        <w:spacing w:after="120" w:line="240" w:lineRule="auto"/>
        <w:ind w:left="567" w:right="260"/>
        <w:jc w:val="both"/>
        <w:rPr>
          <w:rFonts w:ascii="Arial" w:hAnsi="Arial" w:cs="Arial"/>
          <w:iCs/>
        </w:rPr>
      </w:pPr>
      <w:r w:rsidRPr="0033365C">
        <w:rPr>
          <w:rFonts w:ascii="Arial" w:hAnsi="Arial" w:cs="Arial"/>
          <w:iCs/>
        </w:rPr>
        <w:t>The module will not cover all of the writings of either or both thinkers.  Students will typically read selections from Schopenhauer’s The World as Will and Representation, and his essays, and then selections from a variety of Nietzsche’s works, or one work in full.  These will be read on their own, with ideas from both thinkers compared. Modern writers and commentators will be read in addition to help reveal the importance of Schopenhauer’s and Nietzsche’s ideas.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94A46" w:rsidRPr="00443E0F" w:rsidRDefault="00594A46" w:rsidP="00594A46">
      <w:pPr>
        <w:spacing w:after="120" w:line="240" w:lineRule="auto"/>
        <w:ind w:left="567" w:right="260"/>
        <w:jc w:val="both"/>
        <w:rPr>
          <w:rFonts w:ascii="Arial" w:hAnsi="Arial" w:cs="Arial"/>
        </w:rPr>
      </w:pPr>
      <w:proofErr w:type="spellStart"/>
      <w:r w:rsidRPr="00443E0F">
        <w:rPr>
          <w:rFonts w:ascii="Arial" w:hAnsi="Arial" w:cs="Arial"/>
        </w:rPr>
        <w:t>Gemes</w:t>
      </w:r>
      <w:proofErr w:type="spellEnd"/>
      <w:r>
        <w:rPr>
          <w:rFonts w:ascii="Arial" w:hAnsi="Arial" w:cs="Arial"/>
        </w:rPr>
        <w:t>, K.</w:t>
      </w:r>
      <w:r w:rsidRPr="00443E0F">
        <w:rPr>
          <w:rFonts w:ascii="Arial" w:hAnsi="Arial" w:cs="Arial"/>
        </w:rPr>
        <w:t xml:space="preserve"> and Simon May (eds.) (2011)</w:t>
      </w:r>
      <w:r>
        <w:rPr>
          <w:rFonts w:ascii="Arial" w:hAnsi="Arial" w:cs="Arial"/>
        </w:rPr>
        <w:t>.</w:t>
      </w:r>
      <w:r w:rsidRPr="00443E0F">
        <w:rPr>
          <w:rFonts w:ascii="Arial" w:hAnsi="Arial" w:cs="Arial"/>
        </w:rPr>
        <w:t xml:space="preserve"> </w:t>
      </w:r>
      <w:r w:rsidRPr="00594A46">
        <w:rPr>
          <w:rFonts w:ascii="Arial" w:hAnsi="Arial" w:cs="Arial"/>
          <w:i/>
        </w:rPr>
        <w:t>Nietzsche on Freedom and Autonomy</w:t>
      </w:r>
      <w:r w:rsidRPr="00443E0F">
        <w:rPr>
          <w:rFonts w:ascii="Arial" w:hAnsi="Arial" w:cs="Arial"/>
        </w:rPr>
        <w:t xml:space="preserve"> (Oxford</w:t>
      </w:r>
      <w:r>
        <w:rPr>
          <w:rFonts w:ascii="Arial" w:hAnsi="Arial" w:cs="Arial"/>
        </w:rPr>
        <w:t>: O</w:t>
      </w:r>
      <w:r w:rsidRPr="00443E0F">
        <w:rPr>
          <w:rFonts w:ascii="Arial" w:hAnsi="Arial" w:cs="Arial"/>
        </w:rPr>
        <w:t>UP).</w:t>
      </w:r>
    </w:p>
    <w:p w:rsidR="00443E0F" w:rsidRPr="00443E0F" w:rsidRDefault="00443E0F" w:rsidP="00443E0F">
      <w:pPr>
        <w:spacing w:after="120" w:line="240" w:lineRule="auto"/>
        <w:ind w:left="567" w:right="260"/>
        <w:jc w:val="both"/>
        <w:rPr>
          <w:rFonts w:ascii="Arial" w:hAnsi="Arial" w:cs="Arial"/>
        </w:rPr>
      </w:pPr>
      <w:proofErr w:type="spellStart"/>
      <w:r w:rsidRPr="00443E0F">
        <w:rPr>
          <w:rFonts w:ascii="Arial" w:hAnsi="Arial" w:cs="Arial"/>
        </w:rPr>
        <w:t>Janaway</w:t>
      </w:r>
      <w:proofErr w:type="spellEnd"/>
      <w:r>
        <w:rPr>
          <w:rFonts w:ascii="Arial" w:hAnsi="Arial" w:cs="Arial"/>
        </w:rPr>
        <w:t>, C.</w:t>
      </w:r>
      <w:r w:rsidRPr="00443E0F">
        <w:rPr>
          <w:rFonts w:ascii="Arial" w:hAnsi="Arial" w:cs="Arial"/>
        </w:rPr>
        <w:t xml:space="preserve"> (1989)</w:t>
      </w:r>
      <w:r>
        <w:rPr>
          <w:rFonts w:ascii="Arial" w:hAnsi="Arial" w:cs="Arial"/>
        </w:rPr>
        <w:t>.</w:t>
      </w:r>
      <w:r w:rsidRPr="00443E0F">
        <w:rPr>
          <w:rFonts w:ascii="Arial" w:hAnsi="Arial" w:cs="Arial"/>
        </w:rPr>
        <w:t xml:space="preserve"> </w:t>
      </w:r>
      <w:r w:rsidRPr="00594A46">
        <w:rPr>
          <w:rFonts w:ascii="Arial" w:hAnsi="Arial" w:cs="Arial"/>
          <w:i/>
        </w:rPr>
        <w:t>Self and World in Schopenhauer’s Philosophy</w:t>
      </w:r>
      <w:r w:rsidRPr="00443E0F">
        <w:rPr>
          <w:rFonts w:ascii="Arial" w:hAnsi="Arial" w:cs="Arial"/>
        </w:rPr>
        <w:t xml:space="preserve"> (</w:t>
      </w:r>
      <w:r w:rsidR="00594A46">
        <w:rPr>
          <w:rFonts w:ascii="Arial" w:hAnsi="Arial" w:cs="Arial"/>
        </w:rPr>
        <w:t xml:space="preserve">Oxford: </w:t>
      </w:r>
      <w:r w:rsidRPr="00443E0F">
        <w:rPr>
          <w:rFonts w:ascii="Arial" w:hAnsi="Arial" w:cs="Arial"/>
        </w:rPr>
        <w:t>OUP).</w:t>
      </w:r>
    </w:p>
    <w:p w:rsidR="00443E0F" w:rsidRPr="00443E0F" w:rsidRDefault="00443E0F" w:rsidP="00443E0F">
      <w:pPr>
        <w:spacing w:after="120" w:line="240" w:lineRule="auto"/>
        <w:ind w:left="567" w:right="260"/>
        <w:jc w:val="both"/>
        <w:rPr>
          <w:rFonts w:ascii="Arial" w:hAnsi="Arial" w:cs="Arial"/>
        </w:rPr>
      </w:pPr>
      <w:proofErr w:type="spellStart"/>
      <w:r w:rsidRPr="00443E0F">
        <w:rPr>
          <w:rFonts w:ascii="Arial" w:hAnsi="Arial" w:cs="Arial"/>
        </w:rPr>
        <w:t>Janaway</w:t>
      </w:r>
      <w:proofErr w:type="spellEnd"/>
      <w:r w:rsidR="0048563A">
        <w:rPr>
          <w:rFonts w:ascii="Arial" w:hAnsi="Arial" w:cs="Arial"/>
        </w:rPr>
        <w:t>, C.</w:t>
      </w:r>
      <w:r w:rsidRPr="00443E0F">
        <w:rPr>
          <w:rFonts w:ascii="Arial" w:hAnsi="Arial" w:cs="Arial"/>
        </w:rPr>
        <w:t xml:space="preserve"> (1999)</w:t>
      </w:r>
      <w:r w:rsidR="0048563A">
        <w:rPr>
          <w:rFonts w:ascii="Arial" w:hAnsi="Arial" w:cs="Arial"/>
        </w:rPr>
        <w:t>.</w:t>
      </w:r>
      <w:r w:rsidRPr="00443E0F">
        <w:rPr>
          <w:rFonts w:ascii="Arial" w:hAnsi="Arial" w:cs="Arial"/>
        </w:rPr>
        <w:t xml:space="preserve"> </w:t>
      </w:r>
      <w:r w:rsidRPr="00594A46">
        <w:rPr>
          <w:rFonts w:ascii="Arial" w:hAnsi="Arial" w:cs="Arial"/>
          <w:i/>
        </w:rPr>
        <w:t>The Cambridge Companion to Schopenhauer</w:t>
      </w:r>
      <w:r w:rsidRPr="00443E0F">
        <w:rPr>
          <w:rFonts w:ascii="Arial" w:hAnsi="Arial" w:cs="Arial"/>
        </w:rPr>
        <w:t xml:space="preserve"> (</w:t>
      </w:r>
      <w:r w:rsidR="00594A46">
        <w:rPr>
          <w:rFonts w:ascii="Arial" w:hAnsi="Arial" w:cs="Arial"/>
        </w:rPr>
        <w:t xml:space="preserve">Cambridge: </w:t>
      </w:r>
      <w:r w:rsidRPr="00443E0F">
        <w:rPr>
          <w:rFonts w:ascii="Arial" w:hAnsi="Arial" w:cs="Arial"/>
        </w:rPr>
        <w:t xml:space="preserve">CUP) </w:t>
      </w:r>
    </w:p>
    <w:p w:rsidR="00594A46" w:rsidRPr="00443E0F" w:rsidRDefault="00594A46" w:rsidP="00594A46">
      <w:pPr>
        <w:spacing w:after="120" w:line="240" w:lineRule="auto"/>
        <w:ind w:left="567" w:right="260"/>
        <w:jc w:val="both"/>
        <w:rPr>
          <w:rFonts w:ascii="Arial" w:hAnsi="Arial" w:cs="Arial"/>
        </w:rPr>
      </w:pPr>
      <w:r w:rsidRPr="00443E0F">
        <w:rPr>
          <w:rFonts w:ascii="Arial" w:hAnsi="Arial" w:cs="Arial"/>
        </w:rPr>
        <w:lastRenderedPageBreak/>
        <w:t>Leiter</w:t>
      </w:r>
      <w:r>
        <w:rPr>
          <w:rFonts w:ascii="Arial" w:hAnsi="Arial" w:cs="Arial"/>
        </w:rPr>
        <w:t>, B.</w:t>
      </w:r>
      <w:r w:rsidRPr="00443E0F">
        <w:rPr>
          <w:rFonts w:ascii="Arial" w:hAnsi="Arial" w:cs="Arial"/>
        </w:rPr>
        <w:t xml:space="preserve"> and Neil </w:t>
      </w:r>
      <w:proofErr w:type="spellStart"/>
      <w:r w:rsidRPr="00443E0F">
        <w:rPr>
          <w:rFonts w:ascii="Arial" w:hAnsi="Arial" w:cs="Arial"/>
        </w:rPr>
        <w:t>Sinhababu</w:t>
      </w:r>
      <w:proofErr w:type="spellEnd"/>
      <w:r w:rsidRPr="00443E0F">
        <w:rPr>
          <w:rFonts w:ascii="Arial" w:hAnsi="Arial" w:cs="Arial"/>
        </w:rPr>
        <w:t xml:space="preserve"> (eds.) (2009)</w:t>
      </w:r>
      <w:r>
        <w:rPr>
          <w:rFonts w:ascii="Arial" w:hAnsi="Arial" w:cs="Arial"/>
        </w:rPr>
        <w:t>.</w:t>
      </w:r>
      <w:r w:rsidRPr="00443E0F">
        <w:rPr>
          <w:rFonts w:ascii="Arial" w:hAnsi="Arial" w:cs="Arial"/>
        </w:rPr>
        <w:t xml:space="preserve"> </w:t>
      </w:r>
      <w:r w:rsidRPr="00594A46">
        <w:rPr>
          <w:rFonts w:ascii="Arial" w:hAnsi="Arial" w:cs="Arial"/>
          <w:i/>
        </w:rPr>
        <w:t>Nietzsche and Morality</w:t>
      </w:r>
      <w:r w:rsidRPr="00443E0F">
        <w:rPr>
          <w:rFonts w:ascii="Arial" w:hAnsi="Arial" w:cs="Arial"/>
        </w:rPr>
        <w:t xml:space="preserve"> (Oxford</w:t>
      </w:r>
      <w:r>
        <w:rPr>
          <w:rFonts w:ascii="Arial" w:hAnsi="Arial" w:cs="Arial"/>
        </w:rPr>
        <w:t>: O</w:t>
      </w:r>
      <w:r w:rsidRPr="00443E0F">
        <w:rPr>
          <w:rFonts w:ascii="Arial" w:hAnsi="Arial" w:cs="Arial"/>
        </w:rPr>
        <w:t>UP).</w:t>
      </w:r>
    </w:p>
    <w:p w:rsidR="00594A46" w:rsidRPr="00443E0F" w:rsidRDefault="00594A46" w:rsidP="00594A46">
      <w:pPr>
        <w:spacing w:after="120" w:line="240" w:lineRule="auto"/>
        <w:ind w:left="567" w:right="260"/>
        <w:jc w:val="both"/>
        <w:rPr>
          <w:rFonts w:ascii="Arial" w:hAnsi="Arial" w:cs="Arial"/>
        </w:rPr>
      </w:pPr>
      <w:r w:rsidRPr="00443E0F">
        <w:rPr>
          <w:rFonts w:ascii="Arial" w:hAnsi="Arial" w:cs="Arial"/>
        </w:rPr>
        <w:t>Nietzsche</w:t>
      </w:r>
      <w:r>
        <w:rPr>
          <w:rFonts w:ascii="Arial" w:hAnsi="Arial" w:cs="Arial"/>
        </w:rPr>
        <w:t>,</w:t>
      </w:r>
      <w:r w:rsidRPr="00443E0F">
        <w:rPr>
          <w:rFonts w:ascii="Arial" w:hAnsi="Arial" w:cs="Arial"/>
        </w:rPr>
        <w:t xml:space="preserve"> F</w:t>
      </w:r>
      <w:r>
        <w:rPr>
          <w:rFonts w:ascii="Arial" w:hAnsi="Arial" w:cs="Arial"/>
        </w:rPr>
        <w:t>.</w:t>
      </w:r>
      <w:r w:rsidRPr="00443E0F">
        <w:rPr>
          <w:rFonts w:ascii="Arial" w:hAnsi="Arial" w:cs="Arial"/>
        </w:rPr>
        <w:t xml:space="preserve"> (1993)</w:t>
      </w:r>
      <w:r>
        <w:rPr>
          <w:rFonts w:ascii="Arial" w:hAnsi="Arial" w:cs="Arial"/>
        </w:rPr>
        <w:t>.</w:t>
      </w:r>
      <w:r w:rsidRPr="00443E0F">
        <w:rPr>
          <w:rFonts w:ascii="Arial" w:hAnsi="Arial" w:cs="Arial"/>
        </w:rPr>
        <w:t xml:space="preserve"> </w:t>
      </w:r>
      <w:r w:rsidRPr="00594A46">
        <w:rPr>
          <w:rFonts w:ascii="Arial" w:hAnsi="Arial" w:cs="Arial"/>
          <w:i/>
        </w:rPr>
        <w:t>The Birth of Tragedy</w:t>
      </w:r>
      <w:r w:rsidRPr="00443E0F">
        <w:rPr>
          <w:rFonts w:ascii="Arial" w:hAnsi="Arial" w:cs="Arial"/>
        </w:rPr>
        <w:t xml:space="preserve"> (London</w:t>
      </w:r>
      <w:r>
        <w:rPr>
          <w:rFonts w:ascii="Arial" w:hAnsi="Arial" w:cs="Arial"/>
        </w:rPr>
        <w:t>:</w:t>
      </w:r>
      <w:r w:rsidRPr="00443E0F">
        <w:rPr>
          <w:rFonts w:ascii="Arial" w:hAnsi="Arial" w:cs="Arial"/>
        </w:rPr>
        <w:t xml:space="preserve"> Penguin) </w:t>
      </w:r>
    </w:p>
    <w:p w:rsidR="00594A46" w:rsidRPr="0036174D" w:rsidRDefault="00594A46" w:rsidP="00594A46">
      <w:pPr>
        <w:spacing w:after="120" w:line="240" w:lineRule="auto"/>
        <w:ind w:left="567" w:right="260"/>
        <w:jc w:val="both"/>
        <w:rPr>
          <w:rFonts w:ascii="Arial" w:hAnsi="Arial" w:cs="Arial"/>
        </w:rPr>
      </w:pPr>
      <w:r w:rsidRPr="00443E0F">
        <w:rPr>
          <w:rFonts w:ascii="Arial" w:hAnsi="Arial" w:cs="Arial"/>
        </w:rPr>
        <w:t>Schacht</w:t>
      </w:r>
      <w:r>
        <w:rPr>
          <w:rFonts w:ascii="Arial" w:hAnsi="Arial" w:cs="Arial"/>
        </w:rPr>
        <w:t>, R.</w:t>
      </w:r>
      <w:r w:rsidRPr="00443E0F">
        <w:rPr>
          <w:rFonts w:ascii="Arial" w:hAnsi="Arial" w:cs="Arial"/>
        </w:rPr>
        <w:t xml:space="preserve"> (1994)</w:t>
      </w:r>
      <w:r>
        <w:rPr>
          <w:rFonts w:ascii="Arial" w:hAnsi="Arial" w:cs="Arial"/>
        </w:rPr>
        <w:t>.</w:t>
      </w:r>
      <w:r w:rsidRPr="00443E0F">
        <w:rPr>
          <w:rFonts w:ascii="Arial" w:hAnsi="Arial" w:cs="Arial"/>
        </w:rPr>
        <w:t xml:space="preserve"> </w:t>
      </w:r>
      <w:r w:rsidRPr="00594A46">
        <w:rPr>
          <w:rFonts w:ascii="Arial" w:hAnsi="Arial" w:cs="Arial"/>
          <w:i/>
        </w:rPr>
        <w:t>Nietzsche, Genealogy, Morality: Essays on Nietzsche’s ‘On the Genealogy of Morals’</w:t>
      </w:r>
      <w:r w:rsidRPr="00443E0F">
        <w:rPr>
          <w:rFonts w:ascii="Arial" w:hAnsi="Arial" w:cs="Arial"/>
        </w:rPr>
        <w:t xml:space="preserve"> (California UP).</w:t>
      </w:r>
    </w:p>
    <w:p w:rsidR="00594A46" w:rsidRPr="00443E0F" w:rsidRDefault="00594A46" w:rsidP="00594A46">
      <w:pPr>
        <w:spacing w:after="120" w:line="240" w:lineRule="auto"/>
        <w:ind w:left="567" w:right="260"/>
        <w:jc w:val="both"/>
        <w:rPr>
          <w:rFonts w:ascii="Arial" w:hAnsi="Arial" w:cs="Arial"/>
        </w:rPr>
      </w:pPr>
      <w:r w:rsidRPr="00443E0F">
        <w:rPr>
          <w:rFonts w:ascii="Arial" w:hAnsi="Arial" w:cs="Arial"/>
        </w:rPr>
        <w:t>Schopenhauer</w:t>
      </w:r>
      <w:r>
        <w:rPr>
          <w:rFonts w:ascii="Arial" w:hAnsi="Arial" w:cs="Arial"/>
        </w:rPr>
        <w:t xml:space="preserve">, </w:t>
      </w:r>
      <w:r w:rsidRPr="00443E0F">
        <w:rPr>
          <w:rFonts w:ascii="Arial" w:hAnsi="Arial" w:cs="Arial"/>
        </w:rPr>
        <w:t>A</w:t>
      </w:r>
      <w:r>
        <w:rPr>
          <w:rFonts w:ascii="Arial" w:hAnsi="Arial" w:cs="Arial"/>
        </w:rPr>
        <w:t>.</w:t>
      </w:r>
      <w:r w:rsidRPr="00443E0F">
        <w:rPr>
          <w:rFonts w:ascii="Arial" w:hAnsi="Arial" w:cs="Arial"/>
        </w:rPr>
        <w:t xml:space="preserve"> (1973)</w:t>
      </w:r>
      <w:r>
        <w:rPr>
          <w:rFonts w:ascii="Arial" w:hAnsi="Arial" w:cs="Arial"/>
        </w:rPr>
        <w:t>.</w:t>
      </w:r>
      <w:r w:rsidRPr="00443E0F">
        <w:rPr>
          <w:rFonts w:ascii="Arial" w:hAnsi="Arial" w:cs="Arial"/>
        </w:rPr>
        <w:t xml:space="preserve"> </w:t>
      </w:r>
      <w:r w:rsidRPr="00594A46">
        <w:rPr>
          <w:rFonts w:ascii="Arial" w:hAnsi="Arial" w:cs="Arial"/>
          <w:i/>
        </w:rPr>
        <w:t>Essays and Aphorisms</w:t>
      </w:r>
      <w:r w:rsidRPr="00443E0F">
        <w:rPr>
          <w:rFonts w:ascii="Arial" w:hAnsi="Arial" w:cs="Arial"/>
        </w:rPr>
        <w:t xml:space="preserve"> (London</w:t>
      </w:r>
      <w:r>
        <w:rPr>
          <w:rFonts w:ascii="Arial" w:hAnsi="Arial" w:cs="Arial"/>
        </w:rPr>
        <w:t>:</w:t>
      </w:r>
      <w:r w:rsidRPr="00443E0F">
        <w:rPr>
          <w:rFonts w:ascii="Arial" w:hAnsi="Arial" w:cs="Arial"/>
        </w:rPr>
        <w:t xml:space="preserve"> Penguin)</w:t>
      </w:r>
    </w:p>
    <w:p w:rsidR="00594A46" w:rsidRPr="00443E0F" w:rsidRDefault="00594A46" w:rsidP="00594A46">
      <w:pPr>
        <w:spacing w:after="120" w:line="240" w:lineRule="auto"/>
        <w:ind w:left="567" w:right="260"/>
        <w:jc w:val="both"/>
        <w:rPr>
          <w:rFonts w:ascii="Arial" w:hAnsi="Arial" w:cs="Arial"/>
        </w:rPr>
      </w:pPr>
      <w:r w:rsidRPr="00443E0F">
        <w:rPr>
          <w:rFonts w:ascii="Arial" w:hAnsi="Arial" w:cs="Arial"/>
        </w:rPr>
        <w:t>Schopenhauer, A</w:t>
      </w:r>
      <w:r>
        <w:rPr>
          <w:rFonts w:ascii="Arial" w:hAnsi="Arial" w:cs="Arial"/>
        </w:rPr>
        <w:t>.</w:t>
      </w:r>
      <w:r w:rsidRPr="00443E0F">
        <w:rPr>
          <w:rFonts w:ascii="Arial" w:hAnsi="Arial" w:cs="Arial"/>
        </w:rPr>
        <w:t xml:space="preserve"> (1969)</w:t>
      </w:r>
      <w:r>
        <w:rPr>
          <w:rFonts w:ascii="Arial" w:hAnsi="Arial" w:cs="Arial"/>
        </w:rPr>
        <w:t>.</w:t>
      </w:r>
      <w:r w:rsidRPr="00443E0F">
        <w:rPr>
          <w:rFonts w:ascii="Arial" w:hAnsi="Arial" w:cs="Arial"/>
        </w:rPr>
        <w:t xml:space="preserve"> </w:t>
      </w:r>
      <w:r w:rsidRPr="00594A46">
        <w:rPr>
          <w:rFonts w:ascii="Arial" w:hAnsi="Arial" w:cs="Arial"/>
          <w:i/>
        </w:rPr>
        <w:t>The World as Will and Representation</w:t>
      </w:r>
      <w:r w:rsidRPr="00443E0F">
        <w:rPr>
          <w:rFonts w:ascii="Arial" w:hAnsi="Arial" w:cs="Arial"/>
        </w:rPr>
        <w:t xml:space="preserve"> (New York</w:t>
      </w:r>
      <w:r>
        <w:rPr>
          <w:rFonts w:ascii="Arial" w:hAnsi="Arial" w:cs="Arial"/>
        </w:rPr>
        <w:t>:</w:t>
      </w:r>
      <w:r w:rsidRPr="00443E0F">
        <w:rPr>
          <w:rFonts w:ascii="Arial" w:hAnsi="Arial" w:cs="Arial"/>
        </w:rPr>
        <w:t xml:space="preserve"> Dover) </w:t>
      </w:r>
    </w:p>
    <w:p w:rsidR="00443E0F" w:rsidRPr="00443E0F" w:rsidRDefault="00443E0F" w:rsidP="00443E0F">
      <w:pPr>
        <w:spacing w:after="120" w:line="240" w:lineRule="auto"/>
        <w:ind w:left="567" w:right="260"/>
        <w:jc w:val="both"/>
        <w:rPr>
          <w:rFonts w:ascii="Arial" w:hAnsi="Arial" w:cs="Arial"/>
        </w:rPr>
      </w:pPr>
      <w:proofErr w:type="spellStart"/>
      <w:r w:rsidRPr="00443E0F">
        <w:rPr>
          <w:rFonts w:ascii="Arial" w:hAnsi="Arial" w:cs="Arial"/>
        </w:rPr>
        <w:t>Vandenabeele</w:t>
      </w:r>
      <w:proofErr w:type="spellEnd"/>
      <w:r w:rsidR="0048563A">
        <w:rPr>
          <w:rFonts w:ascii="Arial" w:hAnsi="Arial" w:cs="Arial"/>
        </w:rPr>
        <w:t xml:space="preserve">, </w:t>
      </w:r>
      <w:r w:rsidRPr="00443E0F">
        <w:rPr>
          <w:rFonts w:ascii="Arial" w:hAnsi="Arial" w:cs="Arial"/>
        </w:rPr>
        <w:t>B</w:t>
      </w:r>
      <w:r w:rsidR="0048563A">
        <w:rPr>
          <w:rFonts w:ascii="Arial" w:hAnsi="Arial" w:cs="Arial"/>
        </w:rPr>
        <w:t>.</w:t>
      </w:r>
      <w:r w:rsidRPr="00443E0F">
        <w:rPr>
          <w:rFonts w:ascii="Arial" w:hAnsi="Arial" w:cs="Arial"/>
        </w:rPr>
        <w:t xml:space="preserve"> (2012) (</w:t>
      </w:r>
      <w:proofErr w:type="gramStart"/>
      <w:r w:rsidRPr="00443E0F">
        <w:rPr>
          <w:rFonts w:ascii="Arial" w:hAnsi="Arial" w:cs="Arial"/>
        </w:rPr>
        <w:t>ed</w:t>
      </w:r>
      <w:proofErr w:type="gramEnd"/>
      <w:r w:rsidRPr="00443E0F">
        <w:rPr>
          <w:rFonts w:ascii="Arial" w:hAnsi="Arial" w:cs="Arial"/>
        </w:rPr>
        <w:t>.)</w:t>
      </w:r>
      <w:r w:rsidR="0048563A">
        <w:rPr>
          <w:rFonts w:ascii="Arial" w:hAnsi="Arial" w:cs="Arial"/>
        </w:rPr>
        <w:t>.</w:t>
      </w:r>
      <w:r w:rsidRPr="00443E0F">
        <w:rPr>
          <w:rFonts w:ascii="Arial" w:hAnsi="Arial" w:cs="Arial"/>
        </w:rPr>
        <w:t xml:space="preserve"> </w:t>
      </w:r>
      <w:r w:rsidRPr="00594A46">
        <w:rPr>
          <w:rFonts w:ascii="Arial" w:hAnsi="Arial" w:cs="Arial"/>
          <w:i/>
        </w:rPr>
        <w:t>A Companion to Schopenhauer</w:t>
      </w:r>
      <w:r w:rsidRPr="00443E0F">
        <w:rPr>
          <w:rFonts w:ascii="Arial" w:hAnsi="Arial" w:cs="Arial"/>
        </w:rPr>
        <w:t xml:space="preserve"> (</w:t>
      </w:r>
      <w:r w:rsidR="00594A46">
        <w:rPr>
          <w:rFonts w:ascii="Arial" w:hAnsi="Arial" w:cs="Arial"/>
        </w:rPr>
        <w:t xml:space="preserve">London: </w:t>
      </w:r>
      <w:r w:rsidRPr="00443E0F">
        <w:rPr>
          <w:rFonts w:ascii="Arial" w:hAnsi="Arial" w:cs="Arial"/>
        </w:rPr>
        <w:t>Blackwell).</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94A46" w:rsidRDefault="00594A46" w:rsidP="00594A46">
      <w:pPr>
        <w:spacing w:after="120" w:line="240" w:lineRule="auto"/>
        <w:ind w:left="567" w:right="260"/>
        <w:jc w:val="both"/>
        <w:rPr>
          <w:rFonts w:ascii="Arial" w:hAnsi="Arial" w:cs="Arial"/>
          <w:iCs/>
        </w:rPr>
      </w:pPr>
      <w:r>
        <w:rPr>
          <w:rFonts w:ascii="Arial" w:hAnsi="Arial" w:cs="Arial"/>
          <w:iCs/>
        </w:rPr>
        <w:t>Total Contact Hours: 30</w:t>
      </w:r>
    </w:p>
    <w:p w:rsidR="00594A46" w:rsidRDefault="00594A46" w:rsidP="00594A46">
      <w:pPr>
        <w:spacing w:after="120" w:line="240" w:lineRule="auto"/>
        <w:ind w:left="567" w:right="260"/>
        <w:jc w:val="both"/>
        <w:rPr>
          <w:rFonts w:ascii="Arial" w:hAnsi="Arial" w:cs="Arial"/>
          <w:iCs/>
        </w:rPr>
      </w:pPr>
      <w:r>
        <w:rPr>
          <w:rFonts w:ascii="Arial" w:hAnsi="Arial" w:cs="Arial"/>
          <w:iCs/>
        </w:rPr>
        <w:t>Private Study Hours: 270</w:t>
      </w:r>
    </w:p>
    <w:p w:rsidR="00594A46" w:rsidRDefault="00594A46" w:rsidP="00594A46">
      <w:pPr>
        <w:spacing w:after="120" w:line="240" w:lineRule="auto"/>
        <w:ind w:left="567" w:right="260"/>
        <w:jc w:val="both"/>
        <w:rPr>
          <w:rFonts w:ascii="Arial" w:hAnsi="Arial" w:cs="Arial"/>
          <w:iCs/>
        </w:rPr>
      </w:pPr>
      <w:r>
        <w:rPr>
          <w:rFonts w:ascii="Arial" w:hAnsi="Arial" w:cs="Arial"/>
          <w:iCs/>
        </w:rPr>
        <w:t>Total Study Hours: 300</w:t>
      </w:r>
    </w:p>
    <w:p w:rsidR="00594A46" w:rsidRDefault="00594A46" w:rsidP="00594A46">
      <w:pPr>
        <w:spacing w:after="120" w:line="240" w:lineRule="auto"/>
        <w:ind w:left="567" w:right="260"/>
        <w:jc w:val="both"/>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594A46" w:rsidRDefault="00594A46" w:rsidP="00594A46">
      <w:pPr>
        <w:pStyle w:val="ListParagraph"/>
        <w:numPr>
          <w:ilvl w:val="0"/>
          <w:numId w:val="9"/>
        </w:numPr>
        <w:spacing w:after="120"/>
        <w:ind w:right="260"/>
        <w:contextualSpacing w:val="0"/>
        <w:rPr>
          <w:rFonts w:ascii="Arial" w:hAnsi="Arial" w:cs="Arial"/>
          <w:iCs/>
        </w:rPr>
      </w:pPr>
      <w:r>
        <w:rPr>
          <w:rFonts w:ascii="Arial" w:hAnsi="Arial" w:cs="Arial"/>
          <w:iCs/>
        </w:rPr>
        <w:t xml:space="preserve">Essay 1 (Level 5 – 1,000 words; Level 6 – 1,200 words) – </w:t>
      </w:r>
      <w:r w:rsidR="00055EC5">
        <w:rPr>
          <w:rFonts w:ascii="Arial" w:hAnsi="Arial" w:cs="Arial"/>
          <w:iCs/>
        </w:rPr>
        <w:t>30</w:t>
      </w:r>
      <w:r>
        <w:rPr>
          <w:rFonts w:ascii="Arial" w:hAnsi="Arial" w:cs="Arial"/>
          <w:iCs/>
        </w:rPr>
        <w:t>%</w:t>
      </w:r>
    </w:p>
    <w:p w:rsidR="00594A46" w:rsidRDefault="00594A46" w:rsidP="00594A46">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055EC5">
        <w:rPr>
          <w:rFonts w:ascii="Arial" w:hAnsi="Arial" w:cs="Arial"/>
          <w:iCs/>
        </w:rPr>
        <w:t xml:space="preserve">2 </w:t>
      </w:r>
      <w:r>
        <w:rPr>
          <w:rFonts w:ascii="Arial" w:hAnsi="Arial" w:cs="Arial"/>
          <w:iCs/>
        </w:rPr>
        <w:t>(</w:t>
      </w:r>
      <w:r w:rsidR="00055EC5">
        <w:rPr>
          <w:rFonts w:ascii="Arial" w:hAnsi="Arial" w:cs="Arial"/>
          <w:iCs/>
        </w:rPr>
        <w:t>2,000</w:t>
      </w:r>
      <w:r>
        <w:rPr>
          <w:rFonts w:ascii="Arial" w:hAnsi="Arial" w:cs="Arial"/>
          <w:iCs/>
        </w:rPr>
        <w:t xml:space="preserve"> words) – </w:t>
      </w:r>
      <w:r w:rsidR="00055EC5">
        <w:rPr>
          <w:rFonts w:ascii="Arial" w:hAnsi="Arial" w:cs="Arial"/>
          <w:iCs/>
        </w:rPr>
        <w:t>60</w:t>
      </w:r>
      <w:r>
        <w:rPr>
          <w:rFonts w:ascii="Arial" w:hAnsi="Arial" w:cs="Arial"/>
          <w:iCs/>
        </w:rPr>
        <w:t>%</w:t>
      </w:r>
    </w:p>
    <w:p w:rsidR="00594A46" w:rsidRDefault="00594A46" w:rsidP="00594A46">
      <w:pPr>
        <w:pStyle w:val="ListParagraph"/>
        <w:numPr>
          <w:ilvl w:val="0"/>
          <w:numId w:val="9"/>
        </w:numPr>
        <w:spacing w:after="120"/>
        <w:ind w:right="260"/>
        <w:contextualSpacing w:val="0"/>
        <w:rPr>
          <w:rFonts w:ascii="Arial" w:hAnsi="Arial" w:cs="Arial"/>
          <w:iCs/>
        </w:rPr>
      </w:pPr>
      <w:r>
        <w:rPr>
          <w:rFonts w:ascii="Arial" w:hAnsi="Arial" w:cs="Arial"/>
          <w:iCs/>
        </w:rPr>
        <w:t>Seminar Performance – 10%</w:t>
      </w:r>
    </w:p>
    <w:p w:rsidR="00594A46" w:rsidRPr="004D5E86" w:rsidRDefault="00594A46" w:rsidP="00827F29">
      <w:pPr>
        <w:pStyle w:val="ListParagraph"/>
        <w:spacing w:after="120"/>
        <w:ind w:left="567" w:right="260"/>
        <w:contextualSpacing w:val="0"/>
        <w:jc w:val="both"/>
        <w:rPr>
          <w:rFonts w:ascii="Arial" w:hAnsi="Arial" w:cs="Arial"/>
          <w:iCs/>
        </w:rPr>
      </w:pPr>
      <w:r>
        <w:rPr>
          <w:rFonts w:ascii="Arial" w:hAnsi="Arial" w:cs="Arial"/>
          <w:iCs/>
        </w:rPr>
        <w:t>For essay 1, Level 6 students will be required to provide a short critical discussion on the topic.</w:t>
      </w:r>
      <w:r w:rsidR="00827F29">
        <w:rPr>
          <w:rFonts w:ascii="Arial" w:hAnsi="Arial" w:cs="Arial"/>
          <w:iCs/>
        </w:rPr>
        <w:t xml:space="preserve"> Additionally, aside </w:t>
      </w:r>
      <w:r w:rsidR="00827F29" w:rsidRPr="009A7891">
        <w:rPr>
          <w:rFonts w:ascii="Arial" w:hAnsi="Arial" w:cs="Arial"/>
          <w:iCs/>
        </w:rPr>
        <w:t xml:space="preserve">from the extra words and the slight difference in their respective </w:t>
      </w:r>
      <w:r w:rsidR="00827F29">
        <w:rPr>
          <w:rFonts w:ascii="Arial" w:hAnsi="Arial" w:cs="Arial"/>
          <w:iCs/>
        </w:rPr>
        <w:t>essay</w:t>
      </w:r>
      <w:r w:rsidR="00827F29" w:rsidRPr="009A7891">
        <w:rPr>
          <w:rFonts w:ascii="Arial" w:hAnsi="Arial" w:cs="Arial"/>
          <w:iCs/>
        </w:rPr>
        <w:t xml:space="preserve">s, </w:t>
      </w:r>
      <w:r w:rsidR="00827F29">
        <w:rPr>
          <w:rFonts w:ascii="Arial" w:hAnsi="Arial" w:cs="Arial"/>
          <w:iCs/>
        </w:rPr>
        <w:t>L</w:t>
      </w:r>
      <w:r w:rsidR="00827F29" w:rsidRPr="009A7891">
        <w:rPr>
          <w:rFonts w:ascii="Arial" w:hAnsi="Arial" w:cs="Arial"/>
          <w:iCs/>
        </w:rPr>
        <w:t>evel</w:t>
      </w:r>
      <w:r w:rsidR="00827F29">
        <w:rPr>
          <w:rFonts w:ascii="Arial" w:hAnsi="Arial" w:cs="Arial"/>
          <w:iCs/>
        </w:rPr>
        <w:t xml:space="preserve"> 5</w:t>
      </w:r>
      <w:r w:rsidR="00827F29" w:rsidRPr="009A7891">
        <w:rPr>
          <w:rFonts w:ascii="Arial" w:hAnsi="Arial" w:cs="Arial"/>
          <w:iCs/>
        </w:rPr>
        <w:t xml:space="preserve"> and </w:t>
      </w:r>
      <w:r w:rsidR="00827F29">
        <w:rPr>
          <w:rFonts w:ascii="Arial" w:hAnsi="Arial" w:cs="Arial"/>
          <w:iCs/>
        </w:rPr>
        <w:t>L</w:t>
      </w:r>
      <w:r w:rsidR="00827F29" w:rsidRPr="009A7891">
        <w:rPr>
          <w:rFonts w:ascii="Arial" w:hAnsi="Arial" w:cs="Arial"/>
          <w:iCs/>
        </w:rPr>
        <w:t xml:space="preserve">evel </w:t>
      </w:r>
      <w:r w:rsidR="00827F29">
        <w:rPr>
          <w:rFonts w:ascii="Arial" w:hAnsi="Arial" w:cs="Arial"/>
          <w:iCs/>
        </w:rPr>
        <w:t xml:space="preserve">6 </w:t>
      </w:r>
      <w:r w:rsidR="00827F29" w:rsidRPr="009A7891">
        <w:rPr>
          <w:rFonts w:ascii="Arial" w:hAnsi="Arial" w:cs="Arial"/>
          <w:iCs/>
        </w:rPr>
        <w:t xml:space="preserve">students will be given questions that are appropriate to their level </w:t>
      </w:r>
      <w:r w:rsidR="00827F29">
        <w:rPr>
          <w:rFonts w:ascii="Arial" w:hAnsi="Arial" w:cs="Arial"/>
          <w:iCs/>
        </w:rPr>
        <w:t xml:space="preserve">of study </w:t>
      </w:r>
      <w:r w:rsidR="00827F29" w:rsidRPr="009A7891">
        <w:rPr>
          <w:rFonts w:ascii="Arial" w:hAnsi="Arial" w:cs="Arial"/>
          <w:iCs/>
        </w:rPr>
        <w:t>in order to distinguish them and assess their respective learning outcomes</w:t>
      </w:r>
      <w:r w:rsidR="00827F29" w:rsidRPr="00827F29">
        <w:rPr>
          <w:rFonts w:ascii="Arial" w:hAnsi="Arial" w:cs="Arial"/>
          <w:iCs/>
        </w:rPr>
        <w:t xml:space="preserve">. The seminar performance </w:t>
      </w:r>
      <w:proofErr w:type="gramStart"/>
      <w:r w:rsidR="00827F29" w:rsidRPr="00827F29">
        <w:rPr>
          <w:rFonts w:ascii="Arial" w:hAnsi="Arial" w:cs="Arial"/>
          <w:iCs/>
        </w:rPr>
        <w:t>assessment  will</w:t>
      </w:r>
      <w:proofErr w:type="gramEnd"/>
      <w:r w:rsidR="00827F29" w:rsidRPr="00827F29">
        <w:rPr>
          <w:rFonts w:ascii="Arial" w:hAnsi="Arial" w:cs="Arial"/>
          <w:iCs/>
        </w:rPr>
        <w:t xml:space="preserve"> be tailored to the respective level – level 6 students will be expected to give a more critical input on the weekly reading.</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085509" w:rsidRDefault="00085509" w:rsidP="00085509">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rsidR="00085509" w:rsidRDefault="00085509" w:rsidP="00085509">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rsidR="00AE6CD0" w:rsidRPr="0036174D" w:rsidRDefault="00AE6CD0" w:rsidP="00085509">
      <w:pPr>
        <w:pStyle w:val="ListParagraph"/>
        <w:spacing w:after="120"/>
        <w:ind w:left="567" w:right="260"/>
        <w:contextualSpacing w:val="0"/>
        <w:jc w:val="both"/>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080"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tblGrid>
      <w:tr w:rsidR="009A7891" w:rsidRPr="00302082">
        <w:trPr>
          <w:cantSplit/>
          <w:trHeight w:val="1240"/>
        </w:trPr>
        <w:tc>
          <w:tcPr>
            <w:tcW w:w="1730" w:type="dxa"/>
            <w:shd w:val="clear" w:color="auto" w:fill="D9D9D9" w:themeFill="background1" w:themeFillShade="D9"/>
          </w:tcPr>
          <w:p w:rsidR="009A7891" w:rsidRPr="00302082" w:rsidRDefault="009A7891" w:rsidP="00302082">
            <w:pPr>
              <w:spacing w:after="120"/>
              <w:ind w:left="33"/>
              <w:rPr>
                <w:rFonts w:ascii="Arial" w:hAnsi="Arial" w:cs="Arial"/>
                <w:b/>
              </w:rPr>
            </w:pPr>
            <w:r w:rsidRPr="00302082">
              <w:rPr>
                <w:rFonts w:ascii="Arial" w:hAnsi="Arial" w:cs="Arial"/>
                <w:b/>
              </w:rPr>
              <w:t>Module learning outcome</w:t>
            </w:r>
          </w:p>
        </w:tc>
        <w:tc>
          <w:tcPr>
            <w:tcW w:w="1247" w:type="dxa"/>
          </w:tcPr>
          <w:p w:rsidR="009A7891" w:rsidRPr="00302082" w:rsidRDefault="009A7891" w:rsidP="00302082">
            <w:pPr>
              <w:spacing w:after="120"/>
              <w:rPr>
                <w:rFonts w:ascii="Arial" w:hAnsi="Arial" w:cs="Arial"/>
                <w:i/>
              </w:rPr>
            </w:pP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rsidR="009A7891" w:rsidRPr="00302082" w:rsidRDefault="009A7891" w:rsidP="009A7891">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0A3F23" w:rsidRPr="00302082">
        <w:tc>
          <w:tcPr>
            <w:tcW w:w="2977" w:type="dxa"/>
            <w:gridSpan w:val="2"/>
            <w:shd w:val="clear" w:color="auto" w:fill="D9D9D9" w:themeFill="background1" w:themeFillShade="D9"/>
          </w:tcPr>
          <w:p w:rsidR="000A3F23" w:rsidRPr="00302082" w:rsidRDefault="000A3F23" w:rsidP="00302082">
            <w:pPr>
              <w:spacing w:after="120"/>
              <w:rPr>
                <w:rFonts w:ascii="Arial" w:hAnsi="Arial" w:cs="Arial"/>
                <w:b/>
              </w:rPr>
            </w:pPr>
            <w:r w:rsidRPr="00302082">
              <w:rPr>
                <w:rFonts w:ascii="Arial" w:hAnsi="Arial" w:cs="Arial"/>
                <w:b/>
              </w:rPr>
              <w:t>Learning/ teaching method</w:t>
            </w: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c>
          <w:tcPr>
            <w:tcW w:w="567" w:type="dxa"/>
          </w:tcPr>
          <w:p w:rsidR="000A3F23" w:rsidRPr="00302082" w:rsidRDefault="000A3F23" w:rsidP="00302082">
            <w:pPr>
              <w:spacing w:after="120"/>
              <w:rPr>
                <w:rFonts w:ascii="Arial" w:hAnsi="Arial" w:cs="Arial"/>
                <w:b/>
              </w:rPr>
            </w:pPr>
          </w:p>
        </w:tc>
      </w:tr>
      <w:tr w:rsidR="000A3F23" w:rsidRPr="00302082">
        <w:tc>
          <w:tcPr>
            <w:tcW w:w="2977" w:type="dxa"/>
            <w:gridSpan w:val="2"/>
            <w:vAlign w:val="center"/>
          </w:tcPr>
          <w:p w:rsidR="000A3F23" w:rsidRPr="0036174D" w:rsidRDefault="000A3F23" w:rsidP="000A3F23">
            <w:pPr>
              <w:spacing w:after="120"/>
              <w:rPr>
                <w:rFonts w:ascii="Arial" w:hAnsi="Arial" w:cs="Arial"/>
              </w:rPr>
            </w:pPr>
            <w:r w:rsidRPr="009A7891">
              <w:rPr>
                <w:rFonts w:ascii="Arial" w:hAnsi="Arial" w:cs="Arial"/>
              </w:rPr>
              <w:t>Private Study</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r>
      <w:tr w:rsidR="000A3F23" w:rsidRPr="00302082">
        <w:tc>
          <w:tcPr>
            <w:tcW w:w="2977" w:type="dxa"/>
            <w:gridSpan w:val="2"/>
            <w:vAlign w:val="center"/>
          </w:tcPr>
          <w:p w:rsidR="000A3F23" w:rsidRPr="0036174D" w:rsidRDefault="000A3F23" w:rsidP="000A3F23">
            <w:pPr>
              <w:spacing w:after="120"/>
              <w:rPr>
                <w:rFonts w:ascii="Arial" w:hAnsi="Arial" w:cs="Arial"/>
              </w:rPr>
            </w:pPr>
            <w:r>
              <w:rPr>
                <w:rFonts w:ascii="Arial" w:hAnsi="Arial" w:cs="Arial"/>
              </w:rPr>
              <w:t>Lecture</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p>
        </w:tc>
        <w:tc>
          <w:tcPr>
            <w:tcW w:w="567" w:type="dxa"/>
          </w:tcPr>
          <w:p w:rsidR="000A3F23" w:rsidRPr="00302082" w:rsidRDefault="000A3F23" w:rsidP="00745702">
            <w:pPr>
              <w:spacing w:after="120"/>
              <w:jc w:val="center"/>
              <w:rPr>
                <w:rFonts w:ascii="Arial" w:hAnsi="Arial" w:cs="Arial"/>
                <w:b/>
              </w:rPr>
            </w:pPr>
          </w:p>
        </w:tc>
        <w:tc>
          <w:tcPr>
            <w:tcW w:w="567" w:type="dxa"/>
          </w:tcPr>
          <w:p w:rsidR="000A3F23" w:rsidRPr="00302082" w:rsidRDefault="000A3F23" w:rsidP="00745702">
            <w:pPr>
              <w:spacing w:after="120"/>
              <w:jc w:val="center"/>
              <w:rPr>
                <w:rFonts w:ascii="Arial" w:hAnsi="Arial" w:cs="Arial"/>
                <w:b/>
              </w:rPr>
            </w:pPr>
          </w:p>
        </w:tc>
        <w:tc>
          <w:tcPr>
            <w:tcW w:w="567" w:type="dxa"/>
          </w:tcPr>
          <w:p w:rsidR="000A3F23" w:rsidRPr="00302082" w:rsidRDefault="000A3F23" w:rsidP="00745702">
            <w:pPr>
              <w:spacing w:after="120"/>
              <w:jc w:val="center"/>
              <w:rPr>
                <w:rFonts w:ascii="Arial" w:hAnsi="Arial" w:cs="Arial"/>
                <w:b/>
              </w:rPr>
            </w:pPr>
          </w:p>
        </w:tc>
      </w:tr>
      <w:tr w:rsidR="000A3F23" w:rsidRPr="00302082">
        <w:tc>
          <w:tcPr>
            <w:tcW w:w="2977" w:type="dxa"/>
            <w:gridSpan w:val="2"/>
            <w:vAlign w:val="center"/>
          </w:tcPr>
          <w:p w:rsidR="000A3F23" w:rsidRPr="0036174D" w:rsidRDefault="000A3F23" w:rsidP="000A3F23">
            <w:pPr>
              <w:spacing w:after="120"/>
              <w:rPr>
                <w:rFonts w:ascii="Arial" w:hAnsi="Arial" w:cs="Arial"/>
              </w:rPr>
            </w:pPr>
            <w:r>
              <w:rPr>
                <w:rFonts w:ascii="Arial" w:hAnsi="Arial" w:cs="Arial"/>
              </w:rPr>
              <w:t>Seminar</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p>
        </w:tc>
        <w:tc>
          <w:tcPr>
            <w:tcW w:w="567" w:type="dxa"/>
          </w:tcPr>
          <w:p w:rsidR="000A3F23" w:rsidRPr="00302082" w:rsidRDefault="000A3F23" w:rsidP="00745702">
            <w:pPr>
              <w:spacing w:after="120"/>
              <w:jc w:val="center"/>
              <w:rPr>
                <w:rFonts w:ascii="Arial" w:hAnsi="Arial" w:cs="Arial"/>
                <w:b/>
              </w:rPr>
            </w:pPr>
            <w:r>
              <w:rPr>
                <w:rFonts w:ascii="Arial" w:hAnsi="Arial" w:cs="Arial"/>
                <w:b/>
              </w:rPr>
              <w:t>x</w:t>
            </w:r>
          </w:p>
        </w:tc>
        <w:tc>
          <w:tcPr>
            <w:tcW w:w="567" w:type="dxa"/>
          </w:tcPr>
          <w:p w:rsidR="000A3F23" w:rsidRPr="00302082" w:rsidRDefault="000A3F23" w:rsidP="00745702">
            <w:pPr>
              <w:spacing w:after="120"/>
              <w:jc w:val="center"/>
              <w:rPr>
                <w:rFonts w:ascii="Arial" w:hAnsi="Arial" w:cs="Arial"/>
                <w:b/>
              </w:rPr>
            </w:pPr>
          </w:p>
        </w:tc>
      </w:tr>
      <w:tr w:rsidR="009A7891" w:rsidRPr="00302082">
        <w:tc>
          <w:tcPr>
            <w:tcW w:w="2977" w:type="dxa"/>
            <w:gridSpan w:val="2"/>
            <w:shd w:val="clear" w:color="auto" w:fill="D9D9D9" w:themeFill="background1" w:themeFillShade="D9"/>
          </w:tcPr>
          <w:p w:rsidR="009A7891" w:rsidRPr="00302082" w:rsidRDefault="009A7891" w:rsidP="00302082">
            <w:pPr>
              <w:spacing w:after="120"/>
              <w:rPr>
                <w:rFonts w:ascii="Arial" w:hAnsi="Arial" w:cs="Arial"/>
                <w:b/>
              </w:rPr>
            </w:pPr>
            <w:r w:rsidRPr="00302082">
              <w:rPr>
                <w:rFonts w:ascii="Arial" w:hAnsi="Arial" w:cs="Arial"/>
                <w:b/>
              </w:rPr>
              <w:t>Assessment method</w:t>
            </w: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c>
          <w:tcPr>
            <w:tcW w:w="567" w:type="dxa"/>
          </w:tcPr>
          <w:p w:rsidR="009A7891" w:rsidRPr="00302082" w:rsidRDefault="009A7891" w:rsidP="00302082">
            <w:pPr>
              <w:spacing w:after="120"/>
              <w:rPr>
                <w:rFonts w:ascii="Arial" w:hAnsi="Arial" w:cs="Arial"/>
                <w:b/>
              </w:rPr>
            </w:pPr>
          </w:p>
        </w:tc>
      </w:tr>
      <w:tr w:rsidR="009A7891" w:rsidRPr="00302082">
        <w:tc>
          <w:tcPr>
            <w:tcW w:w="2977" w:type="dxa"/>
            <w:gridSpan w:val="2"/>
          </w:tcPr>
          <w:p w:rsidR="009A7891" w:rsidRPr="009A7891" w:rsidRDefault="009A7891" w:rsidP="00302082">
            <w:pPr>
              <w:spacing w:after="120"/>
              <w:rPr>
                <w:rFonts w:ascii="Arial" w:hAnsi="Arial" w:cs="Arial"/>
              </w:rPr>
            </w:pPr>
            <w:r>
              <w:rPr>
                <w:rFonts w:ascii="Arial" w:hAnsi="Arial" w:cs="Arial"/>
              </w:rPr>
              <w:t>Essay 1</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055EC5"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r>
      <w:tr w:rsidR="009A7891" w:rsidRPr="00302082">
        <w:tc>
          <w:tcPr>
            <w:tcW w:w="2977" w:type="dxa"/>
            <w:gridSpan w:val="2"/>
          </w:tcPr>
          <w:p w:rsidR="009A7891" w:rsidRPr="009A7891" w:rsidRDefault="009A7891" w:rsidP="00055EC5">
            <w:pPr>
              <w:spacing w:after="120"/>
              <w:rPr>
                <w:rFonts w:ascii="Arial" w:hAnsi="Arial" w:cs="Arial"/>
              </w:rPr>
            </w:pPr>
            <w:r>
              <w:rPr>
                <w:rFonts w:ascii="Arial" w:hAnsi="Arial" w:cs="Arial"/>
              </w:rPr>
              <w:t xml:space="preserve">Essay </w:t>
            </w:r>
            <w:r w:rsidR="00055EC5">
              <w:rPr>
                <w:rFonts w:ascii="Arial" w:hAnsi="Arial" w:cs="Arial"/>
              </w:rPr>
              <w:t>2</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r>
      <w:tr w:rsidR="009A7891" w:rsidRPr="00302082">
        <w:tc>
          <w:tcPr>
            <w:tcW w:w="2977" w:type="dxa"/>
            <w:gridSpan w:val="2"/>
          </w:tcPr>
          <w:p w:rsidR="009A7891" w:rsidRPr="009A7891" w:rsidRDefault="009A7891" w:rsidP="00302082">
            <w:pPr>
              <w:spacing w:after="120"/>
              <w:rPr>
                <w:rFonts w:ascii="Arial" w:hAnsi="Arial" w:cs="Arial"/>
              </w:rPr>
            </w:pPr>
            <w:r>
              <w:rPr>
                <w:rFonts w:ascii="Arial" w:hAnsi="Arial" w:cs="Arial"/>
              </w:rPr>
              <w:t>Seminar Performance</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c>
          <w:tcPr>
            <w:tcW w:w="567" w:type="dxa"/>
          </w:tcPr>
          <w:p w:rsidR="009A7891" w:rsidRPr="00302082" w:rsidRDefault="00E66833" w:rsidP="00745702">
            <w:pPr>
              <w:spacing w:after="120"/>
              <w:jc w:val="center"/>
              <w:rPr>
                <w:rFonts w:ascii="Arial" w:hAnsi="Arial" w:cs="Arial"/>
                <w:b/>
              </w:rPr>
            </w:pPr>
            <w:r>
              <w:rPr>
                <w:rFonts w:ascii="Arial" w:hAnsi="Arial" w:cs="Arial"/>
                <w:b/>
              </w:rPr>
              <w:t>x</w:t>
            </w:r>
          </w:p>
        </w:tc>
        <w:tc>
          <w:tcPr>
            <w:tcW w:w="567" w:type="dxa"/>
          </w:tcPr>
          <w:p w:rsidR="009A7891" w:rsidRPr="00302082" w:rsidRDefault="009A7891"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085509" w:rsidP="00745702">
      <w:pPr>
        <w:autoSpaceDE w:val="0"/>
        <w:autoSpaceDN w:val="0"/>
        <w:adjustRightInd w:val="0"/>
        <w:spacing w:after="120" w:line="240" w:lineRule="auto"/>
        <w:ind w:left="567" w:right="261"/>
        <w:jc w:val="both"/>
        <w:rPr>
          <w:rFonts w:ascii="Arial" w:hAnsi="Arial" w:cs="Arial"/>
        </w:rPr>
      </w:pPr>
      <w:r w:rsidRPr="00085509">
        <w:rPr>
          <w:rFonts w:ascii="Arial" w:hAnsi="Arial" w:cs="Arial"/>
        </w:rPr>
        <w:t>This module deals with two internationally renowned European philosophers.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trPr>
          <w:trHeight w:val="305"/>
        </w:trPr>
        <w:tc>
          <w:tcPr>
            <w:tcW w:w="1526" w:type="dxa"/>
          </w:tcPr>
          <w:p w:rsidR="00422B69" w:rsidRPr="004D5E86" w:rsidRDefault="00171BC8" w:rsidP="00302082">
            <w:pPr>
              <w:spacing w:after="120"/>
              <w:ind w:right="-330"/>
              <w:rPr>
                <w:rFonts w:ascii="Arial" w:hAnsi="Arial" w:cs="Arial"/>
                <w:sz w:val="18"/>
                <w:szCs w:val="18"/>
              </w:rPr>
            </w:pPr>
            <w:r>
              <w:rPr>
                <w:rFonts w:ascii="Arial" w:hAnsi="Arial" w:cs="Arial"/>
                <w:sz w:val="18"/>
                <w:szCs w:val="18"/>
              </w:rPr>
              <w:t>09/02/18</w:t>
            </w:r>
          </w:p>
        </w:tc>
        <w:tc>
          <w:tcPr>
            <w:tcW w:w="1701" w:type="dxa"/>
          </w:tcPr>
          <w:p w:rsidR="00422B69" w:rsidRPr="004D5E86" w:rsidRDefault="00171BC8" w:rsidP="00302082">
            <w:pPr>
              <w:spacing w:after="120"/>
              <w:ind w:right="-330"/>
              <w:rPr>
                <w:rFonts w:ascii="Arial" w:hAnsi="Arial" w:cs="Arial"/>
                <w:sz w:val="18"/>
                <w:szCs w:val="18"/>
              </w:rPr>
            </w:pPr>
            <w:r>
              <w:rPr>
                <w:rFonts w:ascii="Arial" w:hAnsi="Arial" w:cs="Arial"/>
                <w:sz w:val="18"/>
                <w:szCs w:val="18"/>
              </w:rPr>
              <w:t>Major</w:t>
            </w:r>
          </w:p>
        </w:tc>
        <w:tc>
          <w:tcPr>
            <w:tcW w:w="2410" w:type="dxa"/>
          </w:tcPr>
          <w:p w:rsidR="00422B69" w:rsidRPr="004D5E86" w:rsidRDefault="00171BC8"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rsidR="00422B69" w:rsidRPr="004D5E86" w:rsidRDefault="00171BC8" w:rsidP="00302082">
            <w:pPr>
              <w:spacing w:after="120"/>
              <w:ind w:right="-330"/>
              <w:rPr>
                <w:rFonts w:ascii="Arial" w:hAnsi="Arial" w:cs="Arial"/>
                <w:sz w:val="18"/>
                <w:szCs w:val="18"/>
              </w:rPr>
            </w:pPr>
            <w:r>
              <w:rPr>
                <w:rFonts w:ascii="Arial" w:hAnsi="Arial" w:cs="Arial"/>
                <w:sz w:val="18"/>
                <w:szCs w:val="18"/>
              </w:rPr>
              <w:t>8, 9, 13, 14</w:t>
            </w:r>
          </w:p>
        </w:tc>
        <w:tc>
          <w:tcPr>
            <w:tcW w:w="2400" w:type="dxa"/>
          </w:tcPr>
          <w:p w:rsidR="00422B69" w:rsidRPr="004D5E86" w:rsidRDefault="00171BC8" w:rsidP="00302082">
            <w:pPr>
              <w:spacing w:after="120"/>
              <w:ind w:right="-330"/>
              <w:rPr>
                <w:rFonts w:ascii="Arial" w:hAnsi="Arial" w:cs="Arial"/>
                <w:sz w:val="18"/>
                <w:szCs w:val="18"/>
              </w:rPr>
            </w:pPr>
            <w:r>
              <w:rPr>
                <w:rFonts w:ascii="Arial" w:hAnsi="Arial" w:cs="Arial"/>
                <w:sz w:val="18"/>
                <w:szCs w:val="18"/>
              </w:rPr>
              <w:t>No</w:t>
            </w:r>
          </w:p>
        </w:tc>
      </w:tr>
      <w:tr w:rsidR="00302082" w:rsidRPr="00302082">
        <w:trPr>
          <w:trHeight w:val="305"/>
        </w:trPr>
        <w:tc>
          <w:tcPr>
            <w:tcW w:w="1526" w:type="dxa"/>
          </w:tcPr>
          <w:p w:rsidR="00422B69" w:rsidRPr="004D5E86" w:rsidRDefault="00422B69" w:rsidP="00302082">
            <w:pPr>
              <w:spacing w:after="120"/>
              <w:ind w:right="-330"/>
              <w:rPr>
                <w:rFonts w:ascii="Arial" w:hAnsi="Arial" w:cs="Arial"/>
                <w:sz w:val="18"/>
                <w:szCs w:val="18"/>
              </w:rPr>
            </w:pPr>
          </w:p>
        </w:tc>
        <w:tc>
          <w:tcPr>
            <w:tcW w:w="1701" w:type="dxa"/>
          </w:tcPr>
          <w:p w:rsidR="00422B69" w:rsidRPr="004D5E86" w:rsidRDefault="00422B69" w:rsidP="00302082">
            <w:pPr>
              <w:spacing w:after="120"/>
              <w:ind w:right="-330"/>
              <w:rPr>
                <w:rFonts w:ascii="Arial" w:hAnsi="Arial" w:cs="Arial"/>
                <w:sz w:val="18"/>
                <w:szCs w:val="18"/>
              </w:rPr>
            </w:pPr>
          </w:p>
        </w:tc>
        <w:tc>
          <w:tcPr>
            <w:tcW w:w="2410" w:type="dxa"/>
          </w:tcPr>
          <w:p w:rsidR="00422B69" w:rsidRPr="004D5E86" w:rsidRDefault="00422B69" w:rsidP="00302082">
            <w:pPr>
              <w:spacing w:after="120"/>
              <w:ind w:right="-330"/>
              <w:rPr>
                <w:rFonts w:ascii="Arial" w:hAnsi="Arial" w:cs="Arial"/>
                <w:sz w:val="18"/>
                <w:szCs w:val="18"/>
              </w:rPr>
            </w:pPr>
          </w:p>
        </w:tc>
        <w:tc>
          <w:tcPr>
            <w:tcW w:w="2448" w:type="dxa"/>
          </w:tcPr>
          <w:p w:rsidR="00422B69" w:rsidRPr="004D5E86" w:rsidRDefault="00422B69" w:rsidP="00302082">
            <w:pPr>
              <w:spacing w:after="120"/>
              <w:ind w:right="-330"/>
              <w:rPr>
                <w:rFonts w:ascii="Arial" w:hAnsi="Arial" w:cs="Arial"/>
                <w:sz w:val="18"/>
                <w:szCs w:val="18"/>
              </w:rPr>
            </w:pPr>
          </w:p>
        </w:tc>
        <w:tc>
          <w:tcPr>
            <w:tcW w:w="2400" w:type="dxa"/>
          </w:tcPr>
          <w:p w:rsidR="00422B69" w:rsidRPr="004D5E86"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4D5E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C2" w:rsidRDefault="00113FC2" w:rsidP="009A2D37">
      <w:pPr>
        <w:spacing w:after="0" w:line="240" w:lineRule="auto"/>
      </w:pPr>
      <w:r>
        <w:separator/>
      </w:r>
    </w:p>
  </w:endnote>
  <w:endnote w:type="continuationSeparator" w:id="0">
    <w:p w:rsidR="00113FC2" w:rsidRDefault="00113FC2" w:rsidP="009A2D37">
      <w:pPr>
        <w:spacing w:after="0" w:line="240" w:lineRule="auto"/>
      </w:pPr>
      <w:r>
        <w:continuationSeparator/>
      </w:r>
    </w:p>
  </w:endnote>
  <w:endnote w:type="continuationNotice" w:id="1">
    <w:p w:rsidR="00113FC2" w:rsidRDefault="00113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113FC2" w:rsidRDefault="00827F29" w:rsidP="009A2D37">
        <w:pPr>
          <w:pStyle w:val="Footer"/>
          <w:jc w:val="center"/>
        </w:pPr>
        <w:r>
          <w:fldChar w:fldCharType="begin"/>
        </w:r>
        <w:r>
          <w:instrText xml:space="preserve"> PAGE   \* MERGEFORMAT </w:instrText>
        </w:r>
        <w:r>
          <w:fldChar w:fldCharType="separate"/>
        </w:r>
        <w:r w:rsidR="004D5E86">
          <w:rPr>
            <w:noProof/>
          </w:rPr>
          <w:t>4</w:t>
        </w:r>
        <w:r>
          <w:rPr>
            <w:noProof/>
          </w:rPr>
          <w:fldChar w:fldCharType="end"/>
        </w:r>
      </w:p>
    </w:sdtContent>
  </w:sdt>
  <w:p w:rsidR="00113FC2" w:rsidRPr="007B7724" w:rsidRDefault="00113FC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C2" w:rsidRDefault="00113FC2" w:rsidP="009A2D37">
      <w:pPr>
        <w:spacing w:after="0" w:line="240" w:lineRule="auto"/>
      </w:pPr>
      <w:r>
        <w:separator/>
      </w:r>
    </w:p>
  </w:footnote>
  <w:footnote w:type="continuationSeparator" w:id="0">
    <w:p w:rsidR="00113FC2" w:rsidRDefault="00113FC2" w:rsidP="009A2D37">
      <w:pPr>
        <w:spacing w:after="0" w:line="240" w:lineRule="auto"/>
      </w:pPr>
      <w:r>
        <w:continuationSeparator/>
      </w:r>
    </w:p>
  </w:footnote>
  <w:footnote w:type="continuationNotice" w:id="1">
    <w:p w:rsidR="00113FC2" w:rsidRDefault="00113F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C2" w:rsidRPr="0075408A" w:rsidRDefault="00113FC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113FC2" w:rsidRDefault="0011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C2" w:rsidRPr="0075408A" w:rsidRDefault="00113FC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rsidR="00113FC2" w:rsidRPr="000F7FBF" w:rsidRDefault="00113FC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C538BB"/>
    <w:multiLevelType w:val="hybridMultilevel"/>
    <w:tmpl w:val="3A3A50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EC5"/>
    <w:rsid w:val="00063A2F"/>
    <w:rsid w:val="000678D3"/>
    <w:rsid w:val="00085509"/>
    <w:rsid w:val="00094810"/>
    <w:rsid w:val="0009626C"/>
    <w:rsid w:val="000A3F23"/>
    <w:rsid w:val="000C0294"/>
    <w:rsid w:val="000C7A1C"/>
    <w:rsid w:val="000D2A8A"/>
    <w:rsid w:val="000D32AC"/>
    <w:rsid w:val="000E20C1"/>
    <w:rsid w:val="000E3B73"/>
    <w:rsid w:val="000F6C56"/>
    <w:rsid w:val="000F7FBF"/>
    <w:rsid w:val="00106BE5"/>
    <w:rsid w:val="00110947"/>
    <w:rsid w:val="00111906"/>
    <w:rsid w:val="00111CB3"/>
    <w:rsid w:val="00113FC2"/>
    <w:rsid w:val="00117577"/>
    <w:rsid w:val="00117793"/>
    <w:rsid w:val="001206E4"/>
    <w:rsid w:val="001214D3"/>
    <w:rsid w:val="00121BFC"/>
    <w:rsid w:val="00126D52"/>
    <w:rsid w:val="001402AD"/>
    <w:rsid w:val="001540CE"/>
    <w:rsid w:val="0015717B"/>
    <w:rsid w:val="00157ACA"/>
    <w:rsid w:val="00160427"/>
    <w:rsid w:val="00162D46"/>
    <w:rsid w:val="00171BC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EB0"/>
    <w:rsid w:val="00264576"/>
    <w:rsid w:val="0026585A"/>
    <w:rsid w:val="00266735"/>
    <w:rsid w:val="002719F6"/>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365C"/>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118"/>
    <w:rsid w:val="00422B69"/>
    <w:rsid w:val="00423D86"/>
    <w:rsid w:val="00424C90"/>
    <w:rsid w:val="00436BE9"/>
    <w:rsid w:val="00441E76"/>
    <w:rsid w:val="00443E0F"/>
    <w:rsid w:val="004443DA"/>
    <w:rsid w:val="004448DA"/>
    <w:rsid w:val="00446A75"/>
    <w:rsid w:val="004474A2"/>
    <w:rsid w:val="00460925"/>
    <w:rsid w:val="00467D06"/>
    <w:rsid w:val="00471C6C"/>
    <w:rsid w:val="00472023"/>
    <w:rsid w:val="0048563A"/>
    <w:rsid w:val="00486993"/>
    <w:rsid w:val="00492DA4"/>
    <w:rsid w:val="00496AA3"/>
    <w:rsid w:val="00497C98"/>
    <w:rsid w:val="004A39D7"/>
    <w:rsid w:val="004A55FA"/>
    <w:rsid w:val="004B5D03"/>
    <w:rsid w:val="004C0727"/>
    <w:rsid w:val="004C1EC4"/>
    <w:rsid w:val="004D035C"/>
    <w:rsid w:val="004D5E86"/>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B0A"/>
    <w:rsid w:val="0058743D"/>
    <w:rsid w:val="00587BF7"/>
    <w:rsid w:val="00592034"/>
    <w:rsid w:val="0059477B"/>
    <w:rsid w:val="00594A46"/>
    <w:rsid w:val="00596884"/>
    <w:rsid w:val="005A14B5"/>
    <w:rsid w:val="005B5A98"/>
    <w:rsid w:val="005C1A4F"/>
    <w:rsid w:val="005C27D7"/>
    <w:rsid w:val="005D314E"/>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1431"/>
    <w:rsid w:val="006725EC"/>
    <w:rsid w:val="00674ED0"/>
    <w:rsid w:val="00682650"/>
    <w:rsid w:val="00683609"/>
    <w:rsid w:val="00684851"/>
    <w:rsid w:val="00694309"/>
    <w:rsid w:val="00695285"/>
    <w:rsid w:val="006A6BB4"/>
    <w:rsid w:val="006A7FB0"/>
    <w:rsid w:val="006B79AA"/>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5B0F"/>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29"/>
    <w:rsid w:val="00827FFD"/>
    <w:rsid w:val="008413C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076E3"/>
    <w:rsid w:val="00921CF6"/>
    <w:rsid w:val="00924EF0"/>
    <w:rsid w:val="00934D7B"/>
    <w:rsid w:val="00947180"/>
    <w:rsid w:val="009567BE"/>
    <w:rsid w:val="009676FA"/>
    <w:rsid w:val="009679E0"/>
    <w:rsid w:val="00977632"/>
    <w:rsid w:val="00982A8E"/>
    <w:rsid w:val="00987DB4"/>
    <w:rsid w:val="009928B8"/>
    <w:rsid w:val="00996204"/>
    <w:rsid w:val="009A26CB"/>
    <w:rsid w:val="009A2BC2"/>
    <w:rsid w:val="009A2D37"/>
    <w:rsid w:val="009A7587"/>
    <w:rsid w:val="009A7891"/>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605B"/>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2C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1FA9"/>
    <w:rsid w:val="00E574C9"/>
    <w:rsid w:val="00E610DE"/>
    <w:rsid w:val="00E66167"/>
    <w:rsid w:val="00E661B8"/>
    <w:rsid w:val="00E66833"/>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D35EEA-1284-4CEF-92E4-54780E4D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8F4D0-9381-4B2B-9E2C-5A4039826AF9}">
  <ds:schemaRefs>
    <ds:schemaRef ds:uri="http://schemas.openxmlformats.org/officeDocument/2006/bibliography"/>
  </ds:schemaRefs>
</ds:datastoreItem>
</file>

<file path=customXml/itemProps2.xml><?xml version="1.0" encoding="utf-8"?>
<ds:datastoreItem xmlns:ds="http://schemas.openxmlformats.org/officeDocument/2006/customXml" ds:itemID="{3F366F9D-6FA6-4623-88FA-A839FC129F53}"/>
</file>

<file path=customXml/itemProps3.xml><?xml version="1.0" encoding="utf-8"?>
<ds:datastoreItem xmlns:ds="http://schemas.openxmlformats.org/officeDocument/2006/customXml" ds:itemID="{2330D256-6F9D-44B6-9B8F-CC6F0F300F0C}"/>
</file>

<file path=customXml/itemProps4.xml><?xml version="1.0" encoding="utf-8"?>
<ds:datastoreItem xmlns:ds="http://schemas.openxmlformats.org/officeDocument/2006/customXml" ds:itemID="{3B9F14A8-9160-4FED-82A4-748C7610EA93}"/>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2018-02-21T10:59:00Z</dcterms:created>
  <dcterms:modified xsi:type="dcterms:W3CDTF">2018-02-21T10:59:00Z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