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11A4A2B" w:rsidR="009A2D37" w:rsidRPr="00302082" w:rsidRDefault="00CD7B35" w:rsidP="00745702">
      <w:pPr>
        <w:spacing w:after="120" w:line="240" w:lineRule="auto"/>
        <w:ind w:left="567" w:right="260"/>
        <w:jc w:val="both"/>
        <w:rPr>
          <w:rFonts w:ascii="Arial" w:hAnsi="Arial" w:cs="Arial"/>
        </w:rPr>
      </w:pPr>
      <w:r>
        <w:rPr>
          <w:rFonts w:ascii="Arial" w:hAnsi="Arial" w:cs="Arial"/>
        </w:rPr>
        <w:t>LING8320 (</w:t>
      </w:r>
      <w:r w:rsidRPr="00CD7B35">
        <w:rPr>
          <w:rFonts w:ascii="Arial" w:hAnsi="Arial" w:cs="Arial"/>
        </w:rPr>
        <w:t>LL832</w:t>
      </w:r>
      <w:r>
        <w:rPr>
          <w:rFonts w:ascii="Arial" w:hAnsi="Arial" w:cs="Arial"/>
        </w:rPr>
        <w:t>)</w:t>
      </w:r>
      <w:r w:rsidRPr="00CD7B35">
        <w:rPr>
          <w:rFonts w:ascii="Arial" w:hAnsi="Arial" w:cs="Arial"/>
        </w:rPr>
        <w:t xml:space="preserve"> – Meaning</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89BFE0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CD7B35">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01D257AC" w:rsidR="009A2D37" w:rsidRPr="0036174D" w:rsidRDefault="00CD7B35" w:rsidP="00745702">
      <w:pPr>
        <w:spacing w:after="120" w:line="240" w:lineRule="auto"/>
        <w:ind w:left="567" w:right="260"/>
        <w:rPr>
          <w:rFonts w:ascii="Arial" w:hAnsi="Arial" w:cs="Arial"/>
        </w:rPr>
      </w:pPr>
      <w:r w:rsidRPr="00CD7B35">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BA5DE60" w:rsidR="009A2D37" w:rsidRPr="0036174D" w:rsidRDefault="00CD7B35" w:rsidP="00745702">
      <w:pPr>
        <w:spacing w:after="120" w:line="240" w:lineRule="auto"/>
        <w:ind w:left="567" w:right="260"/>
        <w:rPr>
          <w:rFonts w:ascii="Arial" w:hAnsi="Arial" w:cs="Arial"/>
          <w:iCs/>
        </w:rPr>
      </w:pPr>
      <w:r w:rsidRPr="00CD7B35">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B03DC27" w:rsidR="009A2D37" w:rsidRPr="0036174D" w:rsidRDefault="00CD7B35" w:rsidP="00745702">
      <w:pPr>
        <w:spacing w:after="120" w:line="240" w:lineRule="auto"/>
        <w:ind w:left="567" w:right="260"/>
        <w:rPr>
          <w:rFonts w:ascii="Arial" w:hAnsi="Arial" w:cs="Arial"/>
          <w:iCs/>
        </w:rPr>
      </w:pPr>
      <w:r w:rsidRPr="00CD7B35">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EB2E44B" w14:textId="77777777" w:rsidR="00CD7B35" w:rsidRPr="00CD7B35" w:rsidRDefault="00CD7B35" w:rsidP="00CD7B35">
      <w:pPr>
        <w:spacing w:after="120" w:line="240" w:lineRule="auto"/>
        <w:ind w:left="567" w:right="260"/>
        <w:rPr>
          <w:rFonts w:ascii="Arial" w:hAnsi="Arial" w:cs="Arial"/>
          <w:iCs/>
        </w:rPr>
      </w:pPr>
      <w:r w:rsidRPr="00CD7B35">
        <w:rPr>
          <w:rFonts w:ascii="Arial" w:hAnsi="Arial" w:cs="Arial"/>
          <w:iCs/>
        </w:rPr>
        <w:t>Compulsory for MA Linguistics</w:t>
      </w:r>
    </w:p>
    <w:p w14:paraId="7D85CB28" w14:textId="1E33D45B" w:rsidR="004412BE" w:rsidRPr="0036174D" w:rsidRDefault="00CD7B35" w:rsidP="00CD7B35">
      <w:pPr>
        <w:spacing w:after="120" w:line="240" w:lineRule="auto"/>
        <w:ind w:left="567" w:right="260"/>
        <w:rPr>
          <w:rFonts w:ascii="Arial" w:hAnsi="Arial" w:cs="Arial"/>
          <w:iCs/>
        </w:rPr>
      </w:pPr>
      <w:r w:rsidRPr="00CD7B35">
        <w:rPr>
          <w:rFonts w:ascii="Arial" w:hAnsi="Arial" w:cs="Arial"/>
          <w:iCs/>
        </w:rPr>
        <w:t xml:space="preserve">Optional for MA Applied Linguistics </w:t>
      </w:r>
      <w:r>
        <w:rPr>
          <w:rFonts w:ascii="Arial" w:hAnsi="Arial" w:cs="Arial"/>
          <w:iCs/>
        </w:rPr>
        <w:t>with</w:t>
      </w:r>
      <w:r w:rsidRPr="00CD7B35">
        <w:rPr>
          <w:rFonts w:ascii="Arial" w:hAnsi="Arial" w:cs="Arial"/>
          <w:iCs/>
        </w:rPr>
        <w:t xml:space="preserve"> TESOL</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699F1E"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8.1</w:t>
      </w:r>
      <w:r w:rsidRPr="00CD7B35">
        <w:rPr>
          <w:rFonts w:ascii="Arial" w:hAnsi="Arial" w:cs="Arial"/>
        </w:rPr>
        <w:tab/>
        <w:t>Demonstrate knowledge and systematic understanding of concepts and terminology used to account for the way in which meaning is conveyed;</w:t>
      </w:r>
    </w:p>
    <w:p w14:paraId="170A1572"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8.2</w:t>
      </w:r>
      <w:r w:rsidRPr="00CD7B35">
        <w:rPr>
          <w:rFonts w:ascii="Arial" w:hAnsi="Arial" w:cs="Arial"/>
        </w:rPr>
        <w:tab/>
        <w:t>Demonstrate systematic understanding of core topics in linguistic meaning and of how semantic and pragmatic theory explains them;</w:t>
      </w:r>
    </w:p>
    <w:p w14:paraId="78E57E31"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8.3</w:t>
      </w:r>
      <w:r w:rsidRPr="00CD7B35">
        <w:rPr>
          <w:rFonts w:ascii="Arial" w:hAnsi="Arial" w:cs="Arial"/>
        </w:rPr>
        <w:tab/>
        <w:t>Critically evaluate accounts of meaning-related phenomena, including those that have posed challenges for traditional theories;</w:t>
      </w:r>
    </w:p>
    <w:p w14:paraId="08342674" w14:textId="17271E75" w:rsidR="00C25C76" w:rsidRPr="00C25C76" w:rsidRDefault="00CD7B35" w:rsidP="00CD7B35">
      <w:pPr>
        <w:spacing w:after="120" w:line="240" w:lineRule="auto"/>
        <w:ind w:left="1418" w:right="260" w:hanging="567"/>
        <w:jc w:val="both"/>
        <w:rPr>
          <w:rFonts w:ascii="Arial" w:hAnsi="Arial" w:cs="Arial"/>
        </w:rPr>
      </w:pPr>
      <w:r w:rsidRPr="00CD7B35">
        <w:rPr>
          <w:rFonts w:ascii="Arial" w:hAnsi="Arial" w:cs="Arial"/>
        </w:rPr>
        <w:t>8.4</w:t>
      </w:r>
      <w:r w:rsidRPr="00CD7B35">
        <w:rPr>
          <w:rFonts w:ascii="Arial" w:hAnsi="Arial" w:cs="Arial"/>
        </w:rPr>
        <w:tab/>
        <w:t>Develop practical linguistic research skills by analysing real data, discussing their findings, and attempting generalisations relevant to the important questions in the field.</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429074"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9.1</w:t>
      </w:r>
      <w:r w:rsidRPr="00CD7B35">
        <w:rPr>
          <w:rFonts w:ascii="Arial" w:hAnsi="Arial" w:cs="Arial"/>
        </w:rPr>
        <w:tab/>
        <w:t>Communicate the results of study and work accurately, with well-structured and coherent arguments in an effective and fluent manner both in speech and in writing;</w:t>
      </w:r>
    </w:p>
    <w:p w14:paraId="37AC9D10"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9.2</w:t>
      </w:r>
      <w:r w:rsidRPr="00CD7B35">
        <w:rPr>
          <w:rFonts w:ascii="Arial" w:hAnsi="Arial" w:cs="Arial"/>
        </w:rPr>
        <w:tab/>
        <w:t>Develop their skills in critical reflection and analytical discussion of their own writing and the writing of others;</w:t>
      </w:r>
    </w:p>
    <w:p w14:paraId="74125071" w14:textId="77777777" w:rsidR="00CD7B35" w:rsidRPr="00CD7B35" w:rsidRDefault="00CD7B35" w:rsidP="00CD7B35">
      <w:pPr>
        <w:spacing w:after="120" w:line="240" w:lineRule="auto"/>
        <w:ind w:left="1418" w:right="260" w:hanging="567"/>
        <w:jc w:val="both"/>
        <w:rPr>
          <w:rFonts w:ascii="Arial" w:hAnsi="Arial" w:cs="Arial"/>
        </w:rPr>
      </w:pPr>
      <w:r w:rsidRPr="00CD7B35">
        <w:rPr>
          <w:rFonts w:ascii="Arial" w:hAnsi="Arial" w:cs="Arial"/>
        </w:rPr>
        <w:t>9.3</w:t>
      </w:r>
      <w:r w:rsidRPr="00CD7B35">
        <w:rPr>
          <w:rFonts w:ascii="Arial" w:hAnsi="Arial" w:cs="Arial"/>
        </w:rPr>
        <w:tab/>
        <w:t>Develop their ability to work cooperatively with others, exercising personal responsibility and sensitivity;</w:t>
      </w:r>
    </w:p>
    <w:p w14:paraId="311C938C" w14:textId="7DA4F2E3" w:rsidR="00C25C76" w:rsidRPr="0036174D" w:rsidRDefault="00CD7B35" w:rsidP="00CD7B35">
      <w:pPr>
        <w:spacing w:after="120" w:line="240" w:lineRule="auto"/>
        <w:ind w:left="1418" w:right="260" w:hanging="567"/>
        <w:jc w:val="both"/>
        <w:rPr>
          <w:rFonts w:ascii="Arial" w:hAnsi="Arial" w:cs="Arial"/>
        </w:rPr>
      </w:pPr>
      <w:r w:rsidRPr="00CD7B35">
        <w:rPr>
          <w:rFonts w:ascii="Arial" w:hAnsi="Arial" w:cs="Arial"/>
        </w:rPr>
        <w:t>9.4</w:t>
      </w:r>
      <w:r w:rsidRPr="00CD7B35">
        <w:rPr>
          <w:rFonts w:ascii="Arial" w:hAnsi="Arial" w:cs="Arial"/>
        </w:rPr>
        <w:tab/>
        <w:t>Exchange relevant information through the use of shared access to documents and web-based learning.</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259E2D04" w:rsidR="009A2D37" w:rsidRPr="0036174D" w:rsidRDefault="00CD7B35" w:rsidP="00C25C76">
      <w:pPr>
        <w:spacing w:after="120" w:line="240" w:lineRule="auto"/>
        <w:ind w:left="567" w:right="260"/>
        <w:jc w:val="both"/>
        <w:rPr>
          <w:rFonts w:ascii="Arial" w:hAnsi="Arial" w:cs="Arial"/>
          <w:iCs/>
        </w:rPr>
      </w:pPr>
      <w:r w:rsidRPr="00CD7B35">
        <w:rPr>
          <w:rFonts w:ascii="Arial" w:hAnsi="Arial" w:cs="Arial"/>
          <w:iCs/>
        </w:rPr>
        <w:t>This module will introduce students to the study of semantic meaning. The focus will be on developing a fluency with analytical tools in semantics and pragmatics, and using these to explain a range of phenomena. Topics covered will include truth-conditional semantics, reference, presupposition, conversational implicature, and Speech Act Theory. Students will have the opportunity to reflect upon real data and analyse the processes of conveying and understanding meaning.</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9A4AAB0" w14:textId="77777777"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lastRenderedPageBreak/>
        <w:t xml:space="preserve">Birner, B. (2012). </w:t>
      </w:r>
      <w:r w:rsidRPr="00E705D0">
        <w:rPr>
          <w:rFonts w:ascii="Arial" w:hAnsi="Arial" w:cs="Arial"/>
          <w:i/>
        </w:rPr>
        <w:t>Introduction to Pragmatics</w:t>
      </w:r>
      <w:r w:rsidRPr="00E705D0">
        <w:rPr>
          <w:rFonts w:ascii="Arial" w:hAnsi="Arial" w:cs="Arial"/>
        </w:rPr>
        <w:t xml:space="preserve">. </w:t>
      </w:r>
      <w:r>
        <w:rPr>
          <w:rFonts w:ascii="Arial" w:hAnsi="Arial" w:cs="Arial"/>
        </w:rPr>
        <w:t xml:space="preserve">Oxford: </w:t>
      </w:r>
      <w:r w:rsidRPr="00E705D0">
        <w:rPr>
          <w:rFonts w:ascii="Arial" w:hAnsi="Arial" w:cs="Arial"/>
        </w:rPr>
        <w:t>Wiley-Blackwell.</w:t>
      </w:r>
    </w:p>
    <w:p w14:paraId="3D352630" w14:textId="77777777"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t xml:space="preserve">Chierchia, G., and S. McConnell-Ginet (2000). </w:t>
      </w:r>
      <w:r w:rsidRPr="00E705D0">
        <w:rPr>
          <w:rFonts w:ascii="Arial" w:hAnsi="Arial" w:cs="Arial"/>
          <w:i/>
        </w:rPr>
        <w:t>Meaning and Grammar. An Introduction to Semantics</w:t>
      </w:r>
      <w:r w:rsidRPr="00E705D0">
        <w:rPr>
          <w:rFonts w:ascii="Arial" w:hAnsi="Arial" w:cs="Arial"/>
        </w:rPr>
        <w:t xml:space="preserve">, </w:t>
      </w:r>
      <w:r>
        <w:rPr>
          <w:rFonts w:ascii="Arial" w:hAnsi="Arial" w:cs="Arial"/>
        </w:rPr>
        <w:t xml:space="preserve">Massachusetts: </w:t>
      </w:r>
      <w:r w:rsidRPr="00E705D0">
        <w:rPr>
          <w:rFonts w:ascii="Arial" w:hAnsi="Arial" w:cs="Arial"/>
        </w:rPr>
        <w:t>MIT Press.</w:t>
      </w:r>
    </w:p>
    <w:p w14:paraId="3B06C9D8" w14:textId="77777777"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t xml:space="preserve">Jaszczolt, K. (2002). </w:t>
      </w:r>
      <w:r w:rsidRPr="00E705D0">
        <w:rPr>
          <w:rFonts w:ascii="Arial" w:hAnsi="Arial" w:cs="Arial"/>
          <w:i/>
        </w:rPr>
        <w:t>Semantics and Pragmatics: Meaning in Language and Discourse</w:t>
      </w:r>
      <w:r w:rsidRPr="00E705D0">
        <w:rPr>
          <w:rFonts w:ascii="Arial" w:hAnsi="Arial" w:cs="Arial"/>
        </w:rPr>
        <w:t xml:space="preserve">, </w:t>
      </w:r>
      <w:r>
        <w:rPr>
          <w:rFonts w:ascii="Arial" w:hAnsi="Arial" w:cs="Arial"/>
        </w:rPr>
        <w:t xml:space="preserve">Harlow: </w:t>
      </w:r>
      <w:r w:rsidRPr="00E705D0">
        <w:rPr>
          <w:rFonts w:ascii="Arial" w:hAnsi="Arial" w:cs="Arial"/>
        </w:rPr>
        <w:t>Pearson Education.</w:t>
      </w:r>
    </w:p>
    <w:p w14:paraId="0E7A251C" w14:textId="1DAB4C41" w:rsidR="00CD7B35" w:rsidRPr="00E705D0" w:rsidRDefault="00CD7B35" w:rsidP="00CD7B35">
      <w:pPr>
        <w:spacing w:after="120" w:line="240" w:lineRule="auto"/>
        <w:ind w:left="567" w:right="260"/>
        <w:jc w:val="both"/>
        <w:rPr>
          <w:rFonts w:ascii="Arial" w:hAnsi="Arial" w:cs="Arial"/>
        </w:rPr>
      </w:pPr>
      <w:r w:rsidRPr="00E705D0">
        <w:rPr>
          <w:rFonts w:ascii="Arial" w:hAnsi="Arial" w:cs="Arial"/>
        </w:rPr>
        <w:t xml:space="preserve">Kearns, K. (2011). </w:t>
      </w:r>
      <w:r w:rsidRPr="00E705D0">
        <w:rPr>
          <w:rFonts w:ascii="Arial" w:hAnsi="Arial" w:cs="Arial"/>
          <w:i/>
        </w:rPr>
        <w:t>Semantics</w:t>
      </w:r>
      <w:r w:rsidRPr="00E705D0">
        <w:rPr>
          <w:rFonts w:ascii="Arial" w:hAnsi="Arial" w:cs="Arial"/>
        </w:rPr>
        <w:t xml:space="preserve"> (2nd ed</w:t>
      </w:r>
      <w:r>
        <w:rPr>
          <w:rFonts w:ascii="Arial" w:hAnsi="Arial" w:cs="Arial"/>
        </w:rPr>
        <w:t>itio</w:t>
      </w:r>
      <w:r w:rsidRPr="00E705D0">
        <w:rPr>
          <w:rFonts w:ascii="Arial" w:hAnsi="Arial" w:cs="Arial"/>
        </w:rPr>
        <w:t xml:space="preserve">n.). </w:t>
      </w:r>
      <w:r>
        <w:rPr>
          <w:rFonts w:ascii="Arial" w:hAnsi="Arial" w:cs="Arial"/>
        </w:rPr>
        <w:t xml:space="preserve">Basingstoke: </w:t>
      </w:r>
      <w:r w:rsidRPr="00E705D0">
        <w:rPr>
          <w:rFonts w:ascii="Arial" w:hAnsi="Arial" w:cs="Arial"/>
        </w:rPr>
        <w:t>Palgrave Macmillan.</w:t>
      </w:r>
    </w:p>
    <w:p w14:paraId="00772181" w14:textId="7FD1078B" w:rsidR="004412BE" w:rsidRPr="004412BE" w:rsidRDefault="00CD7B35" w:rsidP="004412BE">
      <w:pPr>
        <w:spacing w:after="120" w:line="240" w:lineRule="auto"/>
        <w:ind w:left="567" w:right="260"/>
        <w:jc w:val="both"/>
        <w:rPr>
          <w:rFonts w:ascii="Arial" w:hAnsi="Arial" w:cs="Arial"/>
        </w:rPr>
      </w:pPr>
      <w:r w:rsidRPr="00E705D0">
        <w:rPr>
          <w:rFonts w:ascii="Arial" w:hAnsi="Arial" w:cs="Arial"/>
        </w:rPr>
        <w:t xml:space="preserve">Saeed, J. (2008). </w:t>
      </w:r>
      <w:r w:rsidRPr="00E705D0">
        <w:rPr>
          <w:rFonts w:ascii="Arial" w:hAnsi="Arial" w:cs="Arial"/>
          <w:i/>
        </w:rPr>
        <w:t>Semantics</w:t>
      </w:r>
      <w:r w:rsidRPr="00E705D0">
        <w:rPr>
          <w:rFonts w:ascii="Arial" w:hAnsi="Arial" w:cs="Arial"/>
        </w:rPr>
        <w:t>. 3rd edition. Oxford: Blackwell.</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4C99769A"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CD7B35">
        <w:rPr>
          <w:rFonts w:ascii="Arial" w:hAnsi="Arial" w:cs="Arial"/>
          <w:iCs/>
        </w:rPr>
        <w:t>20</w:t>
      </w:r>
    </w:p>
    <w:p w14:paraId="02E2B22A" w14:textId="2688EC02"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CD7B35">
        <w:rPr>
          <w:rFonts w:ascii="Arial" w:hAnsi="Arial" w:cs="Arial"/>
          <w:iCs/>
        </w:rPr>
        <w:t>130</w:t>
      </w:r>
    </w:p>
    <w:p w14:paraId="4DD99A46" w14:textId="15FD0580"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CD7B35">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4FEE494B" w:rsidR="00B81E6B" w:rsidRDefault="00CD7B35" w:rsidP="00B81E6B">
      <w:pPr>
        <w:pStyle w:val="ListParagraph"/>
        <w:numPr>
          <w:ilvl w:val="0"/>
          <w:numId w:val="10"/>
        </w:numPr>
        <w:spacing w:after="120"/>
        <w:ind w:right="260"/>
        <w:contextualSpacing w:val="0"/>
        <w:rPr>
          <w:rFonts w:ascii="Arial" w:hAnsi="Arial" w:cs="Arial"/>
          <w:iCs/>
        </w:rPr>
      </w:pPr>
      <w:r w:rsidRPr="00270DFE">
        <w:rPr>
          <w:rFonts w:ascii="Arial" w:eastAsia="Arial" w:hAnsi="Arial" w:cs="Arial"/>
        </w:rPr>
        <w:t>Take-home Assignment 1 (</w:t>
      </w:r>
      <w:r w:rsidR="28867801" w:rsidRPr="00270DFE">
        <w:rPr>
          <w:rFonts w:ascii="Arial" w:eastAsia="Arial" w:hAnsi="Arial" w:cs="Arial"/>
        </w:rPr>
        <w:t>1</w:t>
      </w:r>
      <w:r w:rsidR="00BF5217">
        <w:rPr>
          <w:rFonts w:ascii="Arial" w:eastAsia="Arial" w:hAnsi="Arial" w:cs="Arial"/>
        </w:rPr>
        <w:t>,</w:t>
      </w:r>
      <w:r w:rsidR="28867801" w:rsidRPr="00270DFE">
        <w:rPr>
          <w:rFonts w:ascii="Arial" w:eastAsia="Arial" w:hAnsi="Arial" w:cs="Arial"/>
        </w:rPr>
        <w:t xml:space="preserve">500 </w:t>
      </w:r>
      <w:r w:rsidRPr="00270DFE">
        <w:rPr>
          <w:rFonts w:ascii="Arial" w:eastAsia="Arial" w:hAnsi="Arial" w:cs="Arial"/>
        </w:rPr>
        <w:t>words) – 40%</w:t>
      </w:r>
      <w:bookmarkStart w:id="0" w:name="_GoBack"/>
      <w:bookmarkEnd w:id="0"/>
    </w:p>
    <w:p w14:paraId="2C7C7D57" w14:textId="037E9DBD" w:rsidR="00CD7B35" w:rsidRDefault="00CD7B35" w:rsidP="00B81E6B">
      <w:pPr>
        <w:pStyle w:val="ListParagraph"/>
        <w:numPr>
          <w:ilvl w:val="0"/>
          <w:numId w:val="10"/>
        </w:numPr>
        <w:spacing w:after="120"/>
        <w:ind w:right="260"/>
        <w:contextualSpacing w:val="0"/>
        <w:rPr>
          <w:rFonts w:ascii="Arial" w:hAnsi="Arial" w:cs="Arial"/>
          <w:iCs/>
        </w:rPr>
      </w:pPr>
      <w:r w:rsidRPr="00270DFE">
        <w:rPr>
          <w:rFonts w:ascii="Arial" w:eastAsia="Arial" w:hAnsi="Arial" w:cs="Arial"/>
        </w:rPr>
        <w:t>Take-home Assignment 2 (</w:t>
      </w:r>
      <w:r w:rsidR="28867801" w:rsidRPr="00270DFE">
        <w:rPr>
          <w:rFonts w:ascii="Arial" w:eastAsia="Arial" w:hAnsi="Arial" w:cs="Arial"/>
        </w:rPr>
        <w:t>2</w:t>
      </w:r>
      <w:r w:rsidR="00BF5217">
        <w:rPr>
          <w:rFonts w:ascii="Arial" w:eastAsia="Arial" w:hAnsi="Arial" w:cs="Arial"/>
        </w:rPr>
        <w:t>,</w:t>
      </w:r>
      <w:r w:rsidR="28867801" w:rsidRPr="00270DFE">
        <w:rPr>
          <w:rFonts w:ascii="Arial" w:eastAsia="Arial" w:hAnsi="Arial" w:cs="Arial"/>
        </w:rPr>
        <w:t xml:space="preserve">000 </w:t>
      </w:r>
      <w:r w:rsidRPr="00270DFE">
        <w:rPr>
          <w:rFonts w:ascii="Arial" w:eastAsia="Arial" w:hAnsi="Arial" w:cs="Arial"/>
        </w:rPr>
        <w:t>words) – 60%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608F0DEC"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CD7B35">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627" w:type="dxa"/>
        <w:tblInd w:w="562" w:type="dxa"/>
        <w:tblLayout w:type="fixed"/>
        <w:tblLook w:val="04A0" w:firstRow="1" w:lastRow="0" w:firstColumn="1" w:lastColumn="0" w:noHBand="0" w:noVBand="1"/>
      </w:tblPr>
      <w:tblGrid>
        <w:gridCol w:w="3090"/>
        <w:gridCol w:w="10"/>
        <w:gridCol w:w="557"/>
        <w:gridCol w:w="10"/>
        <w:gridCol w:w="558"/>
        <w:gridCol w:w="567"/>
        <w:gridCol w:w="567"/>
        <w:gridCol w:w="567"/>
        <w:gridCol w:w="567"/>
        <w:gridCol w:w="567"/>
        <w:gridCol w:w="567"/>
      </w:tblGrid>
      <w:tr w:rsidR="00CD7B35" w:rsidRPr="00302082" w14:paraId="2FFE38F7" w14:textId="77777777" w:rsidTr="00FA3448">
        <w:tc>
          <w:tcPr>
            <w:tcW w:w="3090" w:type="dxa"/>
            <w:shd w:val="clear" w:color="auto" w:fill="D9D9D9" w:themeFill="background1" w:themeFillShade="D9"/>
          </w:tcPr>
          <w:p w14:paraId="09EC3657" w14:textId="3A2E8863" w:rsidR="00CD7B35" w:rsidRPr="00302082" w:rsidRDefault="00CD7B35" w:rsidP="00CD7B35">
            <w:pPr>
              <w:spacing w:after="120"/>
              <w:rPr>
                <w:rFonts w:ascii="Arial" w:hAnsi="Arial" w:cs="Arial"/>
                <w:i/>
              </w:rPr>
            </w:pPr>
            <w:r w:rsidRPr="00302082">
              <w:rPr>
                <w:rFonts w:ascii="Arial" w:hAnsi="Arial" w:cs="Arial"/>
                <w:b/>
              </w:rPr>
              <w:t>Module learning outcome</w:t>
            </w:r>
          </w:p>
        </w:tc>
        <w:tc>
          <w:tcPr>
            <w:tcW w:w="567" w:type="dxa"/>
            <w:gridSpan w:val="2"/>
          </w:tcPr>
          <w:p w14:paraId="45ED5696" w14:textId="77777777" w:rsidR="00CD7B35" w:rsidRPr="00302082" w:rsidRDefault="00CD7B35" w:rsidP="009C133B">
            <w:pPr>
              <w:spacing w:after="120"/>
              <w:rPr>
                <w:rFonts w:ascii="Arial" w:hAnsi="Arial" w:cs="Arial"/>
                <w:i/>
              </w:rPr>
            </w:pPr>
            <w:r w:rsidRPr="00302082">
              <w:rPr>
                <w:rFonts w:ascii="Arial" w:hAnsi="Arial" w:cs="Arial"/>
                <w:i/>
              </w:rPr>
              <w:t>8.1</w:t>
            </w:r>
          </w:p>
        </w:tc>
        <w:tc>
          <w:tcPr>
            <w:tcW w:w="568" w:type="dxa"/>
            <w:gridSpan w:val="2"/>
          </w:tcPr>
          <w:p w14:paraId="3D1F8E10" w14:textId="77777777" w:rsidR="00CD7B35" w:rsidRPr="00302082" w:rsidRDefault="00CD7B35" w:rsidP="009C133B">
            <w:pPr>
              <w:spacing w:after="120"/>
              <w:rPr>
                <w:rFonts w:ascii="Arial" w:hAnsi="Arial" w:cs="Arial"/>
                <w:i/>
              </w:rPr>
            </w:pPr>
            <w:r w:rsidRPr="00302082">
              <w:rPr>
                <w:rFonts w:ascii="Arial" w:hAnsi="Arial" w:cs="Arial"/>
                <w:i/>
              </w:rPr>
              <w:t>8.2</w:t>
            </w:r>
          </w:p>
        </w:tc>
        <w:tc>
          <w:tcPr>
            <w:tcW w:w="567" w:type="dxa"/>
          </w:tcPr>
          <w:p w14:paraId="7E99BFEB" w14:textId="77777777" w:rsidR="00CD7B35" w:rsidRPr="00302082" w:rsidRDefault="00CD7B35" w:rsidP="009C133B">
            <w:pPr>
              <w:spacing w:after="120"/>
              <w:rPr>
                <w:rFonts w:ascii="Arial" w:hAnsi="Arial" w:cs="Arial"/>
                <w:i/>
              </w:rPr>
            </w:pPr>
            <w:r w:rsidRPr="00302082">
              <w:rPr>
                <w:rFonts w:ascii="Arial" w:hAnsi="Arial" w:cs="Arial"/>
                <w:i/>
              </w:rPr>
              <w:t>8.3</w:t>
            </w:r>
          </w:p>
        </w:tc>
        <w:tc>
          <w:tcPr>
            <w:tcW w:w="567" w:type="dxa"/>
          </w:tcPr>
          <w:p w14:paraId="6B649ED8" w14:textId="77777777" w:rsidR="00CD7B35" w:rsidRPr="00302082" w:rsidRDefault="00CD7B35" w:rsidP="009C133B">
            <w:pPr>
              <w:spacing w:after="120"/>
              <w:rPr>
                <w:rFonts w:ascii="Arial" w:hAnsi="Arial" w:cs="Arial"/>
                <w:i/>
              </w:rPr>
            </w:pPr>
            <w:r w:rsidRPr="00302082">
              <w:rPr>
                <w:rFonts w:ascii="Arial" w:hAnsi="Arial" w:cs="Arial"/>
                <w:i/>
              </w:rPr>
              <w:t>8.4</w:t>
            </w:r>
          </w:p>
        </w:tc>
        <w:tc>
          <w:tcPr>
            <w:tcW w:w="567" w:type="dxa"/>
          </w:tcPr>
          <w:p w14:paraId="0E2EA3B5" w14:textId="77777777" w:rsidR="00CD7B35" w:rsidRPr="00302082" w:rsidRDefault="00CD7B35" w:rsidP="009C133B">
            <w:pPr>
              <w:spacing w:after="120"/>
              <w:rPr>
                <w:rFonts w:ascii="Arial" w:hAnsi="Arial" w:cs="Arial"/>
                <w:i/>
              </w:rPr>
            </w:pPr>
            <w:r w:rsidRPr="00302082">
              <w:rPr>
                <w:rFonts w:ascii="Arial" w:hAnsi="Arial" w:cs="Arial"/>
                <w:i/>
              </w:rPr>
              <w:t>9.1</w:t>
            </w:r>
          </w:p>
        </w:tc>
        <w:tc>
          <w:tcPr>
            <w:tcW w:w="567" w:type="dxa"/>
          </w:tcPr>
          <w:p w14:paraId="2E4B0523" w14:textId="77777777" w:rsidR="00CD7B35" w:rsidRPr="00302082" w:rsidRDefault="00CD7B35" w:rsidP="009C133B">
            <w:pPr>
              <w:spacing w:after="120"/>
              <w:rPr>
                <w:rFonts w:ascii="Arial" w:hAnsi="Arial" w:cs="Arial"/>
                <w:i/>
              </w:rPr>
            </w:pPr>
            <w:r w:rsidRPr="00302082">
              <w:rPr>
                <w:rFonts w:ascii="Arial" w:hAnsi="Arial" w:cs="Arial"/>
                <w:i/>
              </w:rPr>
              <w:t>9.2</w:t>
            </w:r>
          </w:p>
        </w:tc>
        <w:tc>
          <w:tcPr>
            <w:tcW w:w="567" w:type="dxa"/>
          </w:tcPr>
          <w:p w14:paraId="0F10D3E7" w14:textId="77777777" w:rsidR="00CD7B35" w:rsidRPr="00302082" w:rsidRDefault="00CD7B35" w:rsidP="009C133B">
            <w:pPr>
              <w:spacing w:after="120"/>
              <w:rPr>
                <w:rFonts w:ascii="Arial" w:hAnsi="Arial" w:cs="Arial"/>
                <w:i/>
              </w:rPr>
            </w:pPr>
            <w:r w:rsidRPr="00302082">
              <w:rPr>
                <w:rFonts w:ascii="Arial" w:hAnsi="Arial" w:cs="Arial"/>
                <w:i/>
              </w:rPr>
              <w:t>9.3</w:t>
            </w:r>
          </w:p>
        </w:tc>
        <w:tc>
          <w:tcPr>
            <w:tcW w:w="567" w:type="dxa"/>
          </w:tcPr>
          <w:p w14:paraId="139E03A3" w14:textId="77777777" w:rsidR="00CD7B35" w:rsidRPr="00302082" w:rsidRDefault="00CD7B35" w:rsidP="009C133B">
            <w:pPr>
              <w:spacing w:after="120"/>
              <w:rPr>
                <w:rFonts w:ascii="Arial" w:hAnsi="Arial" w:cs="Arial"/>
                <w:i/>
              </w:rPr>
            </w:pPr>
            <w:r w:rsidRPr="00302082">
              <w:rPr>
                <w:rFonts w:ascii="Arial" w:hAnsi="Arial" w:cs="Arial"/>
                <w:i/>
              </w:rPr>
              <w:t>9.4</w:t>
            </w:r>
          </w:p>
        </w:tc>
      </w:tr>
      <w:tr w:rsidR="00CD7B35" w:rsidRPr="00302082" w14:paraId="1C0EDC3C" w14:textId="77777777" w:rsidTr="00E535D3">
        <w:tc>
          <w:tcPr>
            <w:tcW w:w="3090" w:type="dxa"/>
            <w:shd w:val="clear" w:color="auto" w:fill="D9D9D9" w:themeFill="background1" w:themeFillShade="D9"/>
          </w:tcPr>
          <w:p w14:paraId="0847FBFE" w14:textId="1DE536B7" w:rsidR="00CD7B35" w:rsidRPr="00302082" w:rsidRDefault="00CD7B35" w:rsidP="00CD7B35">
            <w:pPr>
              <w:spacing w:after="120"/>
              <w:rPr>
                <w:rFonts w:ascii="Arial" w:hAnsi="Arial" w:cs="Arial"/>
                <w:b/>
              </w:rPr>
            </w:pPr>
            <w:r w:rsidRPr="00302082">
              <w:rPr>
                <w:rFonts w:ascii="Arial" w:hAnsi="Arial" w:cs="Arial"/>
                <w:b/>
              </w:rPr>
              <w:t>Learning/ teaching method</w:t>
            </w:r>
          </w:p>
        </w:tc>
        <w:tc>
          <w:tcPr>
            <w:tcW w:w="567" w:type="dxa"/>
            <w:gridSpan w:val="2"/>
          </w:tcPr>
          <w:p w14:paraId="4C9AED81" w14:textId="77777777" w:rsidR="00CD7B35" w:rsidRPr="00302082" w:rsidRDefault="00CD7B35" w:rsidP="009C133B">
            <w:pPr>
              <w:spacing w:after="120"/>
              <w:rPr>
                <w:rFonts w:ascii="Arial" w:hAnsi="Arial" w:cs="Arial"/>
                <w:b/>
              </w:rPr>
            </w:pPr>
          </w:p>
        </w:tc>
        <w:tc>
          <w:tcPr>
            <w:tcW w:w="568" w:type="dxa"/>
            <w:gridSpan w:val="2"/>
          </w:tcPr>
          <w:p w14:paraId="6E964A79" w14:textId="77777777" w:rsidR="00CD7B35" w:rsidRPr="00302082" w:rsidRDefault="00CD7B35" w:rsidP="009C133B">
            <w:pPr>
              <w:spacing w:after="120"/>
              <w:rPr>
                <w:rFonts w:ascii="Arial" w:hAnsi="Arial" w:cs="Arial"/>
                <w:b/>
              </w:rPr>
            </w:pPr>
          </w:p>
        </w:tc>
        <w:tc>
          <w:tcPr>
            <w:tcW w:w="567" w:type="dxa"/>
          </w:tcPr>
          <w:p w14:paraId="16B3F148" w14:textId="77777777" w:rsidR="00CD7B35" w:rsidRPr="00302082" w:rsidRDefault="00CD7B35" w:rsidP="009C133B">
            <w:pPr>
              <w:spacing w:after="120"/>
              <w:rPr>
                <w:rFonts w:ascii="Arial" w:hAnsi="Arial" w:cs="Arial"/>
                <w:b/>
              </w:rPr>
            </w:pPr>
          </w:p>
        </w:tc>
        <w:tc>
          <w:tcPr>
            <w:tcW w:w="567" w:type="dxa"/>
          </w:tcPr>
          <w:p w14:paraId="103C0B3C" w14:textId="77777777" w:rsidR="00CD7B35" w:rsidRPr="00302082" w:rsidRDefault="00CD7B35" w:rsidP="009C133B">
            <w:pPr>
              <w:spacing w:after="120"/>
              <w:rPr>
                <w:rFonts w:ascii="Arial" w:hAnsi="Arial" w:cs="Arial"/>
                <w:b/>
              </w:rPr>
            </w:pPr>
          </w:p>
        </w:tc>
        <w:tc>
          <w:tcPr>
            <w:tcW w:w="567" w:type="dxa"/>
          </w:tcPr>
          <w:p w14:paraId="6A87B97D" w14:textId="77777777" w:rsidR="00CD7B35" w:rsidRPr="00302082" w:rsidRDefault="00CD7B35" w:rsidP="009C133B">
            <w:pPr>
              <w:spacing w:after="120"/>
              <w:rPr>
                <w:rFonts w:ascii="Arial" w:hAnsi="Arial" w:cs="Arial"/>
                <w:b/>
              </w:rPr>
            </w:pPr>
          </w:p>
        </w:tc>
        <w:tc>
          <w:tcPr>
            <w:tcW w:w="567" w:type="dxa"/>
          </w:tcPr>
          <w:p w14:paraId="73E3CF31" w14:textId="77777777" w:rsidR="00CD7B35" w:rsidRPr="00302082" w:rsidRDefault="00CD7B35" w:rsidP="009C133B">
            <w:pPr>
              <w:spacing w:after="120"/>
              <w:rPr>
                <w:rFonts w:ascii="Arial" w:hAnsi="Arial" w:cs="Arial"/>
                <w:b/>
              </w:rPr>
            </w:pPr>
          </w:p>
        </w:tc>
        <w:tc>
          <w:tcPr>
            <w:tcW w:w="567" w:type="dxa"/>
          </w:tcPr>
          <w:p w14:paraId="05908264" w14:textId="77777777" w:rsidR="00CD7B35" w:rsidRPr="00302082" w:rsidRDefault="00CD7B35" w:rsidP="009C133B">
            <w:pPr>
              <w:spacing w:after="120"/>
              <w:rPr>
                <w:rFonts w:ascii="Arial" w:hAnsi="Arial" w:cs="Arial"/>
                <w:b/>
              </w:rPr>
            </w:pPr>
          </w:p>
        </w:tc>
        <w:tc>
          <w:tcPr>
            <w:tcW w:w="567" w:type="dxa"/>
          </w:tcPr>
          <w:p w14:paraId="13E6E5E9" w14:textId="77777777" w:rsidR="00CD7B35" w:rsidRPr="00302082" w:rsidRDefault="00CD7B35" w:rsidP="009C133B">
            <w:pPr>
              <w:spacing w:after="120"/>
              <w:rPr>
                <w:rFonts w:ascii="Arial" w:hAnsi="Arial" w:cs="Arial"/>
                <w:b/>
              </w:rPr>
            </w:pPr>
          </w:p>
        </w:tc>
      </w:tr>
      <w:tr w:rsidR="00CD7B35" w:rsidRPr="00302082" w14:paraId="6F748F54" w14:textId="77777777" w:rsidTr="004666FF">
        <w:tc>
          <w:tcPr>
            <w:tcW w:w="3090" w:type="dxa"/>
          </w:tcPr>
          <w:p w14:paraId="51A27214" w14:textId="0EE22CFC" w:rsidR="00CD7B35" w:rsidRPr="00CD7B35" w:rsidRDefault="00CD7B35" w:rsidP="00CD7B35">
            <w:pPr>
              <w:spacing w:after="120"/>
              <w:rPr>
                <w:rFonts w:ascii="Arial" w:hAnsi="Arial" w:cs="Arial"/>
              </w:rPr>
            </w:pPr>
            <w:r w:rsidRPr="00CD7B35">
              <w:rPr>
                <w:rFonts w:ascii="Arial" w:hAnsi="Arial" w:cs="Arial"/>
              </w:rPr>
              <w:t>Private Study</w:t>
            </w:r>
          </w:p>
        </w:tc>
        <w:tc>
          <w:tcPr>
            <w:tcW w:w="567" w:type="dxa"/>
            <w:gridSpan w:val="2"/>
          </w:tcPr>
          <w:p w14:paraId="5FFF52B0" w14:textId="77777777" w:rsidR="00CD7B35" w:rsidRPr="00CD7B35" w:rsidRDefault="00CD7B35" w:rsidP="009C133B">
            <w:pPr>
              <w:spacing w:after="120"/>
              <w:jc w:val="center"/>
              <w:rPr>
                <w:rFonts w:ascii="Arial" w:hAnsi="Arial" w:cs="Arial"/>
                <w:b/>
              </w:rPr>
            </w:pPr>
            <w:r w:rsidRPr="00CD7B35">
              <w:rPr>
                <w:rFonts w:ascii="Arial" w:hAnsi="Arial" w:cs="Arial"/>
                <w:b/>
              </w:rPr>
              <w:t>x</w:t>
            </w:r>
          </w:p>
        </w:tc>
        <w:tc>
          <w:tcPr>
            <w:tcW w:w="568" w:type="dxa"/>
            <w:gridSpan w:val="2"/>
          </w:tcPr>
          <w:p w14:paraId="6114250B"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CDE018B"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4BEE169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7E4E085"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7285FCFE"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1947A2B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6C395B68" w14:textId="77777777" w:rsidR="00CD7B35" w:rsidRPr="00302082" w:rsidRDefault="00CD7B35" w:rsidP="009C133B">
            <w:pPr>
              <w:spacing w:after="120"/>
              <w:jc w:val="center"/>
              <w:rPr>
                <w:rFonts w:ascii="Arial" w:hAnsi="Arial" w:cs="Arial"/>
                <w:b/>
              </w:rPr>
            </w:pPr>
            <w:r>
              <w:rPr>
                <w:rFonts w:ascii="Arial" w:hAnsi="Arial" w:cs="Arial"/>
                <w:b/>
              </w:rPr>
              <w:t>x</w:t>
            </w:r>
          </w:p>
        </w:tc>
      </w:tr>
      <w:tr w:rsidR="00CD7B35" w:rsidRPr="00302082" w14:paraId="4AC42B28" w14:textId="77777777" w:rsidTr="00964CFD">
        <w:tc>
          <w:tcPr>
            <w:tcW w:w="3090" w:type="dxa"/>
          </w:tcPr>
          <w:p w14:paraId="7CC45825" w14:textId="45F6A96E" w:rsidR="00CD7B35" w:rsidRPr="00CD7B35" w:rsidRDefault="00CD7B35" w:rsidP="00CD7B35">
            <w:pPr>
              <w:spacing w:after="120"/>
              <w:rPr>
                <w:rFonts w:ascii="Arial" w:hAnsi="Arial" w:cs="Arial"/>
              </w:rPr>
            </w:pPr>
            <w:r w:rsidRPr="00CD7B35">
              <w:rPr>
                <w:rFonts w:ascii="Arial" w:hAnsi="Arial" w:cs="Arial"/>
              </w:rPr>
              <w:t>Lecture/Seminar</w:t>
            </w:r>
          </w:p>
        </w:tc>
        <w:tc>
          <w:tcPr>
            <w:tcW w:w="567" w:type="dxa"/>
            <w:gridSpan w:val="2"/>
          </w:tcPr>
          <w:p w14:paraId="13767D94" w14:textId="77777777" w:rsidR="00CD7B35" w:rsidRPr="00CD7B35" w:rsidRDefault="00CD7B35" w:rsidP="009C133B">
            <w:pPr>
              <w:spacing w:after="120"/>
              <w:jc w:val="center"/>
              <w:rPr>
                <w:rFonts w:ascii="Arial" w:hAnsi="Arial" w:cs="Arial"/>
                <w:b/>
              </w:rPr>
            </w:pPr>
            <w:r w:rsidRPr="00CD7B35">
              <w:rPr>
                <w:rFonts w:ascii="Arial" w:hAnsi="Arial" w:cs="Arial"/>
                <w:b/>
              </w:rPr>
              <w:t>x</w:t>
            </w:r>
          </w:p>
        </w:tc>
        <w:tc>
          <w:tcPr>
            <w:tcW w:w="568" w:type="dxa"/>
            <w:gridSpan w:val="2"/>
          </w:tcPr>
          <w:p w14:paraId="43BC4D3D"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9EBF906"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CBD292E"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FE1A6EC"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6ECD841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5D50ACA9"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7AFCAEA0" w14:textId="77777777" w:rsidR="00CD7B35" w:rsidRPr="00302082" w:rsidRDefault="00CD7B35" w:rsidP="009C133B">
            <w:pPr>
              <w:spacing w:after="120"/>
              <w:jc w:val="center"/>
              <w:rPr>
                <w:rFonts w:ascii="Arial" w:hAnsi="Arial" w:cs="Arial"/>
                <w:b/>
              </w:rPr>
            </w:pPr>
            <w:r>
              <w:rPr>
                <w:rFonts w:ascii="Arial" w:hAnsi="Arial" w:cs="Arial"/>
                <w:b/>
              </w:rPr>
              <w:t>x</w:t>
            </w:r>
          </w:p>
        </w:tc>
      </w:tr>
      <w:tr w:rsidR="00CD7B35" w:rsidRPr="00302082" w14:paraId="3C5C4C30" w14:textId="77777777" w:rsidTr="009C133B">
        <w:tc>
          <w:tcPr>
            <w:tcW w:w="3100" w:type="dxa"/>
            <w:gridSpan w:val="2"/>
            <w:shd w:val="clear" w:color="auto" w:fill="D9D9D9" w:themeFill="background1" w:themeFillShade="D9"/>
          </w:tcPr>
          <w:p w14:paraId="62B88142" w14:textId="77777777" w:rsidR="00CD7B35" w:rsidRPr="00CD7B35" w:rsidRDefault="00CD7B35" w:rsidP="009C133B">
            <w:pPr>
              <w:spacing w:after="120"/>
              <w:rPr>
                <w:rFonts w:ascii="Arial" w:hAnsi="Arial" w:cs="Arial"/>
                <w:b/>
              </w:rPr>
            </w:pPr>
            <w:r w:rsidRPr="00CD7B35">
              <w:rPr>
                <w:rFonts w:ascii="Arial" w:hAnsi="Arial" w:cs="Arial"/>
                <w:b/>
              </w:rPr>
              <w:t>Assessment method</w:t>
            </w:r>
          </w:p>
        </w:tc>
        <w:tc>
          <w:tcPr>
            <w:tcW w:w="567" w:type="dxa"/>
            <w:gridSpan w:val="2"/>
          </w:tcPr>
          <w:p w14:paraId="5B43B81C" w14:textId="77777777" w:rsidR="00CD7B35" w:rsidRPr="00302082" w:rsidRDefault="00CD7B35" w:rsidP="009C133B">
            <w:pPr>
              <w:spacing w:after="120"/>
              <w:rPr>
                <w:rFonts w:ascii="Arial" w:hAnsi="Arial" w:cs="Arial"/>
                <w:b/>
              </w:rPr>
            </w:pPr>
          </w:p>
        </w:tc>
        <w:tc>
          <w:tcPr>
            <w:tcW w:w="558" w:type="dxa"/>
          </w:tcPr>
          <w:p w14:paraId="4FFB0308" w14:textId="77777777" w:rsidR="00CD7B35" w:rsidRPr="00302082" w:rsidRDefault="00CD7B35" w:rsidP="009C133B">
            <w:pPr>
              <w:spacing w:after="120"/>
              <w:rPr>
                <w:rFonts w:ascii="Arial" w:hAnsi="Arial" w:cs="Arial"/>
                <w:b/>
              </w:rPr>
            </w:pPr>
          </w:p>
        </w:tc>
        <w:tc>
          <w:tcPr>
            <w:tcW w:w="567" w:type="dxa"/>
          </w:tcPr>
          <w:p w14:paraId="6BB02338" w14:textId="77777777" w:rsidR="00CD7B35" w:rsidRPr="00302082" w:rsidRDefault="00CD7B35" w:rsidP="009C133B">
            <w:pPr>
              <w:spacing w:after="120"/>
              <w:rPr>
                <w:rFonts w:ascii="Arial" w:hAnsi="Arial" w:cs="Arial"/>
                <w:b/>
              </w:rPr>
            </w:pPr>
          </w:p>
        </w:tc>
        <w:tc>
          <w:tcPr>
            <w:tcW w:w="567" w:type="dxa"/>
          </w:tcPr>
          <w:p w14:paraId="5F4408F6" w14:textId="77777777" w:rsidR="00CD7B35" w:rsidRPr="00302082" w:rsidRDefault="00CD7B35" w:rsidP="009C133B">
            <w:pPr>
              <w:spacing w:after="120"/>
              <w:rPr>
                <w:rFonts w:ascii="Arial" w:hAnsi="Arial" w:cs="Arial"/>
                <w:b/>
              </w:rPr>
            </w:pPr>
          </w:p>
        </w:tc>
        <w:tc>
          <w:tcPr>
            <w:tcW w:w="567" w:type="dxa"/>
          </w:tcPr>
          <w:p w14:paraId="5018BBAE" w14:textId="77777777" w:rsidR="00CD7B35" w:rsidRPr="00302082" w:rsidRDefault="00CD7B35" w:rsidP="009C133B">
            <w:pPr>
              <w:spacing w:after="120"/>
              <w:rPr>
                <w:rFonts w:ascii="Arial" w:hAnsi="Arial" w:cs="Arial"/>
                <w:b/>
              </w:rPr>
            </w:pPr>
          </w:p>
        </w:tc>
        <w:tc>
          <w:tcPr>
            <w:tcW w:w="567" w:type="dxa"/>
          </w:tcPr>
          <w:p w14:paraId="5FE4D4C8" w14:textId="77777777" w:rsidR="00CD7B35" w:rsidRPr="00302082" w:rsidRDefault="00CD7B35" w:rsidP="009C133B">
            <w:pPr>
              <w:spacing w:after="120"/>
              <w:rPr>
                <w:rFonts w:ascii="Arial" w:hAnsi="Arial" w:cs="Arial"/>
                <w:b/>
              </w:rPr>
            </w:pPr>
          </w:p>
        </w:tc>
        <w:tc>
          <w:tcPr>
            <w:tcW w:w="567" w:type="dxa"/>
          </w:tcPr>
          <w:p w14:paraId="68C3DCF0" w14:textId="77777777" w:rsidR="00CD7B35" w:rsidRPr="00302082" w:rsidRDefault="00CD7B35" w:rsidP="009C133B">
            <w:pPr>
              <w:spacing w:after="120"/>
              <w:rPr>
                <w:rFonts w:ascii="Arial" w:hAnsi="Arial" w:cs="Arial"/>
                <w:b/>
              </w:rPr>
            </w:pPr>
          </w:p>
        </w:tc>
        <w:tc>
          <w:tcPr>
            <w:tcW w:w="567" w:type="dxa"/>
          </w:tcPr>
          <w:p w14:paraId="3CFFCCB0" w14:textId="77777777" w:rsidR="00CD7B35" w:rsidRPr="00302082" w:rsidRDefault="00CD7B35" w:rsidP="009C133B">
            <w:pPr>
              <w:spacing w:after="120"/>
              <w:rPr>
                <w:rFonts w:ascii="Arial" w:hAnsi="Arial" w:cs="Arial"/>
                <w:b/>
              </w:rPr>
            </w:pPr>
          </w:p>
        </w:tc>
      </w:tr>
      <w:tr w:rsidR="00CD7B35" w:rsidRPr="00302082" w14:paraId="4DEE0BEC" w14:textId="77777777" w:rsidTr="009C133B">
        <w:tc>
          <w:tcPr>
            <w:tcW w:w="3100" w:type="dxa"/>
            <w:gridSpan w:val="2"/>
          </w:tcPr>
          <w:p w14:paraId="3BE39585" w14:textId="77777777" w:rsidR="00CD7B35" w:rsidRPr="00CD7B35" w:rsidRDefault="00CD7B35" w:rsidP="009C133B">
            <w:pPr>
              <w:spacing w:after="120"/>
              <w:rPr>
                <w:rFonts w:ascii="Arial" w:hAnsi="Arial" w:cs="Arial"/>
              </w:rPr>
            </w:pPr>
            <w:r w:rsidRPr="00CD7B35">
              <w:rPr>
                <w:rFonts w:ascii="Arial" w:hAnsi="Arial" w:cs="Arial"/>
              </w:rPr>
              <w:t>Assignment 1</w:t>
            </w:r>
          </w:p>
        </w:tc>
        <w:tc>
          <w:tcPr>
            <w:tcW w:w="567" w:type="dxa"/>
            <w:gridSpan w:val="2"/>
          </w:tcPr>
          <w:p w14:paraId="24EBDF1E" w14:textId="77777777" w:rsidR="00CD7B35" w:rsidRPr="00302082" w:rsidRDefault="00CD7B35" w:rsidP="009C133B">
            <w:pPr>
              <w:spacing w:after="120"/>
              <w:jc w:val="center"/>
              <w:rPr>
                <w:rFonts w:ascii="Arial" w:hAnsi="Arial" w:cs="Arial"/>
                <w:b/>
              </w:rPr>
            </w:pPr>
            <w:r>
              <w:rPr>
                <w:rFonts w:ascii="Arial" w:hAnsi="Arial" w:cs="Arial"/>
                <w:b/>
              </w:rPr>
              <w:t>x</w:t>
            </w:r>
          </w:p>
        </w:tc>
        <w:tc>
          <w:tcPr>
            <w:tcW w:w="558" w:type="dxa"/>
          </w:tcPr>
          <w:p w14:paraId="07DB4689"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22DB7EF"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EF60E36"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308C04EA"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6A54094"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CAB30C1"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1E7A1E6D" w14:textId="77777777" w:rsidR="00CD7B35" w:rsidRPr="00302082" w:rsidRDefault="00CD7B35" w:rsidP="009C133B">
            <w:pPr>
              <w:spacing w:after="120"/>
              <w:jc w:val="center"/>
              <w:rPr>
                <w:rFonts w:ascii="Arial" w:hAnsi="Arial" w:cs="Arial"/>
                <w:b/>
              </w:rPr>
            </w:pPr>
            <w:r>
              <w:rPr>
                <w:rFonts w:ascii="Arial" w:hAnsi="Arial" w:cs="Arial"/>
                <w:b/>
              </w:rPr>
              <w:t>x</w:t>
            </w:r>
          </w:p>
        </w:tc>
      </w:tr>
      <w:tr w:rsidR="00CD7B35" w:rsidRPr="00302082" w14:paraId="3042DE67" w14:textId="77777777" w:rsidTr="009C133B">
        <w:tc>
          <w:tcPr>
            <w:tcW w:w="3100" w:type="dxa"/>
            <w:gridSpan w:val="2"/>
          </w:tcPr>
          <w:p w14:paraId="404C2BC9" w14:textId="77777777" w:rsidR="00CD7B35" w:rsidRPr="00CD7B35" w:rsidRDefault="00CD7B35" w:rsidP="009C133B">
            <w:pPr>
              <w:spacing w:after="120"/>
              <w:rPr>
                <w:rFonts w:ascii="Arial" w:hAnsi="Arial" w:cs="Arial"/>
              </w:rPr>
            </w:pPr>
            <w:r w:rsidRPr="00CD7B35">
              <w:rPr>
                <w:rFonts w:ascii="Arial" w:hAnsi="Arial" w:cs="Arial"/>
              </w:rPr>
              <w:t>Assignment 2</w:t>
            </w:r>
          </w:p>
        </w:tc>
        <w:tc>
          <w:tcPr>
            <w:tcW w:w="567" w:type="dxa"/>
            <w:gridSpan w:val="2"/>
          </w:tcPr>
          <w:p w14:paraId="453889B2" w14:textId="77777777" w:rsidR="00CD7B35" w:rsidRPr="00302082" w:rsidRDefault="00CD7B35" w:rsidP="009C133B">
            <w:pPr>
              <w:spacing w:after="120"/>
              <w:jc w:val="center"/>
              <w:rPr>
                <w:rFonts w:ascii="Arial" w:hAnsi="Arial" w:cs="Arial"/>
                <w:b/>
              </w:rPr>
            </w:pPr>
            <w:r>
              <w:rPr>
                <w:rFonts w:ascii="Arial" w:hAnsi="Arial" w:cs="Arial"/>
                <w:b/>
              </w:rPr>
              <w:t>x</w:t>
            </w:r>
          </w:p>
        </w:tc>
        <w:tc>
          <w:tcPr>
            <w:tcW w:w="558" w:type="dxa"/>
          </w:tcPr>
          <w:p w14:paraId="25075D0A"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6890746"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71E8DC92"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0D62CC92"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224EB683"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40BC7F47" w14:textId="77777777" w:rsidR="00CD7B35" w:rsidRPr="00302082" w:rsidRDefault="00CD7B35" w:rsidP="009C133B">
            <w:pPr>
              <w:spacing w:after="120"/>
              <w:jc w:val="center"/>
              <w:rPr>
                <w:rFonts w:ascii="Arial" w:hAnsi="Arial" w:cs="Arial"/>
                <w:b/>
              </w:rPr>
            </w:pPr>
            <w:r>
              <w:rPr>
                <w:rFonts w:ascii="Arial" w:hAnsi="Arial" w:cs="Arial"/>
                <w:b/>
              </w:rPr>
              <w:t>x</w:t>
            </w:r>
          </w:p>
        </w:tc>
        <w:tc>
          <w:tcPr>
            <w:tcW w:w="567" w:type="dxa"/>
          </w:tcPr>
          <w:p w14:paraId="1A6BAFC5" w14:textId="77777777" w:rsidR="00CD7B35" w:rsidRPr="00302082" w:rsidRDefault="00CD7B35" w:rsidP="009C133B">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14:paraId="1AE60888" w14:textId="79E46ACB" w:rsidR="00CE256C" w:rsidRPr="00745702" w:rsidRDefault="00CD7B35" w:rsidP="00745702">
      <w:pPr>
        <w:autoSpaceDE w:val="0"/>
        <w:autoSpaceDN w:val="0"/>
        <w:adjustRightInd w:val="0"/>
        <w:spacing w:after="120" w:line="240" w:lineRule="auto"/>
        <w:ind w:left="567" w:right="261"/>
        <w:jc w:val="both"/>
        <w:rPr>
          <w:rFonts w:ascii="Arial" w:hAnsi="Arial" w:cs="Arial"/>
        </w:rPr>
      </w:pPr>
      <w:r w:rsidRPr="00CD7B35">
        <w:rPr>
          <w:rFonts w:ascii="Arial" w:hAnsi="Arial" w:cs="Arial"/>
        </w:rPr>
        <w:t xml:space="preserve">This module focuses on issues of communication, naturally including issues in communication across cultures (especially in the second half). The seminar format allows students to discuss these issues, bringing in examples from their own experience in multicultural/multilingual environments. The assessment also requires coming up with examples from one’s own linguistic community, showing awareness of the similarities and differences between languages and cultures. </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4588CC21" w:rsidR="007A648C" w:rsidRPr="00DF4971" w:rsidRDefault="00CD7B35" w:rsidP="006A1103">
            <w:pPr>
              <w:rPr>
                <w:rFonts w:ascii="Arial" w:hAnsi="Arial" w:cs="Arial"/>
                <w:sz w:val="18"/>
                <w:szCs w:val="18"/>
              </w:rPr>
            </w:pPr>
            <w:r>
              <w:rPr>
                <w:rFonts w:ascii="Arial" w:hAnsi="Arial" w:cs="Arial"/>
                <w:sz w:val="18"/>
                <w:szCs w:val="18"/>
              </w:rPr>
              <w:t>03/11/17</w:t>
            </w:r>
          </w:p>
        </w:tc>
        <w:tc>
          <w:tcPr>
            <w:tcW w:w="1701" w:type="dxa"/>
            <w:vAlign w:val="center"/>
          </w:tcPr>
          <w:p w14:paraId="182B6639" w14:textId="7C82E087" w:rsidR="007A648C" w:rsidRPr="00DF4971" w:rsidRDefault="00CD7B35"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2A2384C0" w:rsidR="007A648C" w:rsidRPr="00DF4971" w:rsidRDefault="00CD7B35" w:rsidP="006A1103">
            <w:pPr>
              <w:rPr>
                <w:rFonts w:ascii="Arial" w:hAnsi="Arial" w:cs="Arial"/>
                <w:sz w:val="18"/>
                <w:szCs w:val="18"/>
              </w:rPr>
            </w:pPr>
            <w:r>
              <w:rPr>
                <w:rFonts w:ascii="Arial" w:hAnsi="Arial" w:cs="Arial"/>
                <w:sz w:val="18"/>
                <w:szCs w:val="18"/>
              </w:rPr>
              <w:t>September 2018</w:t>
            </w:r>
          </w:p>
        </w:tc>
        <w:tc>
          <w:tcPr>
            <w:tcW w:w="2448" w:type="dxa"/>
            <w:vAlign w:val="center"/>
          </w:tcPr>
          <w:p w14:paraId="39EFDB43" w14:textId="7C7BEDE9" w:rsidR="007A648C" w:rsidRPr="00DF4971" w:rsidRDefault="00CD7B35" w:rsidP="006A1103">
            <w:pPr>
              <w:rPr>
                <w:rFonts w:ascii="Arial" w:hAnsi="Arial" w:cs="Arial"/>
                <w:sz w:val="18"/>
                <w:szCs w:val="18"/>
              </w:rPr>
            </w:pPr>
            <w:r>
              <w:rPr>
                <w:rFonts w:ascii="Arial" w:hAnsi="Arial" w:cs="Arial"/>
                <w:sz w:val="18"/>
                <w:szCs w:val="18"/>
              </w:rPr>
              <w:t>7</w:t>
            </w:r>
          </w:p>
        </w:tc>
        <w:tc>
          <w:tcPr>
            <w:tcW w:w="2597" w:type="dxa"/>
            <w:vAlign w:val="center"/>
          </w:tcPr>
          <w:p w14:paraId="41BB5FD9" w14:textId="49911CE3" w:rsidR="007A648C" w:rsidRPr="00DF4971" w:rsidRDefault="00CD7B35"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F5217">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62AC0E32" w:rsidR="008B2543" w:rsidRDefault="0019787E" w:rsidP="009A2D37">
        <w:pPr>
          <w:pStyle w:val="Footer"/>
          <w:jc w:val="center"/>
        </w:pPr>
        <w:r>
          <w:fldChar w:fldCharType="begin"/>
        </w:r>
        <w:r>
          <w:instrText xml:space="preserve"> PAGE   \* MERGEFORMAT </w:instrText>
        </w:r>
        <w:r>
          <w:fldChar w:fldCharType="separate"/>
        </w:r>
        <w:r w:rsidR="000D22C8">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2C8"/>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DFE"/>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5217"/>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B35"/>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28867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30F31-F49A-4E69-A396-918FE1478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67738B-43AC-4AF7-9F8A-487BB623C04D}"/>
</file>

<file path=customXml/itemProps3.xml><?xml version="1.0" encoding="utf-8"?>
<ds:datastoreItem xmlns:ds="http://schemas.openxmlformats.org/officeDocument/2006/customXml" ds:itemID="{308F6D78-0E39-4890-96A9-FD22C3842DF4}">
  <ds:schemaRefs>
    <ds:schemaRef ds:uri="http://schemas.microsoft.com/sharepoint/v3/contenttype/forms"/>
  </ds:schemaRefs>
</ds:datastoreItem>
</file>

<file path=customXml/itemProps4.xml><?xml version="1.0" encoding="utf-8"?>
<ds:datastoreItem xmlns:ds="http://schemas.openxmlformats.org/officeDocument/2006/customXml" ds:itemID="{36D2A3CF-7E9C-4C8F-B802-96E39B47D5DB}">
  <ds:schemaRefs>
    <ds:schemaRef ds:uri="http://www.w3.org/XML/1998/namespace"/>
    <ds:schemaRef ds:uri="http://schemas.microsoft.com/office/2006/metadata/propertie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D37901AB-85CE-4D28-A582-A4492791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2018-02-26T11:42:00Z</dcterms:created>
  <dcterms:modified xsi:type="dcterms:W3CDTF">2018-03-16T12:26:00Z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ba3a9c4e-692c-49fa-8d73-1f0f1abbfaad</vt:lpwstr>
  </property>
</Properties>
</file>