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Default="00E1736E" w:rsidP="003F1D9F">
      <w:pPr>
        <w:pStyle w:val="Heading1"/>
        <w:numPr>
          <w:ilvl w:val="0"/>
          <w:numId w:val="21"/>
        </w:numPr>
        <w:spacing w:after="120"/>
        <w:ind w:left="568" w:hanging="284"/>
        <w:jc w:val="left"/>
        <w:rPr>
          <w:rFonts w:ascii="Arial" w:hAnsi="Arial" w:cs="Arial"/>
        </w:rPr>
      </w:pPr>
      <w:bookmarkStart w:id="0" w:name="_COVER_SHEET_FOR"/>
      <w:bookmarkStart w:id="1" w:name="_Toc138355372"/>
      <w:bookmarkEnd w:id="0"/>
      <w:r w:rsidRPr="00FF055A">
        <w:rPr>
          <w:rFonts w:ascii="Arial" w:hAnsi="Arial" w:cs="Arial"/>
        </w:rPr>
        <w:t>KentVision Code and t</w:t>
      </w:r>
      <w:r w:rsidR="009A2D37" w:rsidRPr="00FF055A">
        <w:rPr>
          <w:rFonts w:ascii="Arial" w:hAnsi="Arial" w:cs="Arial"/>
        </w:rPr>
        <w:t>itle of the module</w:t>
      </w:r>
      <w:bookmarkEnd w:id="1"/>
    </w:p>
    <w:p w14:paraId="246E9E6B" w14:textId="27B5E95C" w:rsidR="00CE408C" w:rsidRDefault="00CE408C" w:rsidP="009B71C5">
      <w:pPr>
        <w:pStyle w:val="Normal1"/>
        <w:spacing w:after="120"/>
        <w:ind w:right="260" w:firstLine="568"/>
        <w:jc w:val="both"/>
        <w:rPr>
          <w:sz w:val="24"/>
          <w:szCs w:val="24"/>
        </w:rPr>
      </w:pPr>
      <w:bookmarkStart w:id="2" w:name="_Toc138355373"/>
      <w:r w:rsidRPr="00CE408C">
        <w:rPr>
          <w:sz w:val="24"/>
          <w:szCs w:val="24"/>
        </w:rPr>
        <w:t>ECON8160 International Finance</w:t>
      </w:r>
      <w:r w:rsidRPr="00CE408C">
        <w:rPr>
          <w:sz w:val="24"/>
          <w:szCs w:val="24"/>
        </w:rPr>
        <w:tab/>
      </w:r>
    </w:p>
    <w:p w14:paraId="71554414" w14:textId="08B83D50" w:rsidR="009A2D37" w:rsidRPr="003F1D9F" w:rsidRDefault="007A49C1"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2"/>
    </w:p>
    <w:p w14:paraId="76FDE1A8" w14:textId="6CD234E5" w:rsidR="00694B52" w:rsidRPr="002F5EB8" w:rsidRDefault="002F5EB8" w:rsidP="00C25E04">
      <w:pPr>
        <w:spacing w:after="120" w:line="240" w:lineRule="auto"/>
        <w:ind w:left="284" w:right="544" w:firstLine="284"/>
        <w:jc w:val="both"/>
        <w:rPr>
          <w:rFonts w:ascii="Arial" w:hAnsi="Arial" w:cs="Arial"/>
          <w:iCs/>
          <w:sz w:val="24"/>
          <w:szCs w:val="24"/>
        </w:rPr>
      </w:pPr>
      <w:r>
        <w:rPr>
          <w:rFonts w:ascii="Arial" w:hAnsi="Arial" w:cs="Arial"/>
          <w:iCs/>
          <w:sz w:val="24"/>
          <w:szCs w:val="24"/>
        </w:rPr>
        <w:t xml:space="preserve">Division of Human and Social Sciences, School of Economics </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4E7F1A70" w14:textId="57443325" w:rsidR="00B9249B" w:rsidRPr="002F5EB8" w:rsidRDefault="00B9249B" w:rsidP="00C25E04">
      <w:pPr>
        <w:spacing w:after="120" w:line="240" w:lineRule="auto"/>
        <w:ind w:left="284" w:right="544" w:firstLine="284"/>
        <w:jc w:val="both"/>
        <w:rPr>
          <w:rFonts w:ascii="Arial" w:hAnsi="Arial" w:cs="Arial"/>
          <w:i/>
          <w:iCs/>
          <w:sz w:val="28"/>
          <w:szCs w:val="28"/>
        </w:rPr>
      </w:pPr>
      <w:r w:rsidRPr="002F5EB8">
        <w:rPr>
          <w:rFonts w:ascii="Arial" w:hAnsi="Arial" w:cs="Arial"/>
          <w:sz w:val="24"/>
          <w:szCs w:val="24"/>
        </w:rPr>
        <w:t>Level 7</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The number of credits and the ECTS value which the module represents</w:t>
      </w:r>
      <w:bookmarkEnd w:id="4"/>
      <w:r w:rsidRPr="003F1D9F">
        <w:rPr>
          <w:rFonts w:ascii="Arial" w:hAnsi="Arial" w:cs="Arial"/>
        </w:rPr>
        <w:t xml:space="preserve"> </w:t>
      </w:r>
    </w:p>
    <w:p w14:paraId="369EF084" w14:textId="395F4FB4" w:rsidR="00694B52" w:rsidRPr="002F5EB8" w:rsidRDefault="002F5EB8" w:rsidP="00C25E04">
      <w:pPr>
        <w:spacing w:after="120" w:line="240" w:lineRule="auto"/>
        <w:ind w:left="284" w:right="544" w:firstLine="284"/>
        <w:rPr>
          <w:rFonts w:ascii="Arial" w:hAnsi="Arial" w:cs="Arial"/>
          <w:sz w:val="24"/>
          <w:szCs w:val="24"/>
        </w:rPr>
      </w:pPr>
      <w:r>
        <w:rPr>
          <w:rFonts w:ascii="Arial" w:hAnsi="Arial" w:cs="Arial"/>
          <w:sz w:val="24"/>
          <w:szCs w:val="24"/>
        </w:rPr>
        <w:t>15 credits (7.5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6A16589E" w14:textId="45D16759" w:rsidR="00694B52" w:rsidRPr="002F5EB8" w:rsidRDefault="00C25E04" w:rsidP="00C25E04">
      <w:pPr>
        <w:spacing w:after="120" w:line="240" w:lineRule="auto"/>
        <w:ind w:left="284" w:right="544" w:firstLine="284"/>
        <w:rPr>
          <w:rFonts w:ascii="Arial" w:hAnsi="Arial" w:cs="Arial"/>
          <w:iCs/>
          <w:sz w:val="24"/>
          <w:szCs w:val="24"/>
        </w:rPr>
      </w:pPr>
      <w:r>
        <w:rPr>
          <w:rFonts w:ascii="Arial" w:hAnsi="Arial" w:cs="Arial"/>
          <w:iCs/>
          <w:sz w:val="24"/>
          <w:szCs w:val="24"/>
        </w:rPr>
        <w:t xml:space="preserve">Autumn or </w:t>
      </w:r>
      <w:r w:rsidR="002F5EB8">
        <w:rPr>
          <w:rFonts w:ascii="Arial" w:hAnsi="Arial" w:cs="Arial"/>
          <w:iCs/>
          <w:sz w:val="24"/>
          <w:szCs w:val="24"/>
        </w:rPr>
        <w:t xml:space="preserve">Spring </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45051FFF" w:rsidR="00A91933" w:rsidRPr="00FC2229" w:rsidRDefault="00801B45" w:rsidP="00C25E04">
      <w:pPr>
        <w:ind w:left="284" w:firstLine="436"/>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6C0F5781" w:rsidR="003D2571" w:rsidRPr="002F5EB8" w:rsidRDefault="003D2571" w:rsidP="00C25E04">
      <w:pPr>
        <w:spacing w:after="120" w:line="240" w:lineRule="auto"/>
        <w:ind w:left="284" w:right="544" w:firstLine="284"/>
        <w:rPr>
          <w:rFonts w:ascii="Arial" w:hAnsi="Arial" w:cs="Arial"/>
          <w:sz w:val="24"/>
          <w:szCs w:val="24"/>
        </w:rPr>
      </w:pPr>
      <w:r w:rsidRPr="002F5EB8">
        <w:rPr>
          <w:rFonts w:ascii="Arial" w:hAnsi="Arial" w:cs="Arial"/>
          <w:sz w:val="24"/>
          <w:szCs w:val="24"/>
        </w:rPr>
        <w:t>Canterbur</w:t>
      </w:r>
      <w:r w:rsidR="002F5EB8" w:rsidRPr="002F5EB8">
        <w:rPr>
          <w:rFonts w:ascii="Arial" w:hAnsi="Arial" w:cs="Arial"/>
          <w:sz w:val="24"/>
          <w:szCs w:val="24"/>
        </w:rPr>
        <w:t>y</w:t>
      </w:r>
    </w:p>
    <w:p w14:paraId="76529F9A" w14:textId="4CACE364" w:rsidR="009A2D37" w:rsidRDefault="009A2D37" w:rsidP="003F1D9F">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7"/>
    </w:p>
    <w:p w14:paraId="3415BCF5" w14:textId="4AAEFD89" w:rsidR="00E745F6" w:rsidRPr="00E745F6" w:rsidRDefault="00E745F6" w:rsidP="00C25E04">
      <w:pPr>
        <w:spacing w:after="120" w:line="240" w:lineRule="auto"/>
        <w:ind w:right="544" w:firstLine="568"/>
        <w:rPr>
          <w:rFonts w:ascii="Arial" w:hAnsi="Arial" w:cs="Arial"/>
          <w:sz w:val="24"/>
          <w:szCs w:val="24"/>
        </w:rPr>
      </w:pPr>
      <w:r w:rsidRPr="00E745F6">
        <w:rPr>
          <w:rFonts w:ascii="Arial" w:hAnsi="Arial" w:cs="Arial"/>
          <w:sz w:val="24"/>
          <w:szCs w:val="24"/>
        </w:rPr>
        <w:t>None</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8"/>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BD818C5" w14:textId="50645551" w:rsidR="00E7202A" w:rsidRPr="002F5EB8" w:rsidRDefault="002F5EB8" w:rsidP="00C25E04">
      <w:pPr>
        <w:pStyle w:val="ListParagraph"/>
        <w:spacing w:after="120" w:line="240" w:lineRule="auto"/>
        <w:ind w:left="284" w:right="544" w:firstLine="436"/>
        <w:contextualSpacing w:val="0"/>
        <w:rPr>
          <w:rFonts w:ascii="Arial" w:hAnsi="Arial" w:cs="Arial"/>
          <w:iCs/>
          <w:sz w:val="24"/>
          <w:szCs w:val="24"/>
        </w:rPr>
      </w:pPr>
      <w:r>
        <w:rPr>
          <w:rFonts w:ascii="Arial" w:hAnsi="Arial" w:cs="Arial"/>
          <w:iCs/>
          <w:sz w:val="24"/>
          <w:szCs w:val="24"/>
        </w:rPr>
        <w:t xml:space="preserve">MSc </w:t>
      </w:r>
      <w:r w:rsidR="00097B4B">
        <w:rPr>
          <w:rFonts w:ascii="Arial" w:hAnsi="Arial" w:cs="Arial"/>
          <w:iCs/>
          <w:sz w:val="24"/>
          <w:szCs w:val="24"/>
        </w:rPr>
        <w:t>Financial</w:t>
      </w:r>
      <w:r w:rsidR="00F576A9">
        <w:rPr>
          <w:rFonts w:ascii="Arial" w:hAnsi="Arial" w:cs="Arial"/>
          <w:iCs/>
          <w:sz w:val="24"/>
          <w:szCs w:val="24"/>
        </w:rPr>
        <w:t xml:space="preserve"> Economics</w:t>
      </w:r>
      <w:r>
        <w:rPr>
          <w:rFonts w:ascii="Arial" w:hAnsi="Arial" w:cs="Arial"/>
          <w:iCs/>
          <w:sz w:val="24"/>
          <w:szCs w:val="24"/>
        </w:rPr>
        <w:t xml:space="preserve"> </w:t>
      </w:r>
    </w:p>
    <w:p w14:paraId="021CA740" w14:textId="48FB6A6C"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48208744" w14:textId="3EFFE6D6" w:rsidR="00097B4B" w:rsidRDefault="002F5EB8" w:rsidP="00C25E04">
      <w:pPr>
        <w:pStyle w:val="ListParagraph"/>
        <w:spacing w:after="120" w:line="240" w:lineRule="auto"/>
        <w:ind w:left="284" w:right="544" w:firstLine="436"/>
        <w:contextualSpacing w:val="0"/>
        <w:rPr>
          <w:rFonts w:ascii="Arial" w:hAnsi="Arial" w:cs="Arial"/>
          <w:iCs/>
          <w:sz w:val="24"/>
          <w:szCs w:val="24"/>
          <w:lang w:val="it-IT"/>
        </w:rPr>
      </w:pPr>
      <w:proofErr w:type="spellStart"/>
      <w:r w:rsidRPr="00BF736E">
        <w:rPr>
          <w:rFonts w:ascii="Arial" w:hAnsi="Arial" w:cs="Arial"/>
          <w:iCs/>
          <w:sz w:val="24"/>
          <w:szCs w:val="24"/>
          <w:lang w:val="it-IT"/>
        </w:rPr>
        <w:t>MSc</w:t>
      </w:r>
      <w:proofErr w:type="spellEnd"/>
      <w:r w:rsidRPr="00BF736E">
        <w:rPr>
          <w:rFonts w:ascii="Arial" w:hAnsi="Arial" w:cs="Arial"/>
          <w:iCs/>
          <w:sz w:val="24"/>
          <w:szCs w:val="24"/>
          <w:lang w:val="it-IT"/>
        </w:rPr>
        <w:t xml:space="preserve"> Economics</w:t>
      </w:r>
    </w:p>
    <w:p w14:paraId="24F827CB" w14:textId="6E009D1B" w:rsidR="00C25E04" w:rsidRPr="009846D9" w:rsidRDefault="00C25E04" w:rsidP="00C25E04">
      <w:pPr>
        <w:pStyle w:val="ListParagraph"/>
        <w:spacing w:after="120" w:line="240" w:lineRule="auto"/>
        <w:ind w:left="284" w:right="544" w:firstLine="436"/>
        <w:contextualSpacing w:val="0"/>
        <w:rPr>
          <w:rFonts w:ascii="Arial" w:hAnsi="Arial" w:cs="Arial"/>
          <w:iCs/>
          <w:sz w:val="24"/>
          <w:szCs w:val="24"/>
        </w:rPr>
      </w:pPr>
      <w:r w:rsidRPr="009846D9">
        <w:rPr>
          <w:rFonts w:ascii="Arial" w:hAnsi="Arial" w:cs="Arial"/>
          <w:iCs/>
          <w:sz w:val="24"/>
          <w:szCs w:val="24"/>
        </w:rPr>
        <w:t>MSc Economics and Data S</w:t>
      </w:r>
      <w:r>
        <w:rPr>
          <w:rFonts w:ascii="Arial" w:hAnsi="Arial" w:cs="Arial"/>
          <w:iCs/>
          <w:sz w:val="24"/>
          <w:szCs w:val="24"/>
        </w:rPr>
        <w:t>cience</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t>A synopsis of the curriculum</w:t>
      </w:r>
      <w:bookmarkEnd w:id="9"/>
    </w:p>
    <w:p w14:paraId="764A30CE" w14:textId="77777777" w:rsidR="000D38EF" w:rsidRPr="000D38EF" w:rsidRDefault="000D38EF" w:rsidP="00C25E04">
      <w:pPr>
        <w:spacing w:after="120" w:line="240" w:lineRule="auto"/>
        <w:ind w:left="568" w:right="544"/>
        <w:jc w:val="both"/>
        <w:rPr>
          <w:rFonts w:ascii="Arial" w:hAnsi="Arial" w:cs="Arial"/>
          <w:sz w:val="24"/>
          <w:szCs w:val="24"/>
        </w:rPr>
      </w:pPr>
      <w:r w:rsidRPr="000D38EF">
        <w:rPr>
          <w:rFonts w:ascii="Arial" w:hAnsi="Arial" w:cs="Arial"/>
          <w:sz w:val="24"/>
          <w:szCs w:val="24"/>
        </w:rPr>
        <w:t>This module is designed to introduce to the main theoretical and empirical models of international financial relations. Exchange rates, capital flows, financial crises, current account and debt dynamics as well as uncertainty are the most widely debated economic topics in the media and on the political arena. This module provides the economic foundations for full understanding of these debates from a rigorous point of view. The module is evenly balanced between the theory and empirical evidence. That is, we focus not only on the analytical side of the stories but also on their empirical relevance.</w:t>
      </w:r>
    </w:p>
    <w:p w14:paraId="70BAA338" w14:textId="173F3CC2" w:rsidR="0033628F" w:rsidRDefault="000D38EF" w:rsidP="009846D9">
      <w:pPr>
        <w:spacing w:after="120" w:line="240" w:lineRule="auto"/>
        <w:ind w:left="568" w:right="544"/>
        <w:rPr>
          <w:rFonts w:ascii="Arial" w:hAnsi="Arial" w:cs="Arial"/>
          <w:i/>
          <w:sz w:val="24"/>
          <w:szCs w:val="24"/>
        </w:rPr>
      </w:pPr>
      <w:r w:rsidRPr="000D38EF">
        <w:rPr>
          <w:rFonts w:ascii="Arial" w:hAnsi="Arial" w:cs="Arial"/>
          <w:sz w:val="24"/>
          <w:szCs w:val="24"/>
        </w:rPr>
        <w:lastRenderedPageBreak/>
        <w:t>For working in the areas of financial economics and development (whether in private or public institutions) the knowledge of the topics addressed in this module is of paramount importance.</w:t>
      </w:r>
    </w:p>
    <w:p w14:paraId="460F8159" w14:textId="042128B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t>Contact Hours</w:t>
      </w:r>
      <w:bookmarkEnd w:id="10"/>
    </w:p>
    <w:p w14:paraId="0BC2800C" w14:textId="352F56F8" w:rsidR="005710D2" w:rsidRPr="002F5EB8" w:rsidRDefault="0033628F" w:rsidP="009846D9">
      <w:pPr>
        <w:spacing w:after="120"/>
        <w:ind w:left="284" w:firstLine="284"/>
        <w:rPr>
          <w:rFonts w:ascii="Arial" w:hAnsi="Arial" w:cs="Arial"/>
          <w:sz w:val="24"/>
          <w:szCs w:val="24"/>
        </w:rPr>
      </w:pPr>
      <w:r w:rsidRPr="00636058">
        <w:rPr>
          <w:rFonts w:ascii="Arial" w:hAnsi="Arial" w:cs="Arial"/>
          <w:sz w:val="24"/>
          <w:szCs w:val="24"/>
        </w:rPr>
        <w:t>Private Study</w:t>
      </w:r>
      <w:r>
        <w:rPr>
          <w:rFonts w:ascii="Arial" w:hAnsi="Arial" w:cs="Arial"/>
          <w:sz w:val="24"/>
          <w:szCs w:val="24"/>
        </w:rPr>
        <w:t xml:space="preserve">: </w:t>
      </w:r>
      <w:r w:rsidR="002F5EB8">
        <w:rPr>
          <w:rFonts w:ascii="Arial" w:hAnsi="Arial" w:cs="Arial"/>
          <w:sz w:val="24"/>
          <w:szCs w:val="24"/>
        </w:rPr>
        <w:t>120</w:t>
      </w:r>
    </w:p>
    <w:p w14:paraId="0B50D4F4" w14:textId="396EC30F" w:rsidR="0033628F" w:rsidRPr="005710D2" w:rsidRDefault="0033628F" w:rsidP="009846D9">
      <w:pPr>
        <w:spacing w:after="120"/>
        <w:ind w:left="284" w:firstLine="284"/>
        <w:rPr>
          <w:rFonts w:ascii="Arial" w:hAnsi="Arial" w:cs="Arial"/>
          <w:i/>
          <w:iCs/>
          <w:sz w:val="24"/>
          <w:szCs w:val="24"/>
        </w:rPr>
      </w:pPr>
      <w:r w:rsidRPr="00636058">
        <w:rPr>
          <w:rFonts w:ascii="Arial" w:hAnsi="Arial" w:cs="Arial"/>
          <w:sz w:val="24"/>
          <w:szCs w:val="24"/>
        </w:rPr>
        <w:t>Contact Hours</w:t>
      </w:r>
      <w:r w:rsidR="002F5EB8">
        <w:rPr>
          <w:rFonts w:ascii="Arial" w:hAnsi="Arial" w:cs="Arial"/>
          <w:sz w:val="24"/>
          <w:szCs w:val="24"/>
        </w:rPr>
        <w:t>: 30</w:t>
      </w:r>
    </w:p>
    <w:p w14:paraId="370638D5" w14:textId="1B332BF5" w:rsidR="0033628F" w:rsidRDefault="0033628F" w:rsidP="009846D9">
      <w:pPr>
        <w:ind w:left="284" w:firstLine="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 xml:space="preserve">: </w:t>
      </w:r>
      <w:r w:rsidR="002F5EB8">
        <w:rPr>
          <w:rFonts w:ascii="Arial" w:hAnsi="Arial" w:cs="Arial"/>
          <w:sz w:val="24"/>
          <w:szCs w:val="24"/>
        </w:rPr>
        <w:tab/>
        <w:t xml:space="preserve">      150 </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3554C665" w14:textId="5634BF63" w:rsidR="003D2571" w:rsidRPr="00D85187" w:rsidRDefault="003D2571" w:rsidP="009846D9">
      <w:pPr>
        <w:ind w:left="284" w:firstLine="284"/>
        <w:rPr>
          <w:rFonts w:ascii="Arial" w:hAnsi="Arial" w:cs="Arial"/>
          <w:sz w:val="24"/>
          <w:szCs w:val="24"/>
        </w:rPr>
      </w:pPr>
      <w:r w:rsidRPr="00D85187">
        <w:rPr>
          <w:rFonts w:ascii="Arial" w:hAnsi="Arial" w:cs="Arial"/>
          <w:sz w:val="24"/>
          <w:szCs w:val="24"/>
        </w:rPr>
        <w:t>This module will be delivered via lectures and seminars.</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3839F6AB" w14:textId="1B7526BB" w:rsidR="009A2D37" w:rsidRPr="00E7202A" w:rsidRDefault="00C729D7" w:rsidP="005710D2">
      <w:pPr>
        <w:spacing w:line="240" w:lineRule="auto"/>
        <w:ind w:left="284"/>
        <w:rPr>
          <w:rFonts w:ascii="Arial" w:hAnsi="Arial" w:cs="Arial"/>
          <w:sz w:val="24"/>
          <w:szCs w:val="24"/>
        </w:rPr>
      </w:pPr>
      <w:r w:rsidRPr="00E7202A">
        <w:rPr>
          <w:rFonts w:ascii="Arial" w:hAnsi="Arial" w:cs="Arial"/>
          <w:sz w:val="24"/>
          <w:szCs w:val="24"/>
        </w:rPr>
        <w:t>On successfully completing the module students will be able to:</w:t>
      </w:r>
    </w:p>
    <w:p w14:paraId="4BF6ED70" w14:textId="1F7D13EF" w:rsidR="00C469A6" w:rsidRDefault="002F5EB8" w:rsidP="00753500">
      <w:pPr>
        <w:pStyle w:val="Normal1"/>
        <w:spacing w:after="120"/>
        <w:ind w:left="1134" w:right="260" w:hanging="567"/>
        <w:jc w:val="both"/>
        <w:rPr>
          <w:sz w:val="24"/>
          <w:szCs w:val="24"/>
        </w:rPr>
      </w:pPr>
      <w:r>
        <w:rPr>
          <w:sz w:val="24"/>
          <w:szCs w:val="24"/>
        </w:rPr>
        <w:t xml:space="preserve">12.1 </w:t>
      </w:r>
      <w:r w:rsidR="00C469A6" w:rsidRPr="00C469A6">
        <w:rPr>
          <w:sz w:val="24"/>
          <w:szCs w:val="24"/>
        </w:rPr>
        <w:t>Comprehensively understand how the openness of economies affects their economic performance, accounting for complex institutional arrangements that exist in the contemporary world economy</w:t>
      </w:r>
      <w:r w:rsidR="00605D98">
        <w:rPr>
          <w:sz w:val="24"/>
          <w:szCs w:val="24"/>
        </w:rPr>
        <w:t>.</w:t>
      </w:r>
    </w:p>
    <w:p w14:paraId="22B86DF5" w14:textId="46074208" w:rsidR="00D64E21" w:rsidRDefault="002F5EB8" w:rsidP="008069DA">
      <w:pPr>
        <w:pStyle w:val="Normal1"/>
        <w:spacing w:after="120"/>
        <w:ind w:left="1134" w:right="260" w:hanging="567"/>
        <w:jc w:val="both"/>
        <w:rPr>
          <w:sz w:val="24"/>
          <w:szCs w:val="24"/>
        </w:rPr>
      </w:pPr>
      <w:r>
        <w:rPr>
          <w:sz w:val="24"/>
          <w:szCs w:val="24"/>
        </w:rPr>
        <w:t xml:space="preserve">12.2 </w:t>
      </w:r>
      <w:r w:rsidR="00D64E21" w:rsidRPr="00D64E21">
        <w:rPr>
          <w:sz w:val="24"/>
          <w:szCs w:val="24"/>
        </w:rPr>
        <w:t>Critically assess determination of exchange rates and systematically study the sources of exchange rate fluctuations</w:t>
      </w:r>
      <w:r w:rsidR="00605D98">
        <w:rPr>
          <w:sz w:val="24"/>
          <w:szCs w:val="24"/>
        </w:rPr>
        <w:t>.</w:t>
      </w:r>
    </w:p>
    <w:p w14:paraId="4B6E3666" w14:textId="2A5B817F" w:rsidR="006D6F24" w:rsidRDefault="002F5EB8" w:rsidP="008069DA">
      <w:pPr>
        <w:pStyle w:val="Normal1"/>
        <w:spacing w:after="120"/>
        <w:ind w:left="1134" w:right="260" w:hanging="567"/>
        <w:jc w:val="both"/>
        <w:rPr>
          <w:sz w:val="24"/>
          <w:szCs w:val="24"/>
        </w:rPr>
      </w:pPr>
      <w:r>
        <w:rPr>
          <w:sz w:val="24"/>
          <w:szCs w:val="24"/>
        </w:rPr>
        <w:t xml:space="preserve">12.3 </w:t>
      </w:r>
      <w:r w:rsidR="006D6F24" w:rsidRPr="006D6F24">
        <w:rPr>
          <w:sz w:val="24"/>
          <w:szCs w:val="24"/>
        </w:rPr>
        <w:t>Deeply assess the causes and consequences of international capital movements as well as recent trends in ‘globalisation</w:t>
      </w:r>
      <w:r w:rsidR="007C738D" w:rsidRPr="006D6F24">
        <w:rPr>
          <w:sz w:val="24"/>
          <w:szCs w:val="24"/>
        </w:rPr>
        <w:t>’ and</w:t>
      </w:r>
      <w:r w:rsidR="006D6F24" w:rsidRPr="006D6F24">
        <w:rPr>
          <w:sz w:val="24"/>
          <w:szCs w:val="24"/>
        </w:rPr>
        <w:t xml:space="preserve"> acknowledge how these transform our understanding of such controversial phenomena as financial bubbles, speculative attacks, and currency crises.</w:t>
      </w:r>
    </w:p>
    <w:p w14:paraId="5B6DCDC8" w14:textId="695A3DF1" w:rsidR="002F5EB8" w:rsidRDefault="005401CB" w:rsidP="007C738D">
      <w:pPr>
        <w:pStyle w:val="Normal1"/>
        <w:spacing w:after="120"/>
        <w:ind w:left="1134" w:right="260" w:hanging="567"/>
        <w:jc w:val="both"/>
        <w:rPr>
          <w:sz w:val="24"/>
          <w:szCs w:val="24"/>
        </w:rPr>
      </w:pPr>
      <w:r>
        <w:rPr>
          <w:sz w:val="24"/>
          <w:szCs w:val="24"/>
        </w:rPr>
        <w:t xml:space="preserve">12.4 </w:t>
      </w:r>
      <w:r w:rsidR="007C738D" w:rsidRPr="007C738D">
        <w:rPr>
          <w:sz w:val="24"/>
          <w:szCs w:val="24"/>
        </w:rPr>
        <w:t>Critically address the concept of intertemporal trade and risk diversification using the synthesis of existing advanced theories</w:t>
      </w:r>
      <w:r w:rsidR="00605D98">
        <w:rPr>
          <w:sz w:val="24"/>
          <w:szCs w:val="24"/>
        </w:rPr>
        <w:t>.</w:t>
      </w:r>
    </w:p>
    <w:p w14:paraId="3E2306EF" w14:textId="387EF9AE" w:rsidR="007C738D" w:rsidRDefault="007C738D" w:rsidP="007C738D">
      <w:pPr>
        <w:pStyle w:val="Normal1"/>
        <w:spacing w:after="120"/>
        <w:ind w:left="1134" w:right="260" w:hanging="567"/>
        <w:jc w:val="both"/>
        <w:rPr>
          <w:sz w:val="24"/>
          <w:szCs w:val="24"/>
        </w:rPr>
      </w:pPr>
      <w:r>
        <w:rPr>
          <w:sz w:val="24"/>
          <w:szCs w:val="24"/>
        </w:rPr>
        <w:t xml:space="preserve">12.5 </w:t>
      </w:r>
      <w:r w:rsidR="00605D98" w:rsidRPr="00605D98">
        <w:rPr>
          <w:sz w:val="24"/>
          <w:szCs w:val="24"/>
        </w:rPr>
        <w:t>Demonstrate profound knowledge of the history of the international monetary system.</w:t>
      </w:r>
    </w:p>
    <w:p w14:paraId="7A3D480C" w14:textId="681588B4" w:rsidR="00C420A3" w:rsidRDefault="00C420A3" w:rsidP="007C738D">
      <w:pPr>
        <w:pStyle w:val="Normal1"/>
        <w:spacing w:after="120"/>
        <w:ind w:left="1134" w:right="260" w:hanging="567"/>
        <w:jc w:val="both"/>
        <w:rPr>
          <w:sz w:val="24"/>
          <w:szCs w:val="24"/>
        </w:rPr>
      </w:pPr>
      <w:r>
        <w:rPr>
          <w:sz w:val="24"/>
          <w:szCs w:val="24"/>
        </w:rPr>
        <w:t>12.6 Comprehensively understand core agenda of institutions that oversee and regulate international capital flows and investment activity</w:t>
      </w:r>
    </w:p>
    <w:p w14:paraId="704F4323" w14:textId="396C2A12" w:rsidR="0033628F" w:rsidRPr="005710D2" w:rsidRDefault="009A2D37" w:rsidP="00A2737A">
      <w:pPr>
        <w:pStyle w:val="Heading1"/>
        <w:numPr>
          <w:ilvl w:val="0"/>
          <w:numId w:val="22"/>
        </w:numPr>
        <w:spacing w:before="240" w:after="120"/>
        <w:jc w:val="left"/>
        <w:rPr>
          <w:rFonts w:ascii="Arial" w:hAnsi="Arial" w:cs="Arial"/>
        </w:rPr>
      </w:pPr>
      <w:bookmarkStart w:id="13" w:name="_Toc138355384"/>
      <w:r w:rsidRPr="005710D2">
        <w:rPr>
          <w:rFonts w:ascii="Arial" w:hAnsi="Arial" w:cs="Arial"/>
        </w:rPr>
        <w:t>The intended generic learning outcomes</w:t>
      </w:r>
      <w:bookmarkEnd w:id="13"/>
    </w:p>
    <w:p w14:paraId="54EBC02D" w14:textId="5CE4E336" w:rsidR="008D4447" w:rsidRDefault="00C729D7" w:rsidP="00592BC0">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6108853D" w14:textId="59E06957" w:rsidR="009374D7" w:rsidRDefault="009374D7" w:rsidP="00C25E04">
      <w:pPr>
        <w:ind w:left="1134" w:hanging="425"/>
        <w:rPr>
          <w:rFonts w:ascii="Arial" w:hAnsi="Arial" w:cs="Arial"/>
          <w:sz w:val="24"/>
          <w:szCs w:val="24"/>
        </w:rPr>
      </w:pPr>
      <w:r>
        <w:rPr>
          <w:rFonts w:ascii="Arial" w:hAnsi="Arial" w:cs="Arial"/>
          <w:sz w:val="24"/>
          <w:szCs w:val="24"/>
        </w:rPr>
        <w:t xml:space="preserve">13.1 </w:t>
      </w:r>
      <w:r w:rsidR="00EA1138" w:rsidRPr="00EA1138">
        <w:rPr>
          <w:rFonts w:ascii="Arial" w:hAnsi="Arial" w:cs="Arial"/>
          <w:sz w:val="24"/>
          <w:szCs w:val="24"/>
        </w:rPr>
        <w:t>Write essays on advanced topics with high level of abstraction and develop convincing argumentation in seminar debates on controversial matters.</w:t>
      </w:r>
    </w:p>
    <w:p w14:paraId="2B598B24" w14:textId="77777777" w:rsidR="005F4F08" w:rsidRDefault="00592BC0" w:rsidP="00C25E04">
      <w:pPr>
        <w:ind w:left="1134" w:hanging="425"/>
        <w:rPr>
          <w:rFonts w:ascii="Arial" w:hAnsi="Arial" w:cs="Arial"/>
          <w:sz w:val="24"/>
          <w:szCs w:val="24"/>
        </w:rPr>
      </w:pPr>
      <w:r>
        <w:rPr>
          <w:rFonts w:ascii="Arial" w:hAnsi="Arial" w:cs="Arial"/>
          <w:sz w:val="24"/>
          <w:szCs w:val="24"/>
        </w:rPr>
        <w:t xml:space="preserve">13.2 </w:t>
      </w:r>
      <w:r w:rsidR="005F4F08" w:rsidRPr="005F4F08">
        <w:rPr>
          <w:rFonts w:ascii="Arial" w:hAnsi="Arial" w:cs="Arial"/>
          <w:sz w:val="24"/>
          <w:szCs w:val="24"/>
        </w:rPr>
        <w:t>Solve complex analytical problems through the use of the different models studied within the curriculum</w:t>
      </w:r>
    </w:p>
    <w:p w14:paraId="598EDDFB" w14:textId="77777777" w:rsidR="00034830" w:rsidRPr="00592BC0" w:rsidRDefault="00034830" w:rsidP="00592BC0">
      <w:pPr>
        <w:ind w:left="284"/>
        <w:rPr>
          <w:rFonts w:ascii="Arial" w:hAnsi="Arial" w:cs="Arial"/>
          <w:sz w:val="24"/>
          <w:szCs w:val="24"/>
        </w:rPr>
      </w:pPr>
    </w:p>
    <w:p w14:paraId="004279B3" w14:textId="6E0A3D85" w:rsidR="0033628F" w:rsidRPr="005710D2" w:rsidRDefault="003D2571" w:rsidP="00A2737A">
      <w:pPr>
        <w:pStyle w:val="Heading1"/>
        <w:numPr>
          <w:ilvl w:val="0"/>
          <w:numId w:val="22"/>
        </w:numPr>
        <w:spacing w:before="240" w:after="120"/>
        <w:ind w:left="568" w:hanging="284"/>
        <w:jc w:val="left"/>
        <w:rPr>
          <w:rFonts w:ascii="Arial" w:hAnsi="Arial" w:cs="Arial"/>
        </w:rPr>
      </w:pPr>
      <w:bookmarkStart w:id="14" w:name="_Toc138355385"/>
      <w:r w:rsidRPr="005710D2">
        <w:rPr>
          <w:rFonts w:ascii="Arial" w:hAnsi="Arial" w:cs="Arial"/>
        </w:rPr>
        <w:lastRenderedPageBreak/>
        <w:t>Assessment Strategy</w:t>
      </w:r>
      <w:bookmarkEnd w:id="14"/>
    </w:p>
    <w:p w14:paraId="1B169D8C" w14:textId="192D7835" w:rsidR="003D2571" w:rsidRPr="005710D2" w:rsidRDefault="003D2571" w:rsidP="00A2737A">
      <w:pPr>
        <w:pStyle w:val="ListParagraph"/>
        <w:numPr>
          <w:ilvl w:val="1"/>
          <w:numId w:val="22"/>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087B6D58" w14:textId="77777777" w:rsidR="00745A1D" w:rsidRDefault="00745A1D" w:rsidP="00C25E04">
      <w:pPr>
        <w:pStyle w:val="ListParagraph"/>
        <w:spacing w:after="120" w:line="240" w:lineRule="auto"/>
        <w:ind w:firstLine="720"/>
        <w:rPr>
          <w:rFonts w:ascii="Arial" w:hAnsi="Arial" w:cs="Arial"/>
          <w:iCs/>
          <w:sz w:val="24"/>
          <w:szCs w:val="24"/>
        </w:rPr>
      </w:pPr>
      <w:r w:rsidRPr="00745A1D">
        <w:rPr>
          <w:rFonts w:ascii="Arial" w:hAnsi="Arial" w:cs="Arial"/>
          <w:iCs/>
          <w:sz w:val="24"/>
          <w:szCs w:val="24"/>
        </w:rPr>
        <w:t xml:space="preserve">Essay (2000 words): 20%  </w:t>
      </w:r>
    </w:p>
    <w:p w14:paraId="337DDBB7" w14:textId="2DBD80D6" w:rsidR="00C72334" w:rsidRPr="00745A1D" w:rsidRDefault="00975B36" w:rsidP="00975B36">
      <w:pPr>
        <w:pStyle w:val="ListParagraph"/>
        <w:tabs>
          <w:tab w:val="left" w:pos="993"/>
          <w:tab w:val="left" w:pos="1134"/>
        </w:tabs>
        <w:spacing w:before="240" w:after="120"/>
        <w:ind w:left="993"/>
        <w:contextualSpacing w:val="0"/>
        <w:rPr>
          <w:rFonts w:ascii="Arial" w:hAnsi="Arial" w:cs="Arial"/>
          <w:iCs/>
          <w:sz w:val="24"/>
          <w:szCs w:val="24"/>
        </w:rPr>
      </w:pPr>
      <w:r>
        <w:rPr>
          <w:rFonts w:ascii="Arial" w:hAnsi="Arial" w:cs="Arial"/>
          <w:iCs/>
          <w:sz w:val="24"/>
          <w:szCs w:val="24"/>
        </w:rPr>
        <w:tab/>
      </w:r>
      <w:r>
        <w:rPr>
          <w:rFonts w:ascii="Arial" w:hAnsi="Arial" w:cs="Arial"/>
          <w:iCs/>
          <w:sz w:val="24"/>
          <w:szCs w:val="24"/>
        </w:rPr>
        <w:tab/>
      </w:r>
      <w:r w:rsidR="00745A1D" w:rsidRPr="00745A1D">
        <w:rPr>
          <w:rFonts w:ascii="Arial" w:hAnsi="Arial" w:cs="Arial"/>
          <w:iCs/>
          <w:sz w:val="24"/>
          <w:szCs w:val="24"/>
        </w:rPr>
        <w:t>Examination (2 hours): 80</w:t>
      </w:r>
      <w:r w:rsidR="00C25E04">
        <w:rPr>
          <w:rFonts w:ascii="Arial" w:hAnsi="Arial" w:cs="Arial"/>
          <w:iCs/>
          <w:sz w:val="24"/>
          <w:szCs w:val="24"/>
        </w:rPr>
        <w:t>%</w:t>
      </w:r>
    </w:p>
    <w:p w14:paraId="1B17CBFA" w14:textId="555B3E44" w:rsidR="0033628F" w:rsidRPr="005710D2" w:rsidRDefault="00E7202A" w:rsidP="00A2737A">
      <w:pPr>
        <w:pStyle w:val="ListParagraph"/>
        <w:numPr>
          <w:ilvl w:val="1"/>
          <w:numId w:val="22"/>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70DBCE36" w14:textId="00D7AABD" w:rsidR="00EF3D8B" w:rsidRPr="00D85187" w:rsidRDefault="00EF3D8B" w:rsidP="00C25E04">
      <w:pPr>
        <w:ind w:left="720"/>
        <w:rPr>
          <w:rFonts w:ascii="Arial" w:hAnsi="Arial" w:cs="Arial"/>
          <w:sz w:val="24"/>
          <w:szCs w:val="24"/>
        </w:rPr>
      </w:pPr>
      <w:r w:rsidRPr="00D85187">
        <w:rPr>
          <w:rFonts w:ascii="Arial" w:hAnsi="Arial" w:cs="Arial"/>
          <w:sz w:val="24"/>
          <w:szCs w:val="24"/>
        </w:rPr>
        <w:t xml:space="preserve">The </w:t>
      </w:r>
      <w:r w:rsidR="00975B36">
        <w:rPr>
          <w:rFonts w:ascii="Arial" w:hAnsi="Arial" w:cs="Arial"/>
          <w:sz w:val="24"/>
          <w:szCs w:val="24"/>
        </w:rPr>
        <w:t>e</w:t>
      </w:r>
      <w:r w:rsidR="00AB06A4" w:rsidRPr="00D85187">
        <w:rPr>
          <w:rFonts w:ascii="Arial" w:hAnsi="Arial" w:cs="Arial"/>
          <w:sz w:val="24"/>
          <w:szCs w:val="24"/>
        </w:rPr>
        <w:t xml:space="preserve">ssay </w:t>
      </w:r>
      <w:r w:rsidR="00975B36">
        <w:rPr>
          <w:rFonts w:ascii="Arial" w:hAnsi="Arial" w:cs="Arial"/>
          <w:sz w:val="24"/>
          <w:szCs w:val="24"/>
        </w:rPr>
        <w:t>will</w:t>
      </w:r>
      <w:r w:rsidR="00AB06A4" w:rsidRPr="00D85187">
        <w:rPr>
          <w:rFonts w:ascii="Arial" w:hAnsi="Arial" w:cs="Arial"/>
          <w:sz w:val="24"/>
          <w:szCs w:val="24"/>
        </w:rPr>
        <w:t xml:space="preserve"> show if the student is on the right track of achieving the learning outcome and t</w:t>
      </w:r>
      <w:r w:rsidRPr="00D85187">
        <w:rPr>
          <w:rFonts w:ascii="Arial" w:hAnsi="Arial" w:cs="Arial"/>
          <w:sz w:val="24"/>
          <w:szCs w:val="24"/>
        </w:rPr>
        <w:t xml:space="preserve">he feedback received </w:t>
      </w:r>
      <w:r w:rsidR="00AB06A4" w:rsidRPr="00D85187">
        <w:rPr>
          <w:rFonts w:ascii="Arial" w:hAnsi="Arial" w:cs="Arial"/>
          <w:sz w:val="24"/>
          <w:szCs w:val="24"/>
        </w:rPr>
        <w:t>on it</w:t>
      </w:r>
      <w:r w:rsidR="00CA13BD" w:rsidRPr="00D85187">
        <w:rPr>
          <w:rFonts w:ascii="Arial" w:hAnsi="Arial" w:cs="Arial"/>
          <w:sz w:val="24"/>
          <w:szCs w:val="24"/>
        </w:rPr>
        <w:t xml:space="preserve"> </w:t>
      </w:r>
      <w:r w:rsidRPr="00D85187">
        <w:rPr>
          <w:rFonts w:ascii="Arial" w:hAnsi="Arial" w:cs="Arial"/>
          <w:sz w:val="24"/>
          <w:szCs w:val="24"/>
        </w:rPr>
        <w:t>will help them improve so that they receive their full potential in the exam.</w:t>
      </w:r>
      <w:r w:rsidR="008B0FBE">
        <w:rPr>
          <w:rFonts w:ascii="Arial" w:hAnsi="Arial" w:cs="Arial"/>
          <w:sz w:val="24"/>
          <w:szCs w:val="24"/>
        </w:rPr>
        <w:t xml:space="preserve"> Both assessment methods will ensure that the learning outcomes of the course specification are achieved.</w:t>
      </w:r>
    </w:p>
    <w:p w14:paraId="2DAE71F6" w14:textId="10D91843" w:rsidR="0033628F" w:rsidRPr="005710D2" w:rsidRDefault="0033628F" w:rsidP="00A2737A">
      <w:pPr>
        <w:pStyle w:val="ListParagraph"/>
        <w:numPr>
          <w:ilvl w:val="1"/>
          <w:numId w:val="22"/>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7A8720EB" w14:textId="77777777" w:rsidR="00916DF0" w:rsidRPr="00916DF0" w:rsidRDefault="00916DF0" w:rsidP="00975B36">
      <w:pPr>
        <w:pStyle w:val="ListParagraph"/>
        <w:spacing w:after="120" w:line="240" w:lineRule="auto"/>
        <w:ind w:right="260" w:firstLine="273"/>
        <w:jc w:val="both"/>
        <w:rPr>
          <w:rFonts w:ascii="Arial" w:hAnsi="Arial" w:cs="Arial"/>
          <w:b/>
          <w:iCs/>
          <w:sz w:val="24"/>
          <w:szCs w:val="24"/>
        </w:rPr>
      </w:pPr>
      <w:bookmarkStart w:id="15" w:name="_Toc138355386"/>
      <w:r w:rsidRPr="00916DF0">
        <w:rPr>
          <w:rFonts w:ascii="Arial" w:hAnsi="Arial" w:cs="Arial"/>
          <w:iCs/>
          <w:sz w:val="24"/>
          <w:szCs w:val="24"/>
        </w:rPr>
        <w:t>Reassessment Method 100% exam</w:t>
      </w:r>
    </w:p>
    <w:p w14:paraId="5BEF04D3" w14:textId="6D830F31" w:rsidR="0033628F" w:rsidRPr="00E7202A" w:rsidRDefault="0033628F" w:rsidP="00A2737A">
      <w:pPr>
        <w:pStyle w:val="Heading1"/>
        <w:numPr>
          <w:ilvl w:val="0"/>
          <w:numId w:val="22"/>
        </w:numPr>
        <w:spacing w:before="240" w:after="120"/>
        <w:ind w:left="568" w:hanging="284"/>
        <w:jc w:val="left"/>
        <w:rPr>
          <w:rFonts w:ascii="Arial" w:hAnsi="Arial" w:cs="Arial"/>
        </w:rPr>
      </w:pPr>
      <w:r w:rsidRPr="00E7202A">
        <w:rPr>
          <w:rFonts w:ascii="Arial" w:hAnsi="Arial" w:cs="Arial"/>
        </w:rPr>
        <w:t>Mapping of Learning Outcomes</w:t>
      </w:r>
      <w:bookmarkEnd w:id="15"/>
    </w:p>
    <w:p w14:paraId="05E5CD04" w14:textId="46CE3D52" w:rsidR="0033628F" w:rsidRPr="00801B45" w:rsidRDefault="0033628F" w:rsidP="00C25E04">
      <w:pPr>
        <w:ind w:left="284" w:firstLine="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Default="0033628F" w:rsidP="00A2737A">
      <w:pPr>
        <w:pStyle w:val="ListParagraph"/>
        <w:numPr>
          <w:ilvl w:val="1"/>
          <w:numId w:val="22"/>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p w14:paraId="2FA3C528" w14:textId="77777777" w:rsidR="003018E3" w:rsidRPr="003018E3" w:rsidRDefault="003018E3" w:rsidP="003018E3">
      <w:pPr>
        <w:pStyle w:val="ListParagraph"/>
        <w:spacing w:after="120" w:line="240" w:lineRule="auto"/>
        <w:ind w:right="261"/>
        <w:jc w:val="both"/>
        <w:rPr>
          <w:rFonts w:ascii="Arial" w:hAnsi="Arial" w:cs="Arial"/>
          <w:i/>
          <w:iCs/>
          <w:sz w:val="24"/>
          <w:szCs w:val="24"/>
        </w:rPr>
      </w:pPr>
    </w:p>
    <w:tbl>
      <w:tblPr>
        <w:tblStyle w:val="TableGrid"/>
        <w:tblW w:w="8741" w:type="dxa"/>
        <w:tblInd w:w="610" w:type="dxa"/>
        <w:tblLayout w:type="fixed"/>
        <w:tblLook w:val="04A0" w:firstRow="1" w:lastRow="0" w:firstColumn="1" w:lastColumn="0" w:noHBand="0" w:noVBand="1"/>
      </w:tblPr>
      <w:tblGrid>
        <w:gridCol w:w="2439"/>
        <w:gridCol w:w="787"/>
        <w:gridCol w:w="788"/>
        <w:gridCol w:w="788"/>
        <w:gridCol w:w="788"/>
        <w:gridCol w:w="787"/>
        <w:gridCol w:w="788"/>
        <w:gridCol w:w="788"/>
        <w:gridCol w:w="788"/>
      </w:tblGrid>
      <w:tr w:rsidR="00487E28" w:rsidRPr="00BC2DDF" w14:paraId="07201DA3" w14:textId="77777777" w:rsidTr="009846D9">
        <w:trPr>
          <w:cantSplit/>
          <w:tblHeader/>
        </w:trPr>
        <w:tc>
          <w:tcPr>
            <w:tcW w:w="2439" w:type="dxa"/>
            <w:shd w:val="clear" w:color="auto" w:fill="D9D9D9" w:themeFill="background1" w:themeFillShade="D9"/>
          </w:tcPr>
          <w:p w14:paraId="510A99C1" w14:textId="77777777" w:rsidR="00487E28" w:rsidRPr="00A17713" w:rsidRDefault="00487E28" w:rsidP="00A406D4">
            <w:pPr>
              <w:spacing w:after="120"/>
              <w:rPr>
                <w:rFonts w:ascii="Arial" w:hAnsi="Arial" w:cs="Arial"/>
                <w:b/>
              </w:rPr>
            </w:pPr>
            <w:r w:rsidRPr="00A17713">
              <w:rPr>
                <w:rFonts w:ascii="Arial" w:hAnsi="Arial" w:cs="Arial"/>
                <w:b/>
              </w:rPr>
              <w:t>Module learning outcome</w:t>
            </w:r>
          </w:p>
        </w:tc>
        <w:tc>
          <w:tcPr>
            <w:tcW w:w="787" w:type="dxa"/>
          </w:tcPr>
          <w:p w14:paraId="1EB95CAE" w14:textId="2942A23F" w:rsidR="00487E28" w:rsidRPr="00A17713" w:rsidRDefault="00487E28" w:rsidP="00A406D4">
            <w:pPr>
              <w:spacing w:after="120"/>
              <w:jc w:val="center"/>
              <w:rPr>
                <w:rFonts w:ascii="Arial" w:hAnsi="Arial" w:cs="Arial"/>
                <w:b/>
                <w:bCs/>
              </w:rPr>
            </w:pPr>
            <w:r>
              <w:rPr>
                <w:rFonts w:ascii="Arial" w:hAnsi="Arial" w:cs="Arial"/>
                <w:b/>
                <w:bCs/>
              </w:rPr>
              <w:t>12</w:t>
            </w:r>
            <w:r w:rsidRPr="00A17713">
              <w:rPr>
                <w:rFonts w:ascii="Arial" w:hAnsi="Arial" w:cs="Arial"/>
                <w:b/>
                <w:bCs/>
              </w:rPr>
              <w:t>.1</w:t>
            </w:r>
          </w:p>
        </w:tc>
        <w:tc>
          <w:tcPr>
            <w:tcW w:w="788" w:type="dxa"/>
          </w:tcPr>
          <w:p w14:paraId="48253156" w14:textId="5BF06724" w:rsidR="00487E28" w:rsidRPr="00A17713" w:rsidRDefault="00487E28" w:rsidP="00A406D4">
            <w:pPr>
              <w:spacing w:after="120"/>
              <w:jc w:val="center"/>
              <w:rPr>
                <w:rFonts w:ascii="Arial" w:hAnsi="Arial" w:cs="Arial"/>
                <w:b/>
                <w:bCs/>
              </w:rPr>
            </w:pPr>
            <w:r>
              <w:rPr>
                <w:rFonts w:ascii="Arial" w:hAnsi="Arial" w:cs="Arial"/>
                <w:b/>
                <w:bCs/>
              </w:rPr>
              <w:t>12</w:t>
            </w:r>
            <w:r w:rsidRPr="00A17713">
              <w:rPr>
                <w:rFonts w:ascii="Arial" w:hAnsi="Arial" w:cs="Arial"/>
                <w:b/>
                <w:bCs/>
              </w:rPr>
              <w:t>.2</w:t>
            </w:r>
          </w:p>
        </w:tc>
        <w:tc>
          <w:tcPr>
            <w:tcW w:w="788" w:type="dxa"/>
          </w:tcPr>
          <w:p w14:paraId="55E29DF0" w14:textId="462F3308" w:rsidR="00487E28" w:rsidRPr="00A17713" w:rsidRDefault="00487E28" w:rsidP="00A406D4">
            <w:pPr>
              <w:spacing w:after="120"/>
              <w:jc w:val="center"/>
              <w:rPr>
                <w:rFonts w:ascii="Arial" w:hAnsi="Arial" w:cs="Arial"/>
                <w:b/>
                <w:bCs/>
              </w:rPr>
            </w:pPr>
            <w:r>
              <w:rPr>
                <w:rFonts w:ascii="Arial" w:hAnsi="Arial" w:cs="Arial"/>
                <w:b/>
                <w:bCs/>
              </w:rPr>
              <w:t>12</w:t>
            </w:r>
            <w:r w:rsidRPr="00A17713">
              <w:rPr>
                <w:rFonts w:ascii="Arial" w:hAnsi="Arial" w:cs="Arial"/>
                <w:b/>
                <w:bCs/>
              </w:rPr>
              <w:t>.3</w:t>
            </w:r>
          </w:p>
        </w:tc>
        <w:tc>
          <w:tcPr>
            <w:tcW w:w="788" w:type="dxa"/>
          </w:tcPr>
          <w:p w14:paraId="71D1D707" w14:textId="087C5FFF" w:rsidR="00487E28" w:rsidRPr="00A17713" w:rsidRDefault="00487E28" w:rsidP="00A406D4">
            <w:pPr>
              <w:spacing w:after="120"/>
              <w:jc w:val="center"/>
              <w:rPr>
                <w:rFonts w:ascii="Arial" w:hAnsi="Arial" w:cs="Arial"/>
                <w:b/>
                <w:bCs/>
              </w:rPr>
            </w:pPr>
            <w:r>
              <w:rPr>
                <w:rFonts w:ascii="Arial" w:hAnsi="Arial" w:cs="Arial"/>
                <w:b/>
                <w:bCs/>
              </w:rPr>
              <w:t>12</w:t>
            </w:r>
            <w:r w:rsidRPr="00A17713">
              <w:rPr>
                <w:rFonts w:ascii="Arial" w:hAnsi="Arial" w:cs="Arial"/>
                <w:b/>
                <w:bCs/>
              </w:rPr>
              <w:t>.4</w:t>
            </w:r>
          </w:p>
        </w:tc>
        <w:tc>
          <w:tcPr>
            <w:tcW w:w="787" w:type="dxa"/>
          </w:tcPr>
          <w:p w14:paraId="1A331564" w14:textId="3DD9585F" w:rsidR="00487E28" w:rsidRPr="00A17713" w:rsidRDefault="00487E28" w:rsidP="00A406D4">
            <w:pPr>
              <w:spacing w:after="120"/>
              <w:jc w:val="center"/>
              <w:rPr>
                <w:rFonts w:ascii="Arial" w:hAnsi="Arial" w:cs="Arial"/>
                <w:b/>
                <w:bCs/>
              </w:rPr>
            </w:pPr>
            <w:r>
              <w:rPr>
                <w:rFonts w:ascii="Arial" w:hAnsi="Arial" w:cs="Arial"/>
                <w:b/>
                <w:bCs/>
              </w:rPr>
              <w:t>12</w:t>
            </w:r>
            <w:r w:rsidRPr="00A17713">
              <w:rPr>
                <w:rFonts w:ascii="Arial" w:hAnsi="Arial" w:cs="Arial"/>
                <w:b/>
                <w:bCs/>
              </w:rPr>
              <w:t>.5</w:t>
            </w:r>
          </w:p>
        </w:tc>
        <w:tc>
          <w:tcPr>
            <w:tcW w:w="788" w:type="dxa"/>
          </w:tcPr>
          <w:p w14:paraId="58D36C6F" w14:textId="74AABFF2" w:rsidR="00487E28" w:rsidRDefault="00487E28" w:rsidP="00A406D4">
            <w:pPr>
              <w:spacing w:after="120"/>
              <w:jc w:val="center"/>
              <w:rPr>
                <w:rFonts w:ascii="Arial" w:hAnsi="Arial" w:cs="Arial"/>
                <w:b/>
                <w:bCs/>
              </w:rPr>
            </w:pPr>
            <w:r>
              <w:rPr>
                <w:rFonts w:ascii="Arial" w:hAnsi="Arial" w:cs="Arial"/>
                <w:b/>
                <w:bCs/>
              </w:rPr>
              <w:t>12.6</w:t>
            </w:r>
          </w:p>
        </w:tc>
        <w:tc>
          <w:tcPr>
            <w:tcW w:w="788" w:type="dxa"/>
          </w:tcPr>
          <w:p w14:paraId="34C85BE5" w14:textId="2833731A" w:rsidR="00487E28" w:rsidRPr="00A17713" w:rsidRDefault="00487E28" w:rsidP="00A406D4">
            <w:pPr>
              <w:spacing w:after="120"/>
              <w:jc w:val="center"/>
              <w:rPr>
                <w:rFonts w:ascii="Arial" w:hAnsi="Arial" w:cs="Arial"/>
                <w:b/>
                <w:bCs/>
              </w:rPr>
            </w:pPr>
            <w:r>
              <w:rPr>
                <w:rFonts w:ascii="Arial" w:hAnsi="Arial" w:cs="Arial"/>
                <w:b/>
                <w:bCs/>
              </w:rPr>
              <w:t>13</w:t>
            </w:r>
            <w:r w:rsidRPr="00A17713">
              <w:rPr>
                <w:rFonts w:ascii="Arial" w:hAnsi="Arial" w:cs="Arial"/>
                <w:b/>
                <w:bCs/>
              </w:rPr>
              <w:t>.1</w:t>
            </w:r>
          </w:p>
        </w:tc>
        <w:tc>
          <w:tcPr>
            <w:tcW w:w="788" w:type="dxa"/>
          </w:tcPr>
          <w:p w14:paraId="057A2D5F" w14:textId="284A84AC" w:rsidR="00487E28" w:rsidRPr="00A17713" w:rsidRDefault="00487E28" w:rsidP="00A406D4">
            <w:pPr>
              <w:spacing w:after="120"/>
              <w:jc w:val="center"/>
              <w:rPr>
                <w:rFonts w:ascii="Arial" w:hAnsi="Arial" w:cs="Arial"/>
                <w:b/>
                <w:bCs/>
              </w:rPr>
            </w:pPr>
            <w:r>
              <w:rPr>
                <w:rFonts w:ascii="Arial" w:hAnsi="Arial" w:cs="Arial"/>
                <w:b/>
                <w:bCs/>
              </w:rPr>
              <w:t>13</w:t>
            </w:r>
            <w:r w:rsidRPr="00A17713">
              <w:rPr>
                <w:rFonts w:ascii="Arial" w:hAnsi="Arial" w:cs="Arial"/>
                <w:b/>
                <w:bCs/>
              </w:rPr>
              <w:t>.2</w:t>
            </w:r>
          </w:p>
        </w:tc>
      </w:tr>
      <w:tr w:rsidR="00487E28" w:rsidRPr="00BC2DDF" w14:paraId="5D858D83" w14:textId="77777777" w:rsidTr="009846D9">
        <w:tc>
          <w:tcPr>
            <w:tcW w:w="2439" w:type="dxa"/>
          </w:tcPr>
          <w:p w14:paraId="761DAB7C" w14:textId="77777777" w:rsidR="00487E28" w:rsidRPr="00A17713" w:rsidRDefault="00487E28" w:rsidP="00A406D4">
            <w:pPr>
              <w:spacing w:after="120"/>
              <w:rPr>
                <w:rFonts w:ascii="Arial" w:hAnsi="Arial" w:cs="Arial"/>
                <w:b/>
              </w:rPr>
            </w:pPr>
            <w:r w:rsidRPr="00A17713">
              <w:rPr>
                <w:rFonts w:ascii="Arial" w:hAnsi="Arial" w:cs="Arial"/>
                <w:b/>
              </w:rPr>
              <w:t>Private Study</w:t>
            </w:r>
          </w:p>
        </w:tc>
        <w:tc>
          <w:tcPr>
            <w:tcW w:w="787" w:type="dxa"/>
          </w:tcPr>
          <w:p w14:paraId="6B48B9DE"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600F635F"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496418BD"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2015F3B6"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7" w:type="dxa"/>
          </w:tcPr>
          <w:p w14:paraId="053359EC"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16EA10FF" w14:textId="209CF9F8"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1E0D6D2E" w14:textId="7B8ACD11"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04224B44" w14:textId="77777777" w:rsidR="00487E28" w:rsidRPr="00A17713" w:rsidRDefault="00487E28" w:rsidP="00A406D4">
            <w:pPr>
              <w:spacing w:after="120"/>
              <w:jc w:val="center"/>
              <w:rPr>
                <w:rFonts w:ascii="Arial" w:hAnsi="Arial" w:cs="Arial"/>
                <w:b/>
              </w:rPr>
            </w:pPr>
            <w:r w:rsidRPr="00A17713">
              <w:rPr>
                <w:rFonts w:ascii="Arial" w:hAnsi="Arial" w:cs="Arial"/>
                <w:b/>
              </w:rPr>
              <w:t>X</w:t>
            </w:r>
          </w:p>
        </w:tc>
      </w:tr>
      <w:tr w:rsidR="00487E28" w:rsidRPr="00BC2DDF" w14:paraId="7FFDC91B" w14:textId="77777777" w:rsidTr="009846D9">
        <w:tc>
          <w:tcPr>
            <w:tcW w:w="2439" w:type="dxa"/>
          </w:tcPr>
          <w:p w14:paraId="6792B819" w14:textId="77777777" w:rsidR="00487E28" w:rsidRPr="00A17713" w:rsidRDefault="00487E28" w:rsidP="00A406D4">
            <w:pPr>
              <w:spacing w:after="120"/>
              <w:rPr>
                <w:rFonts w:ascii="Arial" w:hAnsi="Arial" w:cs="Arial"/>
                <w:b/>
                <w:bCs/>
                <w:iCs/>
              </w:rPr>
            </w:pPr>
            <w:r w:rsidRPr="00A17713">
              <w:rPr>
                <w:rFonts w:ascii="Arial" w:hAnsi="Arial" w:cs="Arial"/>
                <w:b/>
                <w:bCs/>
                <w:iCs/>
              </w:rPr>
              <w:t>Lectures</w:t>
            </w:r>
          </w:p>
        </w:tc>
        <w:tc>
          <w:tcPr>
            <w:tcW w:w="787" w:type="dxa"/>
          </w:tcPr>
          <w:p w14:paraId="02AD8B4D"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56C5B1E2"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79460BAF"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0F3B2E97"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7" w:type="dxa"/>
          </w:tcPr>
          <w:p w14:paraId="6C770DA0"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7C27C07C" w14:textId="29CEF4F4"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2E52AADD" w14:textId="73A781B4" w:rsidR="00487E28" w:rsidRPr="00A17713" w:rsidRDefault="00487E28" w:rsidP="00A406D4">
            <w:pPr>
              <w:spacing w:after="120"/>
              <w:jc w:val="center"/>
              <w:rPr>
                <w:rFonts w:ascii="Arial" w:hAnsi="Arial" w:cs="Arial"/>
                <w:b/>
              </w:rPr>
            </w:pPr>
          </w:p>
        </w:tc>
        <w:tc>
          <w:tcPr>
            <w:tcW w:w="788" w:type="dxa"/>
          </w:tcPr>
          <w:p w14:paraId="34719DF4" w14:textId="77777777" w:rsidR="00487E28" w:rsidRPr="00A17713" w:rsidRDefault="00487E28" w:rsidP="00A406D4">
            <w:pPr>
              <w:spacing w:after="120"/>
              <w:jc w:val="center"/>
              <w:rPr>
                <w:rFonts w:ascii="Arial" w:hAnsi="Arial" w:cs="Arial"/>
                <w:b/>
              </w:rPr>
            </w:pPr>
            <w:r w:rsidRPr="00A17713">
              <w:rPr>
                <w:rFonts w:ascii="Arial" w:hAnsi="Arial" w:cs="Arial"/>
                <w:b/>
              </w:rPr>
              <w:t>X</w:t>
            </w:r>
          </w:p>
        </w:tc>
      </w:tr>
      <w:tr w:rsidR="00487E28" w:rsidRPr="00BC2DDF" w14:paraId="44FFCD52" w14:textId="77777777" w:rsidTr="009846D9">
        <w:tc>
          <w:tcPr>
            <w:tcW w:w="2439" w:type="dxa"/>
          </w:tcPr>
          <w:p w14:paraId="461911FC" w14:textId="77777777" w:rsidR="00487E28" w:rsidRPr="00A17713" w:rsidRDefault="00487E28" w:rsidP="00A406D4">
            <w:pPr>
              <w:spacing w:after="120"/>
              <w:rPr>
                <w:rFonts w:ascii="Arial" w:hAnsi="Arial" w:cs="Arial"/>
                <w:b/>
                <w:bCs/>
                <w:iCs/>
              </w:rPr>
            </w:pPr>
            <w:r w:rsidRPr="00A17713">
              <w:rPr>
                <w:rFonts w:ascii="Arial" w:hAnsi="Arial" w:cs="Arial"/>
                <w:b/>
                <w:bCs/>
                <w:iCs/>
              </w:rPr>
              <w:t xml:space="preserve">Seminars </w:t>
            </w:r>
          </w:p>
        </w:tc>
        <w:tc>
          <w:tcPr>
            <w:tcW w:w="787" w:type="dxa"/>
          </w:tcPr>
          <w:p w14:paraId="4AD3D015"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3AE27FCF"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1E4DFB4C"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30AE56F2"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7" w:type="dxa"/>
          </w:tcPr>
          <w:p w14:paraId="2B4A4E91" w14:textId="77777777"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2E1FE4D4" w14:textId="0397FCF3"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5CB4E38C" w14:textId="14F5A0A0" w:rsidR="00487E28" w:rsidRPr="00A17713" w:rsidRDefault="00487E28" w:rsidP="00A406D4">
            <w:pPr>
              <w:spacing w:after="120"/>
              <w:jc w:val="center"/>
              <w:rPr>
                <w:rFonts w:ascii="Arial" w:hAnsi="Arial" w:cs="Arial"/>
                <w:b/>
              </w:rPr>
            </w:pPr>
            <w:r w:rsidRPr="00A17713">
              <w:rPr>
                <w:rFonts w:ascii="Arial" w:hAnsi="Arial" w:cs="Arial"/>
                <w:b/>
              </w:rPr>
              <w:t>X</w:t>
            </w:r>
          </w:p>
        </w:tc>
        <w:tc>
          <w:tcPr>
            <w:tcW w:w="788" w:type="dxa"/>
          </w:tcPr>
          <w:p w14:paraId="228A47A8" w14:textId="77777777" w:rsidR="00487E28" w:rsidRPr="00A17713" w:rsidRDefault="00487E28" w:rsidP="00A406D4">
            <w:pPr>
              <w:spacing w:after="120"/>
              <w:jc w:val="center"/>
              <w:rPr>
                <w:rFonts w:ascii="Arial" w:hAnsi="Arial" w:cs="Arial"/>
                <w:b/>
              </w:rPr>
            </w:pPr>
            <w:r w:rsidRPr="00A17713">
              <w:rPr>
                <w:rFonts w:ascii="Arial" w:hAnsi="Arial" w:cs="Arial"/>
                <w:b/>
              </w:rPr>
              <w:t>X</w:t>
            </w:r>
          </w:p>
        </w:tc>
      </w:tr>
    </w:tbl>
    <w:p w14:paraId="67D3D216" w14:textId="77777777" w:rsidR="00400ED1" w:rsidRPr="003B6145" w:rsidRDefault="00400ED1" w:rsidP="00400ED1">
      <w:pPr>
        <w:pStyle w:val="ListParagraph"/>
        <w:tabs>
          <w:tab w:val="left" w:pos="993"/>
        </w:tabs>
        <w:spacing w:after="120" w:line="240" w:lineRule="auto"/>
        <w:ind w:left="284"/>
        <w:contextualSpacing w:val="0"/>
        <w:rPr>
          <w:rFonts w:ascii="Arial" w:hAnsi="Arial" w:cs="Arial"/>
          <w:b/>
          <w:bCs/>
          <w:sz w:val="24"/>
          <w:szCs w:val="24"/>
        </w:rPr>
      </w:pPr>
    </w:p>
    <w:p w14:paraId="47DCE34F" w14:textId="610F1425" w:rsidR="0033628F" w:rsidRPr="009846D9" w:rsidRDefault="0033628F" w:rsidP="00EC4E80">
      <w:pPr>
        <w:pStyle w:val="ListParagraph"/>
        <w:numPr>
          <w:ilvl w:val="1"/>
          <w:numId w:val="22"/>
        </w:numPr>
        <w:tabs>
          <w:tab w:val="left" w:pos="993"/>
        </w:tabs>
        <w:spacing w:before="240" w:after="120" w:line="240" w:lineRule="auto"/>
        <w:ind w:left="284" w:right="543" w:firstLine="0"/>
        <w:contextualSpacing w:val="0"/>
        <w:rPr>
          <w:rFonts w:ascii="Arial" w:hAnsi="Arial" w:cs="Arial"/>
          <w:iCs/>
          <w:sz w:val="24"/>
          <w:szCs w:val="24"/>
        </w:rPr>
      </w:pPr>
      <w:r w:rsidRPr="009846D9">
        <w:rPr>
          <w:rFonts w:ascii="Arial" w:hAnsi="Arial" w:cs="Arial"/>
          <w:b/>
          <w:b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797"/>
        <w:gridCol w:w="797"/>
        <w:gridCol w:w="798"/>
        <w:gridCol w:w="797"/>
        <w:gridCol w:w="797"/>
        <w:gridCol w:w="798"/>
        <w:gridCol w:w="798"/>
        <w:gridCol w:w="797"/>
      </w:tblGrid>
      <w:tr w:rsidR="005579DA" w:rsidRPr="00BC2DDF" w14:paraId="2A0A50ED" w14:textId="77777777" w:rsidTr="009846D9">
        <w:trPr>
          <w:tblHeader/>
        </w:trPr>
        <w:tc>
          <w:tcPr>
            <w:tcW w:w="2405" w:type="dxa"/>
            <w:shd w:val="clear" w:color="auto" w:fill="D9D9D9" w:themeFill="background1" w:themeFillShade="D9"/>
          </w:tcPr>
          <w:p w14:paraId="389D54E9" w14:textId="77777777" w:rsidR="005579DA" w:rsidRPr="00A17713" w:rsidRDefault="005579DA" w:rsidP="00A406D4">
            <w:pPr>
              <w:spacing w:after="120"/>
              <w:rPr>
                <w:rFonts w:ascii="Arial" w:hAnsi="Arial" w:cs="Arial"/>
                <w:b/>
              </w:rPr>
            </w:pPr>
            <w:r w:rsidRPr="00A17713">
              <w:rPr>
                <w:rFonts w:ascii="Arial" w:hAnsi="Arial" w:cs="Arial"/>
                <w:b/>
              </w:rPr>
              <w:t>Module learning outcome</w:t>
            </w:r>
          </w:p>
        </w:tc>
        <w:tc>
          <w:tcPr>
            <w:tcW w:w="797" w:type="dxa"/>
          </w:tcPr>
          <w:p w14:paraId="06CF4018" w14:textId="399CBA34" w:rsidR="005579DA" w:rsidRPr="00A17713" w:rsidRDefault="005579DA" w:rsidP="00A406D4">
            <w:pPr>
              <w:spacing w:after="120"/>
              <w:jc w:val="center"/>
              <w:rPr>
                <w:rFonts w:ascii="Arial" w:hAnsi="Arial" w:cs="Arial"/>
                <w:b/>
                <w:bCs/>
              </w:rPr>
            </w:pPr>
            <w:r>
              <w:rPr>
                <w:rFonts w:ascii="Arial" w:hAnsi="Arial" w:cs="Arial"/>
                <w:b/>
                <w:bCs/>
              </w:rPr>
              <w:t>12</w:t>
            </w:r>
            <w:r w:rsidRPr="00A17713">
              <w:rPr>
                <w:rFonts w:ascii="Arial" w:hAnsi="Arial" w:cs="Arial"/>
                <w:b/>
                <w:bCs/>
              </w:rPr>
              <w:t>.1</w:t>
            </w:r>
          </w:p>
        </w:tc>
        <w:tc>
          <w:tcPr>
            <w:tcW w:w="797" w:type="dxa"/>
          </w:tcPr>
          <w:p w14:paraId="57DA9D34" w14:textId="4A7F7B1A" w:rsidR="005579DA" w:rsidRPr="00A17713" w:rsidRDefault="005579DA" w:rsidP="00A406D4">
            <w:pPr>
              <w:spacing w:after="120"/>
              <w:jc w:val="center"/>
              <w:rPr>
                <w:rFonts w:ascii="Arial" w:hAnsi="Arial" w:cs="Arial"/>
                <w:b/>
                <w:bCs/>
              </w:rPr>
            </w:pPr>
            <w:r>
              <w:rPr>
                <w:rFonts w:ascii="Arial" w:hAnsi="Arial" w:cs="Arial"/>
                <w:b/>
                <w:bCs/>
              </w:rPr>
              <w:t>12</w:t>
            </w:r>
            <w:r w:rsidRPr="00A17713">
              <w:rPr>
                <w:rFonts w:ascii="Arial" w:hAnsi="Arial" w:cs="Arial"/>
                <w:b/>
                <w:bCs/>
              </w:rPr>
              <w:t>.2</w:t>
            </w:r>
          </w:p>
        </w:tc>
        <w:tc>
          <w:tcPr>
            <w:tcW w:w="798" w:type="dxa"/>
          </w:tcPr>
          <w:p w14:paraId="78CDAE7A" w14:textId="6B30342F" w:rsidR="005579DA" w:rsidRPr="00A17713" w:rsidRDefault="005579DA" w:rsidP="00A406D4">
            <w:pPr>
              <w:spacing w:after="120"/>
              <w:jc w:val="center"/>
              <w:rPr>
                <w:rFonts w:ascii="Arial" w:hAnsi="Arial" w:cs="Arial"/>
                <w:b/>
                <w:bCs/>
              </w:rPr>
            </w:pPr>
            <w:r>
              <w:rPr>
                <w:rFonts w:ascii="Arial" w:hAnsi="Arial" w:cs="Arial"/>
                <w:b/>
                <w:bCs/>
              </w:rPr>
              <w:t>12</w:t>
            </w:r>
            <w:r w:rsidRPr="00A17713">
              <w:rPr>
                <w:rFonts w:ascii="Arial" w:hAnsi="Arial" w:cs="Arial"/>
                <w:b/>
                <w:bCs/>
              </w:rPr>
              <w:t>.3</w:t>
            </w:r>
          </w:p>
        </w:tc>
        <w:tc>
          <w:tcPr>
            <w:tcW w:w="797" w:type="dxa"/>
          </w:tcPr>
          <w:p w14:paraId="05AB6F51" w14:textId="61051859" w:rsidR="005579DA" w:rsidRPr="00A17713" w:rsidRDefault="005579DA" w:rsidP="00A406D4">
            <w:pPr>
              <w:spacing w:after="120"/>
              <w:jc w:val="center"/>
              <w:rPr>
                <w:rFonts w:ascii="Arial" w:hAnsi="Arial" w:cs="Arial"/>
                <w:b/>
                <w:bCs/>
              </w:rPr>
            </w:pPr>
            <w:r>
              <w:rPr>
                <w:rFonts w:ascii="Arial" w:hAnsi="Arial" w:cs="Arial"/>
                <w:b/>
                <w:bCs/>
              </w:rPr>
              <w:t>12</w:t>
            </w:r>
            <w:r w:rsidRPr="00A17713">
              <w:rPr>
                <w:rFonts w:ascii="Arial" w:hAnsi="Arial" w:cs="Arial"/>
                <w:b/>
                <w:bCs/>
              </w:rPr>
              <w:t>.4</w:t>
            </w:r>
          </w:p>
        </w:tc>
        <w:tc>
          <w:tcPr>
            <w:tcW w:w="797" w:type="dxa"/>
          </w:tcPr>
          <w:p w14:paraId="1CDA269B" w14:textId="6B701B8C" w:rsidR="005579DA" w:rsidRPr="00A17713" w:rsidRDefault="005579DA" w:rsidP="00A406D4">
            <w:pPr>
              <w:spacing w:after="120"/>
              <w:jc w:val="center"/>
              <w:rPr>
                <w:rFonts w:ascii="Arial" w:hAnsi="Arial" w:cs="Arial"/>
                <w:b/>
                <w:bCs/>
              </w:rPr>
            </w:pPr>
            <w:r>
              <w:rPr>
                <w:rFonts w:ascii="Arial" w:hAnsi="Arial" w:cs="Arial"/>
                <w:b/>
                <w:bCs/>
              </w:rPr>
              <w:t>12</w:t>
            </w:r>
            <w:r w:rsidRPr="00A17713">
              <w:rPr>
                <w:rFonts w:ascii="Arial" w:hAnsi="Arial" w:cs="Arial"/>
                <w:b/>
                <w:bCs/>
              </w:rPr>
              <w:t>.5</w:t>
            </w:r>
          </w:p>
        </w:tc>
        <w:tc>
          <w:tcPr>
            <w:tcW w:w="798" w:type="dxa"/>
          </w:tcPr>
          <w:p w14:paraId="63233F4D" w14:textId="55F96531" w:rsidR="005579DA" w:rsidRDefault="005579DA" w:rsidP="00A406D4">
            <w:pPr>
              <w:spacing w:after="120"/>
              <w:jc w:val="center"/>
              <w:rPr>
                <w:rFonts w:ascii="Arial" w:hAnsi="Arial" w:cs="Arial"/>
                <w:b/>
                <w:bCs/>
              </w:rPr>
            </w:pPr>
            <w:r>
              <w:rPr>
                <w:rFonts w:ascii="Arial" w:hAnsi="Arial" w:cs="Arial"/>
                <w:b/>
                <w:bCs/>
              </w:rPr>
              <w:t>12.6</w:t>
            </w:r>
          </w:p>
        </w:tc>
        <w:tc>
          <w:tcPr>
            <w:tcW w:w="798" w:type="dxa"/>
          </w:tcPr>
          <w:p w14:paraId="7807DA47" w14:textId="2D925DBF" w:rsidR="005579DA" w:rsidRPr="00A17713" w:rsidRDefault="005579DA" w:rsidP="00A406D4">
            <w:pPr>
              <w:spacing w:after="120"/>
              <w:jc w:val="center"/>
              <w:rPr>
                <w:rFonts w:ascii="Arial" w:hAnsi="Arial" w:cs="Arial"/>
                <w:b/>
                <w:bCs/>
              </w:rPr>
            </w:pPr>
            <w:r>
              <w:rPr>
                <w:rFonts w:ascii="Arial" w:hAnsi="Arial" w:cs="Arial"/>
                <w:b/>
                <w:bCs/>
              </w:rPr>
              <w:t>13</w:t>
            </w:r>
            <w:r w:rsidRPr="00A17713">
              <w:rPr>
                <w:rFonts w:ascii="Arial" w:hAnsi="Arial" w:cs="Arial"/>
                <w:b/>
                <w:bCs/>
              </w:rPr>
              <w:t>.1</w:t>
            </w:r>
          </w:p>
        </w:tc>
        <w:tc>
          <w:tcPr>
            <w:tcW w:w="797" w:type="dxa"/>
          </w:tcPr>
          <w:p w14:paraId="604DCB0E" w14:textId="6D51898A" w:rsidR="005579DA" w:rsidRPr="00A17713" w:rsidRDefault="005579DA" w:rsidP="00A406D4">
            <w:pPr>
              <w:spacing w:after="120"/>
              <w:jc w:val="center"/>
              <w:rPr>
                <w:rFonts w:ascii="Arial" w:hAnsi="Arial" w:cs="Arial"/>
                <w:b/>
                <w:bCs/>
              </w:rPr>
            </w:pPr>
            <w:r>
              <w:rPr>
                <w:rFonts w:ascii="Arial" w:hAnsi="Arial" w:cs="Arial"/>
                <w:b/>
                <w:bCs/>
              </w:rPr>
              <w:t>13</w:t>
            </w:r>
            <w:r w:rsidRPr="00A17713">
              <w:rPr>
                <w:rFonts w:ascii="Arial" w:hAnsi="Arial" w:cs="Arial"/>
                <w:b/>
                <w:bCs/>
              </w:rPr>
              <w:t>.2</w:t>
            </w:r>
          </w:p>
        </w:tc>
      </w:tr>
      <w:tr w:rsidR="005579DA" w:rsidRPr="00BC2DDF" w14:paraId="2998678B" w14:textId="77777777" w:rsidTr="009846D9">
        <w:trPr>
          <w:tblHeader/>
        </w:trPr>
        <w:tc>
          <w:tcPr>
            <w:tcW w:w="2405" w:type="dxa"/>
          </w:tcPr>
          <w:p w14:paraId="68CF4DDD" w14:textId="77777777" w:rsidR="005579DA" w:rsidRPr="00A17713" w:rsidRDefault="005579DA" w:rsidP="00A406D4">
            <w:pPr>
              <w:spacing w:after="120"/>
              <w:rPr>
                <w:rFonts w:ascii="Arial" w:hAnsi="Arial" w:cs="Arial"/>
                <w:b/>
                <w:bCs/>
                <w:iCs/>
              </w:rPr>
            </w:pPr>
            <w:r w:rsidRPr="00A17713">
              <w:rPr>
                <w:rFonts w:ascii="Arial" w:hAnsi="Arial" w:cs="Arial"/>
                <w:b/>
                <w:bCs/>
                <w:iCs/>
              </w:rPr>
              <w:t>Essay</w:t>
            </w:r>
          </w:p>
        </w:tc>
        <w:tc>
          <w:tcPr>
            <w:tcW w:w="797" w:type="dxa"/>
          </w:tcPr>
          <w:p w14:paraId="73EB1935"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1D33051C"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4957CA94"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48036D93"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468F8A20"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1181E6BD" w14:textId="78633A7B"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0BB2D2C8" w14:textId="1EC89ED4"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664CFE5F" w14:textId="77777777" w:rsidR="005579DA" w:rsidRPr="00A17713" w:rsidRDefault="005579DA" w:rsidP="00A406D4">
            <w:pPr>
              <w:spacing w:after="120"/>
              <w:jc w:val="center"/>
              <w:rPr>
                <w:rFonts w:ascii="Arial" w:hAnsi="Arial" w:cs="Arial"/>
                <w:b/>
              </w:rPr>
            </w:pPr>
            <w:r w:rsidRPr="00A17713">
              <w:rPr>
                <w:rFonts w:ascii="Arial" w:hAnsi="Arial" w:cs="Arial"/>
                <w:b/>
              </w:rPr>
              <w:t>X</w:t>
            </w:r>
          </w:p>
        </w:tc>
      </w:tr>
      <w:tr w:rsidR="005579DA" w:rsidRPr="00BC2DDF" w14:paraId="4F1B2FEA" w14:textId="77777777" w:rsidTr="009846D9">
        <w:trPr>
          <w:tblHeader/>
        </w:trPr>
        <w:tc>
          <w:tcPr>
            <w:tcW w:w="2405" w:type="dxa"/>
          </w:tcPr>
          <w:p w14:paraId="56C91091" w14:textId="77777777" w:rsidR="005579DA" w:rsidRPr="00A17713" w:rsidRDefault="005579DA" w:rsidP="00A406D4">
            <w:pPr>
              <w:spacing w:after="120"/>
              <w:rPr>
                <w:rFonts w:ascii="Arial" w:hAnsi="Arial" w:cs="Arial"/>
                <w:b/>
                <w:bCs/>
                <w:iCs/>
              </w:rPr>
            </w:pPr>
            <w:r w:rsidRPr="00A17713">
              <w:rPr>
                <w:rFonts w:ascii="Arial" w:hAnsi="Arial" w:cs="Arial"/>
                <w:b/>
                <w:bCs/>
                <w:iCs/>
              </w:rPr>
              <w:t>Final Exam</w:t>
            </w:r>
          </w:p>
        </w:tc>
        <w:tc>
          <w:tcPr>
            <w:tcW w:w="797" w:type="dxa"/>
          </w:tcPr>
          <w:p w14:paraId="7A8D790B"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20698A31"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0BE7428F"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41F129BD"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5BDAFD91" w14:textId="77777777"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63BC3027" w14:textId="11C76AEF" w:rsidR="005579DA" w:rsidRPr="00A17713" w:rsidRDefault="005579DA" w:rsidP="00A406D4">
            <w:pPr>
              <w:spacing w:after="120"/>
              <w:jc w:val="center"/>
              <w:rPr>
                <w:rFonts w:ascii="Arial" w:hAnsi="Arial" w:cs="Arial"/>
                <w:b/>
              </w:rPr>
            </w:pPr>
            <w:r w:rsidRPr="00A17713">
              <w:rPr>
                <w:rFonts w:ascii="Arial" w:hAnsi="Arial" w:cs="Arial"/>
                <w:b/>
              </w:rPr>
              <w:t>X</w:t>
            </w:r>
          </w:p>
        </w:tc>
        <w:tc>
          <w:tcPr>
            <w:tcW w:w="798" w:type="dxa"/>
          </w:tcPr>
          <w:p w14:paraId="7B3E8F92" w14:textId="582D7A5D" w:rsidR="005579DA" w:rsidRPr="00A17713" w:rsidRDefault="005579DA" w:rsidP="00A406D4">
            <w:pPr>
              <w:spacing w:after="120"/>
              <w:jc w:val="center"/>
              <w:rPr>
                <w:rFonts w:ascii="Arial" w:hAnsi="Arial" w:cs="Arial"/>
                <w:b/>
              </w:rPr>
            </w:pPr>
            <w:r w:rsidRPr="00A17713">
              <w:rPr>
                <w:rFonts w:ascii="Arial" w:hAnsi="Arial" w:cs="Arial"/>
                <w:b/>
              </w:rPr>
              <w:t>X</w:t>
            </w:r>
          </w:p>
        </w:tc>
        <w:tc>
          <w:tcPr>
            <w:tcW w:w="797" w:type="dxa"/>
          </w:tcPr>
          <w:p w14:paraId="2A16C376" w14:textId="77777777" w:rsidR="005579DA" w:rsidRPr="00A17713" w:rsidRDefault="005579DA" w:rsidP="00A406D4">
            <w:pPr>
              <w:spacing w:after="120"/>
              <w:jc w:val="center"/>
              <w:rPr>
                <w:rFonts w:ascii="Arial" w:hAnsi="Arial" w:cs="Arial"/>
                <w:b/>
              </w:rPr>
            </w:pPr>
            <w:r w:rsidRPr="00A17713">
              <w:rPr>
                <w:rFonts w:ascii="Arial" w:hAnsi="Arial" w:cs="Arial"/>
                <w:b/>
              </w:rPr>
              <w:t>X</w:t>
            </w:r>
          </w:p>
        </w:tc>
      </w:tr>
    </w:tbl>
    <w:p w14:paraId="79AE8E7D" w14:textId="77777777" w:rsidR="00D21016" w:rsidRDefault="00D21016" w:rsidP="00AA629F">
      <w:pPr>
        <w:spacing w:after="120" w:line="240" w:lineRule="auto"/>
        <w:ind w:right="543"/>
        <w:rPr>
          <w:rFonts w:ascii="Arial" w:hAnsi="Arial" w:cs="Arial"/>
          <w:iCs/>
          <w:sz w:val="24"/>
          <w:szCs w:val="24"/>
        </w:rPr>
      </w:pPr>
    </w:p>
    <w:p w14:paraId="75FEDACA" w14:textId="77777777" w:rsidR="00F95D93" w:rsidRDefault="00F95D93" w:rsidP="00AA629F">
      <w:pPr>
        <w:spacing w:after="120" w:line="240" w:lineRule="auto"/>
        <w:ind w:right="543"/>
        <w:rPr>
          <w:rFonts w:ascii="Arial" w:hAnsi="Arial" w:cs="Arial"/>
          <w:iCs/>
          <w:sz w:val="24"/>
          <w:szCs w:val="24"/>
        </w:rPr>
      </w:pPr>
    </w:p>
    <w:p w14:paraId="70EE6357" w14:textId="77777777" w:rsidR="009846D9" w:rsidRDefault="009846D9" w:rsidP="009846D9">
      <w:pPr>
        <w:pStyle w:val="Heading1"/>
        <w:spacing w:before="240" w:after="120"/>
        <w:ind w:left="360"/>
        <w:jc w:val="left"/>
        <w:rPr>
          <w:rFonts w:ascii="Arial" w:hAnsi="Arial" w:cs="Arial"/>
        </w:rPr>
      </w:pPr>
      <w:bookmarkStart w:id="16" w:name="_Toc138355387"/>
    </w:p>
    <w:p w14:paraId="55543850" w14:textId="77777777" w:rsidR="009846D9" w:rsidRDefault="009846D9" w:rsidP="009846D9">
      <w:pPr>
        <w:pStyle w:val="Heading1"/>
        <w:spacing w:before="240" w:after="120"/>
        <w:ind w:left="360"/>
        <w:jc w:val="left"/>
        <w:rPr>
          <w:rFonts w:ascii="Arial" w:hAnsi="Arial" w:cs="Arial"/>
        </w:rPr>
      </w:pPr>
    </w:p>
    <w:p w14:paraId="16C78D39" w14:textId="77777777" w:rsidR="009846D9" w:rsidRDefault="009846D9" w:rsidP="009846D9">
      <w:pPr>
        <w:pStyle w:val="Heading1"/>
        <w:spacing w:before="240" w:after="120"/>
        <w:ind w:left="360"/>
        <w:jc w:val="left"/>
        <w:rPr>
          <w:rFonts w:ascii="Arial" w:hAnsi="Arial" w:cs="Arial"/>
        </w:rPr>
      </w:pPr>
    </w:p>
    <w:p w14:paraId="05E3877E" w14:textId="5B0011DA" w:rsidR="00636058" w:rsidRPr="003B6145" w:rsidRDefault="00883204" w:rsidP="009846D9">
      <w:pPr>
        <w:pStyle w:val="Heading1"/>
        <w:numPr>
          <w:ilvl w:val="0"/>
          <w:numId w:val="22"/>
        </w:numPr>
        <w:spacing w:before="240" w:after="120"/>
        <w:jc w:val="left"/>
        <w:rPr>
          <w:rFonts w:ascii="Arial" w:hAnsi="Arial" w:cs="Arial"/>
        </w:rPr>
      </w:pPr>
      <w:r w:rsidRPr="003B6145">
        <w:rPr>
          <w:rFonts w:ascii="Arial" w:hAnsi="Arial" w:cs="Arial"/>
        </w:rPr>
        <w:t>Reading l</w:t>
      </w:r>
      <w:r w:rsidR="009A2D37" w:rsidRPr="003B6145">
        <w:rPr>
          <w:rFonts w:ascii="Arial" w:hAnsi="Arial" w:cs="Arial"/>
        </w:rPr>
        <w:t>ist</w:t>
      </w:r>
      <w:bookmarkEnd w:id="16"/>
      <w:r w:rsidR="009A2D37" w:rsidRPr="003B6145">
        <w:rPr>
          <w:rFonts w:ascii="Arial" w:hAnsi="Arial" w:cs="Arial"/>
        </w:rPr>
        <w:t xml:space="preserve"> </w:t>
      </w:r>
    </w:p>
    <w:p w14:paraId="6574CE52" w14:textId="4D1C00BF" w:rsidR="00636058" w:rsidRPr="00975B36" w:rsidRDefault="00636058" w:rsidP="003B6145">
      <w:pPr>
        <w:spacing w:after="120"/>
        <w:ind w:left="284"/>
        <w:rPr>
          <w:rFonts w:ascii="Arial" w:hAnsi="Arial" w:cs="Arial"/>
          <w:b/>
          <w:sz w:val="24"/>
          <w:szCs w:val="24"/>
        </w:rPr>
      </w:pPr>
      <w:r w:rsidRPr="00975B36">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Default="00636058" w:rsidP="003B6145">
      <w:pPr>
        <w:ind w:left="284"/>
        <w:rPr>
          <w:rFonts w:ascii="Arial" w:hAnsi="Arial" w:cs="Arial"/>
          <w:sz w:val="24"/>
          <w:szCs w:val="24"/>
        </w:rPr>
      </w:pPr>
      <w:r w:rsidRPr="00975B36">
        <w:rPr>
          <w:rFonts w:ascii="Arial" w:hAnsi="Arial" w:cs="Arial"/>
          <w:sz w:val="24"/>
          <w:szCs w:val="24"/>
        </w:rPr>
        <w:t xml:space="preserve">The most up to date reading list for each module can be found on the university's </w:t>
      </w:r>
      <w:hyperlink r:id="rId11" w:history="1">
        <w:r w:rsidRPr="00975B36">
          <w:rPr>
            <w:rStyle w:val="Hyperlink"/>
            <w:rFonts w:ascii="Arial" w:hAnsi="Arial" w:cs="Arial"/>
            <w:bCs/>
            <w:sz w:val="24"/>
            <w:szCs w:val="24"/>
          </w:rPr>
          <w:t>reading list pages</w:t>
        </w:r>
      </w:hyperlink>
      <w:r w:rsidRPr="00975B36">
        <w:rPr>
          <w:rFonts w:ascii="Arial" w:hAnsi="Arial" w:cs="Arial"/>
          <w:sz w:val="24"/>
          <w:szCs w:val="24"/>
        </w:rPr>
        <w:t xml:space="preserve">. </w:t>
      </w:r>
    </w:p>
    <w:p w14:paraId="52D269A3" w14:textId="77777777" w:rsidR="009846D9" w:rsidRPr="00975B36" w:rsidRDefault="009846D9" w:rsidP="003B6145">
      <w:pPr>
        <w:ind w:left="284"/>
        <w:rPr>
          <w:rFonts w:ascii="Arial" w:hAnsi="Arial" w:cs="Arial"/>
          <w:b/>
          <w:sz w:val="24"/>
          <w:szCs w:val="24"/>
        </w:rPr>
      </w:pPr>
    </w:p>
    <w:p w14:paraId="03283DDF" w14:textId="77777777" w:rsidR="00883204" w:rsidRPr="003B6145" w:rsidRDefault="00883204" w:rsidP="00A2737A">
      <w:pPr>
        <w:pStyle w:val="Heading1"/>
        <w:numPr>
          <w:ilvl w:val="0"/>
          <w:numId w:val="22"/>
        </w:numPr>
        <w:spacing w:before="240" w:after="120"/>
        <w:ind w:left="568" w:hanging="284"/>
        <w:jc w:val="left"/>
        <w:rPr>
          <w:rFonts w:ascii="Arial" w:hAnsi="Arial" w:cs="Arial"/>
        </w:rPr>
      </w:pPr>
      <w:bookmarkStart w:id="17" w:name="_Toc138355388"/>
      <w:r w:rsidRPr="003B6145">
        <w:rPr>
          <w:rFonts w:ascii="Arial" w:hAnsi="Arial" w:cs="Arial"/>
        </w:rPr>
        <w:t>Inclusive module design</w:t>
      </w:r>
      <w:bookmarkEnd w:id="17"/>
      <w:r w:rsidRPr="003B6145">
        <w:rPr>
          <w:rFonts w:ascii="Arial" w:hAnsi="Arial" w:cs="Arial"/>
        </w:rPr>
        <w:t xml:space="preserve"> </w:t>
      </w:r>
    </w:p>
    <w:p w14:paraId="39DA4ADC" w14:textId="23B0B73A"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Default="00883204" w:rsidP="003B6145">
      <w:pPr>
        <w:tabs>
          <w:tab w:val="left" w:pos="567"/>
        </w:tabs>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935C0F5" w14:textId="77777777" w:rsidR="00592BC0" w:rsidRPr="009D52D0" w:rsidRDefault="00592BC0"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2621"/>
        <w:gridCol w:w="2268"/>
      </w:tblGrid>
      <w:tr w:rsidR="00F06E34" w14:paraId="37126B6B" w14:textId="77777777" w:rsidTr="00D85187">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2621" w:type="dxa"/>
            <w:shd w:val="clear" w:color="auto" w:fill="D9D9D9" w:themeFill="background1" w:themeFillShade="D9"/>
          </w:tcPr>
          <w:p w14:paraId="51548C5F" w14:textId="66F6D85C"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w:t>
            </w:r>
          </w:p>
        </w:tc>
        <w:tc>
          <w:tcPr>
            <w:tcW w:w="2268"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D85187">
        <w:trPr>
          <w:trHeight w:val="114"/>
        </w:trPr>
        <w:tc>
          <w:tcPr>
            <w:tcW w:w="1660" w:type="dxa"/>
          </w:tcPr>
          <w:p w14:paraId="285F43F3" w14:textId="67EA717E" w:rsidR="00940159" w:rsidRPr="00940159" w:rsidRDefault="000D7CEC" w:rsidP="009D52D0">
            <w:pPr>
              <w:spacing w:after="120"/>
              <w:ind w:right="543"/>
              <w:rPr>
                <w:rFonts w:ascii="Arial" w:hAnsi="Arial" w:cs="Arial"/>
                <w:bCs/>
                <w:sz w:val="20"/>
                <w:szCs w:val="20"/>
              </w:rPr>
            </w:pPr>
            <w:r>
              <w:rPr>
                <w:rFonts w:ascii="Arial" w:hAnsi="Arial" w:cs="Arial"/>
                <w:bCs/>
                <w:sz w:val="20"/>
                <w:szCs w:val="20"/>
              </w:rPr>
              <w:t>09</w:t>
            </w:r>
            <w:r w:rsidR="00592BC0">
              <w:rPr>
                <w:rFonts w:ascii="Arial" w:hAnsi="Arial" w:cs="Arial"/>
                <w:bCs/>
                <w:sz w:val="20"/>
                <w:szCs w:val="20"/>
              </w:rPr>
              <w:t>.11.22</w:t>
            </w:r>
          </w:p>
        </w:tc>
        <w:tc>
          <w:tcPr>
            <w:tcW w:w="2120" w:type="dxa"/>
          </w:tcPr>
          <w:p w14:paraId="69BE88AF" w14:textId="4F754E59" w:rsidR="00940159" w:rsidRPr="00940159" w:rsidRDefault="000D7CEC" w:rsidP="009D52D0">
            <w:pPr>
              <w:spacing w:after="120"/>
              <w:ind w:right="543"/>
              <w:rPr>
                <w:rFonts w:ascii="Arial" w:hAnsi="Arial" w:cs="Arial"/>
                <w:bCs/>
                <w:sz w:val="20"/>
                <w:szCs w:val="20"/>
              </w:rPr>
            </w:pPr>
            <w:r>
              <w:rPr>
                <w:rFonts w:ascii="Arial" w:hAnsi="Arial" w:cs="Arial"/>
                <w:bCs/>
                <w:sz w:val="20"/>
                <w:szCs w:val="20"/>
              </w:rPr>
              <w:t>Minor</w:t>
            </w:r>
          </w:p>
        </w:tc>
        <w:tc>
          <w:tcPr>
            <w:tcW w:w="1958" w:type="dxa"/>
          </w:tcPr>
          <w:p w14:paraId="4D8E7F62" w14:textId="398F4DDE" w:rsidR="00940159" w:rsidRPr="00940159" w:rsidRDefault="00592BC0" w:rsidP="009D52D0">
            <w:pPr>
              <w:spacing w:after="120"/>
              <w:ind w:right="543"/>
              <w:rPr>
                <w:rFonts w:ascii="Arial" w:hAnsi="Arial" w:cs="Arial"/>
                <w:bCs/>
                <w:sz w:val="20"/>
                <w:szCs w:val="20"/>
              </w:rPr>
            </w:pPr>
            <w:r>
              <w:rPr>
                <w:rFonts w:ascii="Arial" w:hAnsi="Arial" w:cs="Arial"/>
                <w:bCs/>
                <w:sz w:val="20"/>
                <w:szCs w:val="20"/>
              </w:rPr>
              <w:t>S</w:t>
            </w:r>
            <w:r w:rsidR="000D7CEC">
              <w:rPr>
                <w:rFonts w:ascii="Arial" w:hAnsi="Arial" w:cs="Arial"/>
                <w:bCs/>
                <w:sz w:val="20"/>
                <w:szCs w:val="20"/>
              </w:rPr>
              <w:t>eptember</w:t>
            </w:r>
            <w:r w:rsidR="00D85187">
              <w:rPr>
                <w:rFonts w:ascii="Arial" w:hAnsi="Arial" w:cs="Arial"/>
                <w:bCs/>
                <w:sz w:val="20"/>
                <w:szCs w:val="20"/>
              </w:rPr>
              <w:t xml:space="preserve"> </w:t>
            </w:r>
            <w:r>
              <w:rPr>
                <w:rFonts w:ascii="Arial" w:hAnsi="Arial" w:cs="Arial"/>
                <w:bCs/>
                <w:sz w:val="20"/>
                <w:szCs w:val="20"/>
              </w:rPr>
              <w:t>2023</w:t>
            </w:r>
          </w:p>
        </w:tc>
        <w:tc>
          <w:tcPr>
            <w:tcW w:w="2621" w:type="dxa"/>
          </w:tcPr>
          <w:p w14:paraId="6EB9BC53" w14:textId="4729A2DA" w:rsidR="00940159" w:rsidRPr="00940159" w:rsidRDefault="007B7E48" w:rsidP="009D52D0">
            <w:pPr>
              <w:spacing w:after="120"/>
              <w:ind w:right="543"/>
              <w:rPr>
                <w:rFonts w:ascii="Arial" w:hAnsi="Arial" w:cs="Arial"/>
                <w:bCs/>
                <w:sz w:val="20"/>
                <w:szCs w:val="20"/>
              </w:rPr>
            </w:pPr>
            <w:r>
              <w:rPr>
                <w:rFonts w:ascii="Arial" w:hAnsi="Arial" w:cs="Arial"/>
                <w:bCs/>
                <w:sz w:val="20"/>
                <w:szCs w:val="20"/>
              </w:rPr>
              <w:t>New cohorts</w:t>
            </w:r>
          </w:p>
        </w:tc>
        <w:tc>
          <w:tcPr>
            <w:tcW w:w="2268" w:type="dxa"/>
          </w:tcPr>
          <w:p w14:paraId="667AA14E" w14:textId="472CC8CE" w:rsidR="00940159" w:rsidRPr="00940159" w:rsidRDefault="007B7E48" w:rsidP="009D52D0">
            <w:pPr>
              <w:spacing w:after="120"/>
              <w:ind w:right="543"/>
              <w:rPr>
                <w:rFonts w:ascii="Arial" w:hAnsi="Arial" w:cs="Arial"/>
                <w:bCs/>
                <w:sz w:val="20"/>
                <w:szCs w:val="20"/>
              </w:rPr>
            </w:pPr>
            <w:r>
              <w:rPr>
                <w:rFonts w:ascii="Arial" w:hAnsi="Arial" w:cs="Arial"/>
                <w:sz w:val="24"/>
                <w:szCs w:val="24"/>
              </w:rPr>
              <w:t>7, 1</w:t>
            </w:r>
            <w:r w:rsidR="00F62E57">
              <w:rPr>
                <w:rFonts w:ascii="Arial" w:hAnsi="Arial" w:cs="Arial"/>
                <w:sz w:val="24"/>
                <w:szCs w:val="24"/>
              </w:rPr>
              <w:t>3</w:t>
            </w:r>
          </w:p>
        </w:tc>
      </w:tr>
      <w:tr w:rsidR="00940159" w14:paraId="25471D9C" w14:textId="77777777" w:rsidTr="00D85187">
        <w:tc>
          <w:tcPr>
            <w:tcW w:w="1660" w:type="dxa"/>
          </w:tcPr>
          <w:p w14:paraId="7FB05D16" w14:textId="4319C8B0" w:rsidR="00940159" w:rsidRPr="00940159" w:rsidRDefault="009846D9" w:rsidP="009D52D0">
            <w:pPr>
              <w:spacing w:after="120"/>
              <w:ind w:right="543"/>
              <w:rPr>
                <w:rFonts w:ascii="Arial" w:hAnsi="Arial" w:cs="Arial"/>
                <w:bCs/>
                <w:sz w:val="20"/>
                <w:szCs w:val="20"/>
              </w:rPr>
            </w:pPr>
            <w:r>
              <w:rPr>
                <w:rFonts w:ascii="Arial" w:hAnsi="Arial" w:cs="Arial"/>
                <w:bCs/>
                <w:sz w:val="20"/>
                <w:szCs w:val="20"/>
              </w:rPr>
              <w:t>18.08.23</w:t>
            </w:r>
          </w:p>
        </w:tc>
        <w:tc>
          <w:tcPr>
            <w:tcW w:w="2120" w:type="dxa"/>
          </w:tcPr>
          <w:p w14:paraId="2BF00E3A" w14:textId="636A2D4D" w:rsidR="00940159" w:rsidRPr="00940159" w:rsidRDefault="009846D9" w:rsidP="009D52D0">
            <w:pPr>
              <w:spacing w:after="120"/>
              <w:ind w:right="543"/>
              <w:rPr>
                <w:rFonts w:ascii="Arial" w:hAnsi="Arial" w:cs="Arial"/>
                <w:bCs/>
                <w:sz w:val="20"/>
                <w:szCs w:val="20"/>
              </w:rPr>
            </w:pPr>
            <w:r>
              <w:rPr>
                <w:rFonts w:ascii="Arial" w:hAnsi="Arial" w:cs="Arial"/>
                <w:bCs/>
                <w:sz w:val="20"/>
                <w:szCs w:val="20"/>
              </w:rPr>
              <w:t>Major</w:t>
            </w:r>
          </w:p>
        </w:tc>
        <w:tc>
          <w:tcPr>
            <w:tcW w:w="1958" w:type="dxa"/>
          </w:tcPr>
          <w:p w14:paraId="335E9D04" w14:textId="21B1B0AB" w:rsidR="00940159" w:rsidRPr="00940159" w:rsidRDefault="009846D9" w:rsidP="009D52D0">
            <w:pPr>
              <w:spacing w:after="120"/>
              <w:ind w:right="543"/>
              <w:rPr>
                <w:rFonts w:ascii="Arial" w:hAnsi="Arial" w:cs="Arial"/>
                <w:bCs/>
                <w:sz w:val="20"/>
                <w:szCs w:val="20"/>
              </w:rPr>
            </w:pPr>
            <w:r>
              <w:rPr>
                <w:rFonts w:ascii="Arial" w:hAnsi="Arial" w:cs="Arial"/>
                <w:bCs/>
                <w:sz w:val="20"/>
                <w:szCs w:val="20"/>
              </w:rPr>
              <w:t>Sept 23</w:t>
            </w:r>
          </w:p>
        </w:tc>
        <w:tc>
          <w:tcPr>
            <w:tcW w:w="2621" w:type="dxa"/>
          </w:tcPr>
          <w:p w14:paraId="4FBA630A" w14:textId="014FDBE2" w:rsidR="00940159" w:rsidRPr="00940159" w:rsidRDefault="009846D9" w:rsidP="009D52D0">
            <w:pPr>
              <w:spacing w:after="120"/>
              <w:ind w:right="543"/>
              <w:rPr>
                <w:rFonts w:ascii="Arial" w:hAnsi="Arial" w:cs="Arial"/>
                <w:bCs/>
                <w:sz w:val="20"/>
                <w:szCs w:val="20"/>
              </w:rPr>
            </w:pPr>
            <w:r>
              <w:rPr>
                <w:rFonts w:ascii="Arial" w:hAnsi="Arial" w:cs="Arial"/>
                <w:bCs/>
                <w:sz w:val="20"/>
                <w:szCs w:val="20"/>
              </w:rPr>
              <w:t>New</w:t>
            </w:r>
          </w:p>
        </w:tc>
        <w:tc>
          <w:tcPr>
            <w:tcW w:w="2268" w:type="dxa"/>
          </w:tcPr>
          <w:p w14:paraId="3C766680" w14:textId="4CCADE4B" w:rsidR="00940159" w:rsidRPr="00940159" w:rsidRDefault="009846D9" w:rsidP="009D52D0">
            <w:pPr>
              <w:spacing w:after="120"/>
              <w:ind w:right="543"/>
              <w:rPr>
                <w:rFonts w:ascii="Arial" w:hAnsi="Arial" w:cs="Arial"/>
                <w:bCs/>
                <w:sz w:val="20"/>
                <w:szCs w:val="20"/>
              </w:rPr>
            </w:pPr>
            <w:r>
              <w:rPr>
                <w:rFonts w:ascii="Arial" w:hAnsi="Arial" w:cs="Arial"/>
                <w:bCs/>
                <w:sz w:val="20"/>
                <w:szCs w:val="20"/>
              </w:rPr>
              <w:t>15.2 pass compulsory element removed</w:t>
            </w:r>
          </w:p>
        </w:tc>
      </w:tr>
      <w:tr w:rsidR="00940159" w14:paraId="1A7622B4" w14:textId="77777777" w:rsidTr="00D85187">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2621" w:type="dxa"/>
          </w:tcPr>
          <w:p w14:paraId="435D5F45" w14:textId="77777777" w:rsidR="00940159" w:rsidRPr="00940159" w:rsidRDefault="00940159" w:rsidP="009D52D0">
            <w:pPr>
              <w:spacing w:after="120"/>
              <w:ind w:right="543"/>
              <w:rPr>
                <w:rFonts w:ascii="Arial" w:hAnsi="Arial" w:cs="Arial"/>
                <w:bCs/>
                <w:sz w:val="20"/>
                <w:szCs w:val="20"/>
              </w:rPr>
            </w:pPr>
          </w:p>
        </w:tc>
        <w:tc>
          <w:tcPr>
            <w:tcW w:w="2268" w:type="dxa"/>
          </w:tcPr>
          <w:p w14:paraId="701CC31D" w14:textId="77777777" w:rsidR="00940159" w:rsidRPr="00940159" w:rsidRDefault="00940159" w:rsidP="009D52D0">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9E3B" w14:textId="77777777" w:rsidR="00CE3130" w:rsidRDefault="00CE3130" w:rsidP="009A2D37">
      <w:pPr>
        <w:spacing w:after="0" w:line="240" w:lineRule="auto"/>
      </w:pPr>
      <w:r>
        <w:separator/>
      </w:r>
    </w:p>
  </w:endnote>
  <w:endnote w:type="continuationSeparator" w:id="0">
    <w:p w14:paraId="1956F2B2" w14:textId="77777777" w:rsidR="00CE3130" w:rsidRDefault="00CE3130" w:rsidP="009A2D37">
      <w:pPr>
        <w:spacing w:after="0" w:line="240" w:lineRule="auto"/>
      </w:pPr>
      <w:r>
        <w:continuationSeparator/>
      </w:r>
    </w:p>
  </w:endnote>
  <w:endnote w:type="continuationNotice" w:id="1">
    <w:p w14:paraId="77B014AA" w14:textId="77777777" w:rsidR="00CE3130" w:rsidRDefault="00CE3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3176" w14:textId="77777777" w:rsidR="00CE3130" w:rsidRDefault="00CE3130" w:rsidP="009A2D37">
      <w:pPr>
        <w:spacing w:after="0" w:line="240" w:lineRule="auto"/>
      </w:pPr>
      <w:r>
        <w:separator/>
      </w:r>
    </w:p>
  </w:footnote>
  <w:footnote w:type="continuationSeparator" w:id="0">
    <w:p w14:paraId="736AAF22" w14:textId="77777777" w:rsidR="00CE3130" w:rsidRDefault="00CE3130" w:rsidP="009A2D37">
      <w:pPr>
        <w:spacing w:after="0" w:line="240" w:lineRule="auto"/>
      </w:pPr>
      <w:r>
        <w:continuationSeparator/>
      </w:r>
    </w:p>
  </w:footnote>
  <w:footnote w:type="continuationNotice" w:id="1">
    <w:p w14:paraId="1249C333" w14:textId="77777777" w:rsidR="00CE3130" w:rsidRDefault="00CE31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9846D9">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9846D9"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52793"/>
    <w:multiLevelType w:val="hybridMultilevel"/>
    <w:tmpl w:val="B67AE4C2"/>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4"/>
  </w:num>
  <w:num w:numId="6" w16cid:durableId="165873856">
    <w:abstractNumId w:val="12"/>
  </w:num>
  <w:num w:numId="7" w16cid:durableId="878670021">
    <w:abstractNumId w:val="17"/>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8"/>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6"/>
  </w:num>
  <w:num w:numId="19" w16cid:durableId="2046520008">
    <w:abstractNumId w:val="9"/>
  </w:num>
  <w:num w:numId="20" w16cid:durableId="1236865331">
    <w:abstractNumId w:val="11"/>
  </w:num>
  <w:num w:numId="21" w16cid:durableId="1002777488">
    <w:abstractNumId w:val="15"/>
  </w:num>
  <w:num w:numId="22" w16cid:durableId="6296747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34830"/>
    <w:rsid w:val="000408CC"/>
    <w:rsid w:val="00045373"/>
    <w:rsid w:val="00063A2F"/>
    <w:rsid w:val="000674E0"/>
    <w:rsid w:val="000678D3"/>
    <w:rsid w:val="00072357"/>
    <w:rsid w:val="00082A9B"/>
    <w:rsid w:val="00094810"/>
    <w:rsid w:val="00096DA4"/>
    <w:rsid w:val="00097B4B"/>
    <w:rsid w:val="000A0E79"/>
    <w:rsid w:val="000C0294"/>
    <w:rsid w:val="000C3A7E"/>
    <w:rsid w:val="000C7A1C"/>
    <w:rsid w:val="000D06F1"/>
    <w:rsid w:val="000D2A8A"/>
    <w:rsid w:val="000D32AC"/>
    <w:rsid w:val="000D38EF"/>
    <w:rsid w:val="000D7CE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24040"/>
    <w:rsid w:val="0012751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3410"/>
    <w:rsid w:val="001B47AE"/>
    <w:rsid w:val="001C1787"/>
    <w:rsid w:val="001C4A85"/>
    <w:rsid w:val="001C5443"/>
    <w:rsid w:val="001C59A0"/>
    <w:rsid w:val="001D0C7D"/>
    <w:rsid w:val="001D1F2D"/>
    <w:rsid w:val="001D2314"/>
    <w:rsid w:val="001D6398"/>
    <w:rsid w:val="001E0212"/>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1C8F"/>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2F5EB8"/>
    <w:rsid w:val="002F695E"/>
    <w:rsid w:val="003018E3"/>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0ED1"/>
    <w:rsid w:val="00402ED7"/>
    <w:rsid w:val="00405838"/>
    <w:rsid w:val="004114F8"/>
    <w:rsid w:val="00415177"/>
    <w:rsid w:val="00421178"/>
    <w:rsid w:val="00422B69"/>
    <w:rsid w:val="004234FC"/>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87E28"/>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01CB"/>
    <w:rsid w:val="005460C2"/>
    <w:rsid w:val="005526FB"/>
    <w:rsid w:val="0055280A"/>
    <w:rsid w:val="00553D19"/>
    <w:rsid w:val="005548E1"/>
    <w:rsid w:val="0055585D"/>
    <w:rsid w:val="005579DA"/>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2BC0"/>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4F08"/>
    <w:rsid w:val="00602A1C"/>
    <w:rsid w:val="006043FC"/>
    <w:rsid w:val="006050CF"/>
    <w:rsid w:val="00605D98"/>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77CC9"/>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6F24"/>
    <w:rsid w:val="006E413A"/>
    <w:rsid w:val="006E4FEA"/>
    <w:rsid w:val="006F1A15"/>
    <w:rsid w:val="006F3A9E"/>
    <w:rsid w:val="006F3F8B"/>
    <w:rsid w:val="006F4EA1"/>
    <w:rsid w:val="00700488"/>
    <w:rsid w:val="00703404"/>
    <w:rsid w:val="00703F92"/>
    <w:rsid w:val="00704637"/>
    <w:rsid w:val="00704F52"/>
    <w:rsid w:val="0070669E"/>
    <w:rsid w:val="007105E4"/>
    <w:rsid w:val="00710647"/>
    <w:rsid w:val="00714EE5"/>
    <w:rsid w:val="00720270"/>
    <w:rsid w:val="00723ECF"/>
    <w:rsid w:val="00724362"/>
    <w:rsid w:val="00727780"/>
    <w:rsid w:val="0073792C"/>
    <w:rsid w:val="00745A1D"/>
    <w:rsid w:val="00753500"/>
    <w:rsid w:val="00754069"/>
    <w:rsid w:val="0076524D"/>
    <w:rsid w:val="00765ED0"/>
    <w:rsid w:val="007667DF"/>
    <w:rsid w:val="00770077"/>
    <w:rsid w:val="0077080B"/>
    <w:rsid w:val="00787070"/>
    <w:rsid w:val="007906FD"/>
    <w:rsid w:val="007946C0"/>
    <w:rsid w:val="00794D4A"/>
    <w:rsid w:val="00797197"/>
    <w:rsid w:val="007972A7"/>
    <w:rsid w:val="007A1627"/>
    <w:rsid w:val="007A2BA2"/>
    <w:rsid w:val="007A3F31"/>
    <w:rsid w:val="007A49C1"/>
    <w:rsid w:val="007A6245"/>
    <w:rsid w:val="007B1DB2"/>
    <w:rsid w:val="007B328C"/>
    <w:rsid w:val="007B375B"/>
    <w:rsid w:val="007B412A"/>
    <w:rsid w:val="007B635E"/>
    <w:rsid w:val="007B7724"/>
    <w:rsid w:val="007B7CDC"/>
    <w:rsid w:val="007B7E48"/>
    <w:rsid w:val="007C738D"/>
    <w:rsid w:val="007C74B4"/>
    <w:rsid w:val="007E3412"/>
    <w:rsid w:val="007F393D"/>
    <w:rsid w:val="007F5C0B"/>
    <w:rsid w:val="00801B45"/>
    <w:rsid w:val="008029AF"/>
    <w:rsid w:val="00802FFA"/>
    <w:rsid w:val="008069DA"/>
    <w:rsid w:val="00806B00"/>
    <w:rsid w:val="008102E5"/>
    <w:rsid w:val="008111B4"/>
    <w:rsid w:val="008133F0"/>
    <w:rsid w:val="00815880"/>
    <w:rsid w:val="0082322C"/>
    <w:rsid w:val="00823942"/>
    <w:rsid w:val="00827FFD"/>
    <w:rsid w:val="00852DC1"/>
    <w:rsid w:val="00853B57"/>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3754"/>
    <w:rsid w:val="008954FC"/>
    <w:rsid w:val="008967B7"/>
    <w:rsid w:val="008A0F36"/>
    <w:rsid w:val="008B0FBE"/>
    <w:rsid w:val="008B2543"/>
    <w:rsid w:val="008B4B6E"/>
    <w:rsid w:val="008D09DE"/>
    <w:rsid w:val="008D4447"/>
    <w:rsid w:val="008D6103"/>
    <w:rsid w:val="008D7401"/>
    <w:rsid w:val="008E50C1"/>
    <w:rsid w:val="008F3455"/>
    <w:rsid w:val="00903DF6"/>
    <w:rsid w:val="00916DF0"/>
    <w:rsid w:val="00921CF6"/>
    <w:rsid w:val="00922E9E"/>
    <w:rsid w:val="00924EF0"/>
    <w:rsid w:val="00926962"/>
    <w:rsid w:val="00934D7B"/>
    <w:rsid w:val="009374D7"/>
    <w:rsid w:val="00940159"/>
    <w:rsid w:val="009467AB"/>
    <w:rsid w:val="00947180"/>
    <w:rsid w:val="009567BE"/>
    <w:rsid w:val="009676FA"/>
    <w:rsid w:val="009679E0"/>
    <w:rsid w:val="00975B36"/>
    <w:rsid w:val="00977420"/>
    <w:rsid w:val="00977632"/>
    <w:rsid w:val="0098229C"/>
    <w:rsid w:val="00982A8E"/>
    <w:rsid w:val="009846D9"/>
    <w:rsid w:val="0098750B"/>
    <w:rsid w:val="00987DB4"/>
    <w:rsid w:val="0099029D"/>
    <w:rsid w:val="00996204"/>
    <w:rsid w:val="009A26CB"/>
    <w:rsid w:val="009A2BC2"/>
    <w:rsid w:val="009A2D37"/>
    <w:rsid w:val="009A7587"/>
    <w:rsid w:val="009B0A69"/>
    <w:rsid w:val="009B4F5B"/>
    <w:rsid w:val="009B71C5"/>
    <w:rsid w:val="009C2474"/>
    <w:rsid w:val="009C7082"/>
    <w:rsid w:val="009D0006"/>
    <w:rsid w:val="009D068C"/>
    <w:rsid w:val="009D0A38"/>
    <w:rsid w:val="009D52D0"/>
    <w:rsid w:val="009F058B"/>
    <w:rsid w:val="009F3A2A"/>
    <w:rsid w:val="009F3C50"/>
    <w:rsid w:val="009F5EA4"/>
    <w:rsid w:val="009F731F"/>
    <w:rsid w:val="009F7D33"/>
    <w:rsid w:val="00A0155B"/>
    <w:rsid w:val="00A021FE"/>
    <w:rsid w:val="00A1270E"/>
    <w:rsid w:val="00A13526"/>
    <w:rsid w:val="00A15342"/>
    <w:rsid w:val="00A15EC7"/>
    <w:rsid w:val="00A2737A"/>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B06A4"/>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36E"/>
    <w:rsid w:val="00C02AA2"/>
    <w:rsid w:val="00C04C95"/>
    <w:rsid w:val="00C12613"/>
    <w:rsid w:val="00C15B1D"/>
    <w:rsid w:val="00C16DEF"/>
    <w:rsid w:val="00C2492F"/>
    <w:rsid w:val="00C25E04"/>
    <w:rsid w:val="00C3744A"/>
    <w:rsid w:val="00C4002A"/>
    <w:rsid w:val="00C420A3"/>
    <w:rsid w:val="00C46912"/>
    <w:rsid w:val="00C469A6"/>
    <w:rsid w:val="00C612A8"/>
    <w:rsid w:val="00C618D2"/>
    <w:rsid w:val="00C67631"/>
    <w:rsid w:val="00C709C6"/>
    <w:rsid w:val="00C72334"/>
    <w:rsid w:val="00C729D7"/>
    <w:rsid w:val="00C83354"/>
    <w:rsid w:val="00C84004"/>
    <w:rsid w:val="00C843F6"/>
    <w:rsid w:val="00C84507"/>
    <w:rsid w:val="00C862C7"/>
    <w:rsid w:val="00C866AE"/>
    <w:rsid w:val="00CA13BD"/>
    <w:rsid w:val="00CA3254"/>
    <w:rsid w:val="00CB0487"/>
    <w:rsid w:val="00CB11CE"/>
    <w:rsid w:val="00CC25A2"/>
    <w:rsid w:val="00CD7F07"/>
    <w:rsid w:val="00CE04F3"/>
    <w:rsid w:val="00CE12D8"/>
    <w:rsid w:val="00CE3130"/>
    <w:rsid w:val="00CE408C"/>
    <w:rsid w:val="00CE4574"/>
    <w:rsid w:val="00CE70E6"/>
    <w:rsid w:val="00CF0BCA"/>
    <w:rsid w:val="00CF2E1E"/>
    <w:rsid w:val="00D02E99"/>
    <w:rsid w:val="00D13357"/>
    <w:rsid w:val="00D13A13"/>
    <w:rsid w:val="00D21016"/>
    <w:rsid w:val="00D2689A"/>
    <w:rsid w:val="00D47A03"/>
    <w:rsid w:val="00D64E21"/>
    <w:rsid w:val="00D65506"/>
    <w:rsid w:val="00D773CF"/>
    <w:rsid w:val="00D83563"/>
    <w:rsid w:val="00D8448F"/>
    <w:rsid w:val="00D84897"/>
    <w:rsid w:val="00D85187"/>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66814"/>
    <w:rsid w:val="00E71F2F"/>
    <w:rsid w:val="00E7202A"/>
    <w:rsid w:val="00E745F6"/>
    <w:rsid w:val="00E77786"/>
    <w:rsid w:val="00E806FB"/>
    <w:rsid w:val="00E83B8F"/>
    <w:rsid w:val="00EA1138"/>
    <w:rsid w:val="00EB0365"/>
    <w:rsid w:val="00EB1C2D"/>
    <w:rsid w:val="00EB41D1"/>
    <w:rsid w:val="00EC1810"/>
    <w:rsid w:val="00EC3FCC"/>
    <w:rsid w:val="00ED32FF"/>
    <w:rsid w:val="00EF039B"/>
    <w:rsid w:val="00EF3D8B"/>
    <w:rsid w:val="00EF4933"/>
    <w:rsid w:val="00EF5044"/>
    <w:rsid w:val="00EF5209"/>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148"/>
    <w:rsid w:val="00F43542"/>
    <w:rsid w:val="00F44BAB"/>
    <w:rsid w:val="00F454E2"/>
    <w:rsid w:val="00F522B8"/>
    <w:rsid w:val="00F527CB"/>
    <w:rsid w:val="00F562AA"/>
    <w:rsid w:val="00F576A9"/>
    <w:rsid w:val="00F62E57"/>
    <w:rsid w:val="00F66975"/>
    <w:rsid w:val="00F7105A"/>
    <w:rsid w:val="00F7144F"/>
    <w:rsid w:val="00F7710E"/>
    <w:rsid w:val="00F7740F"/>
    <w:rsid w:val="00F77676"/>
    <w:rsid w:val="00F8197C"/>
    <w:rsid w:val="00F82B4E"/>
    <w:rsid w:val="00F87559"/>
    <w:rsid w:val="00F95D93"/>
    <w:rsid w:val="00F96D71"/>
    <w:rsid w:val="00F97C9E"/>
    <w:rsid w:val="00FA20DE"/>
    <w:rsid w:val="00FA4EE8"/>
    <w:rsid w:val="00FB12CA"/>
    <w:rsid w:val="00FB2E32"/>
    <w:rsid w:val="00FB36EC"/>
    <w:rsid w:val="00FB4E1B"/>
    <w:rsid w:val="00FC0291"/>
    <w:rsid w:val="00FC1C92"/>
    <w:rsid w:val="00FC217A"/>
    <w:rsid w:val="00FC2229"/>
    <w:rsid w:val="00FC7A4F"/>
    <w:rsid w:val="00FD18CA"/>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character" w:customStyle="1" w:styleId="normaltextrun">
    <w:name w:val="normaltextrun"/>
    <w:basedOn w:val="DefaultParagraphFont"/>
    <w:rsid w:val="00592BC0"/>
  </w:style>
  <w:style w:type="character" w:customStyle="1" w:styleId="eop">
    <w:name w:val="eop"/>
    <w:basedOn w:val="DefaultParagraphFont"/>
    <w:rsid w:val="00592BC0"/>
  </w:style>
  <w:style w:type="paragraph" w:customStyle="1" w:styleId="Normal1">
    <w:name w:val="Normal1"/>
    <w:rsid w:val="009B71C5"/>
    <w:pPr>
      <w:pBdr>
        <w:top w:val="nil"/>
        <w:left w:val="nil"/>
        <w:bottom w:val="nil"/>
        <w:right w:val="nil"/>
        <w:between w:val="nil"/>
      </w:pBdr>
      <w:spacing w:after="0"/>
    </w:pPr>
    <w:rPr>
      <w:rFonts w:ascii="Arial" w:eastAsia="Arial" w:hAnsi="Arial" w:cs="Arial"/>
      <w:color w:val="000000"/>
      <w:lang w:eastAsia="de-DE"/>
    </w:rPr>
  </w:style>
  <w:style w:type="paragraph" w:styleId="NoSpacing">
    <w:name w:val="No Spacing"/>
    <w:uiPriority w:val="1"/>
    <w:qFormat/>
    <w:rsid w:val="00400ED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5276610">
      <w:bodyDiv w:val="1"/>
      <w:marLeft w:val="0"/>
      <w:marRight w:val="0"/>
      <w:marTop w:val="0"/>
      <w:marBottom w:val="0"/>
      <w:divBdr>
        <w:top w:val="none" w:sz="0" w:space="0" w:color="auto"/>
        <w:left w:val="none" w:sz="0" w:space="0" w:color="auto"/>
        <w:bottom w:val="none" w:sz="0" w:space="0" w:color="auto"/>
        <w:right w:val="none" w:sz="0" w:space="0" w:color="auto"/>
      </w:divBdr>
      <w:divsChild>
        <w:div w:id="124929884">
          <w:marLeft w:val="0"/>
          <w:marRight w:val="0"/>
          <w:marTop w:val="0"/>
          <w:marBottom w:val="0"/>
          <w:divBdr>
            <w:top w:val="none" w:sz="0" w:space="0" w:color="auto"/>
            <w:left w:val="none" w:sz="0" w:space="0" w:color="auto"/>
            <w:bottom w:val="none" w:sz="0" w:space="0" w:color="auto"/>
            <w:right w:val="none" w:sz="0" w:space="0" w:color="auto"/>
          </w:divBdr>
          <w:divsChild>
            <w:div w:id="469446506">
              <w:marLeft w:val="0"/>
              <w:marRight w:val="0"/>
              <w:marTop w:val="0"/>
              <w:marBottom w:val="0"/>
              <w:divBdr>
                <w:top w:val="none" w:sz="0" w:space="0" w:color="auto"/>
                <w:left w:val="none" w:sz="0" w:space="0" w:color="auto"/>
                <w:bottom w:val="none" w:sz="0" w:space="0" w:color="auto"/>
                <w:right w:val="none" w:sz="0" w:space="0" w:color="auto"/>
              </w:divBdr>
            </w:div>
          </w:divsChild>
        </w:div>
        <w:div w:id="1300266197">
          <w:marLeft w:val="0"/>
          <w:marRight w:val="0"/>
          <w:marTop w:val="0"/>
          <w:marBottom w:val="0"/>
          <w:divBdr>
            <w:top w:val="none" w:sz="0" w:space="0" w:color="auto"/>
            <w:left w:val="none" w:sz="0" w:space="0" w:color="auto"/>
            <w:bottom w:val="none" w:sz="0" w:space="0" w:color="auto"/>
            <w:right w:val="none" w:sz="0" w:space="0" w:color="auto"/>
          </w:divBdr>
          <w:divsChild>
            <w:div w:id="683674300">
              <w:marLeft w:val="0"/>
              <w:marRight w:val="0"/>
              <w:marTop w:val="0"/>
              <w:marBottom w:val="0"/>
              <w:divBdr>
                <w:top w:val="none" w:sz="0" w:space="0" w:color="auto"/>
                <w:left w:val="none" w:sz="0" w:space="0" w:color="auto"/>
                <w:bottom w:val="none" w:sz="0" w:space="0" w:color="auto"/>
                <w:right w:val="none" w:sz="0" w:space="0" w:color="auto"/>
              </w:divBdr>
            </w:div>
          </w:divsChild>
        </w:div>
        <w:div w:id="128060611">
          <w:marLeft w:val="0"/>
          <w:marRight w:val="0"/>
          <w:marTop w:val="0"/>
          <w:marBottom w:val="0"/>
          <w:divBdr>
            <w:top w:val="none" w:sz="0" w:space="0" w:color="auto"/>
            <w:left w:val="none" w:sz="0" w:space="0" w:color="auto"/>
            <w:bottom w:val="none" w:sz="0" w:space="0" w:color="auto"/>
            <w:right w:val="none" w:sz="0" w:space="0" w:color="auto"/>
          </w:divBdr>
          <w:divsChild>
            <w:div w:id="380831428">
              <w:marLeft w:val="0"/>
              <w:marRight w:val="0"/>
              <w:marTop w:val="0"/>
              <w:marBottom w:val="0"/>
              <w:divBdr>
                <w:top w:val="none" w:sz="0" w:space="0" w:color="auto"/>
                <w:left w:val="none" w:sz="0" w:space="0" w:color="auto"/>
                <w:bottom w:val="none" w:sz="0" w:space="0" w:color="auto"/>
                <w:right w:val="none" w:sz="0" w:space="0" w:color="auto"/>
              </w:divBdr>
            </w:div>
          </w:divsChild>
        </w:div>
        <w:div w:id="225843743">
          <w:marLeft w:val="0"/>
          <w:marRight w:val="0"/>
          <w:marTop w:val="0"/>
          <w:marBottom w:val="0"/>
          <w:divBdr>
            <w:top w:val="none" w:sz="0" w:space="0" w:color="auto"/>
            <w:left w:val="none" w:sz="0" w:space="0" w:color="auto"/>
            <w:bottom w:val="none" w:sz="0" w:space="0" w:color="auto"/>
            <w:right w:val="none" w:sz="0" w:space="0" w:color="auto"/>
          </w:divBdr>
          <w:divsChild>
            <w:div w:id="3795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131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BF0D96E2-9226-438A-B1AE-FF8DD813544C}"/>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2023-08-18T13:59:00Z</dcterms:created>
  <dcterms:modified xsi:type="dcterms:W3CDTF">2023-08-18T13:59:00Z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