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EE0481">
      <w:pPr>
        <w:pStyle w:val="Heading2"/>
        <w:spacing w:before="0"/>
      </w:pPr>
      <w:r>
        <w:t>KentVision Code and t</w:t>
      </w:r>
      <w:r w:rsidR="009A2D37" w:rsidRPr="00072357">
        <w:t>itle of the module</w:t>
      </w:r>
    </w:p>
    <w:p w14:paraId="4AE52586" w14:textId="59169075" w:rsidR="009A2D37" w:rsidRPr="00694B52" w:rsidRDefault="00367F55" w:rsidP="00011ACA">
      <w:pPr>
        <w:pStyle w:val="BodyText"/>
      </w:pPr>
      <w:r>
        <w:t>ECON5450 Economics of the Labour Market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F57FEC3" w:rsidR="009A2D37" w:rsidRDefault="00367F55" w:rsidP="00011ACA">
      <w:pPr>
        <w:pStyle w:val="BodyText"/>
      </w:pPr>
      <w:r>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4E2D58A" w:rsidR="009A2D37" w:rsidRDefault="00367F55" w:rsidP="00011ACA">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CCF6A84" w:rsidR="009A2D37" w:rsidRDefault="00367F55" w:rsidP="00011ACA">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480B2F5D" w:rsidR="009A2D37" w:rsidRDefault="00367F55" w:rsidP="00011ACA">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133DFF7" w14:textId="0496B60C" w:rsidR="00367F55" w:rsidRPr="00214C11" w:rsidRDefault="00367F55" w:rsidP="00011ACA">
      <w:pPr>
        <w:pStyle w:val="BodyText"/>
        <w:rPr>
          <w:lang w:val="it-IT"/>
        </w:rPr>
      </w:pPr>
      <w:r w:rsidRPr="00214C11">
        <w:rPr>
          <w:lang w:val="it-IT"/>
        </w:rPr>
        <w:t xml:space="preserve">ECON5000 </w:t>
      </w:r>
      <w:proofErr w:type="spellStart"/>
      <w:r w:rsidRPr="00214C11">
        <w:rPr>
          <w:lang w:val="it-IT"/>
        </w:rPr>
        <w:t>Microeconomics</w:t>
      </w:r>
      <w:proofErr w:type="spellEnd"/>
      <w:r w:rsidRPr="00214C11">
        <w:rPr>
          <w:lang w:val="it-IT"/>
        </w:rPr>
        <w:t xml:space="preserve"> </w:t>
      </w:r>
      <w:r w:rsidRPr="00214C11">
        <w:rPr>
          <w:lang w:val="it-IT"/>
        </w:rPr>
        <w:tab/>
      </w:r>
      <w:proofErr w:type="spellStart"/>
      <w:r w:rsidRPr="00214C11">
        <w:rPr>
          <w:lang w:val="it-IT"/>
        </w:rPr>
        <w:t>Prerequisite</w:t>
      </w:r>
      <w:proofErr w:type="spellEnd"/>
      <w:r w:rsidRPr="00214C11">
        <w:rPr>
          <w:lang w:val="it-IT"/>
        </w:rPr>
        <w:t xml:space="preserve"> </w:t>
      </w:r>
    </w:p>
    <w:p w14:paraId="5AC1E0F6" w14:textId="3F45C92E" w:rsidR="009A2D37" w:rsidRPr="00214C11" w:rsidRDefault="00367F55" w:rsidP="00011ACA">
      <w:pPr>
        <w:pStyle w:val="BodyText"/>
        <w:rPr>
          <w:lang w:val="it-IT"/>
        </w:rPr>
      </w:pPr>
      <w:r w:rsidRPr="00214C11">
        <w:rPr>
          <w:lang w:val="it-IT"/>
        </w:rPr>
        <w:t xml:space="preserve">ECON5020 </w:t>
      </w:r>
      <w:proofErr w:type="spellStart"/>
      <w:r w:rsidRPr="00214C11">
        <w:rPr>
          <w:lang w:val="it-IT"/>
        </w:rPr>
        <w:t>Macroeconomics</w:t>
      </w:r>
      <w:proofErr w:type="spellEnd"/>
      <w:r w:rsidRPr="00214C11">
        <w:rPr>
          <w:lang w:val="it-IT"/>
        </w:rPr>
        <w:t xml:space="preserve"> </w:t>
      </w:r>
      <w:r w:rsidRPr="00214C11">
        <w:rPr>
          <w:lang w:val="it-IT"/>
        </w:rPr>
        <w:tab/>
      </w:r>
      <w:proofErr w:type="spellStart"/>
      <w:r w:rsidRPr="00214C11">
        <w:rPr>
          <w:lang w:val="it-IT"/>
        </w:rPr>
        <w:t>Prerequisite</w:t>
      </w:r>
      <w:proofErr w:type="spellEnd"/>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05112AE" w14:textId="0EF4F614" w:rsidR="00367F55" w:rsidRPr="00DB453C" w:rsidRDefault="00367F55" w:rsidP="00011ACA">
      <w:pPr>
        <w:pStyle w:val="BodyText"/>
      </w:pPr>
      <w:r w:rsidRPr="00DB453C">
        <w:t xml:space="preserve">This is an </w:t>
      </w:r>
      <w:r w:rsidR="00214C11">
        <w:t xml:space="preserve">optional </w:t>
      </w:r>
      <w:r w:rsidRPr="00DB453C">
        <w:t xml:space="preserve">module for all Single and Joint Honours Degree </w:t>
      </w:r>
      <w:r>
        <w:t xml:space="preserve">courses </w:t>
      </w:r>
      <w:r w:rsidRPr="00DB453C">
        <w:t>in Economics.</w:t>
      </w:r>
    </w:p>
    <w:p w14:paraId="114648E6" w14:textId="77777777" w:rsidR="00367F55" w:rsidRPr="00DB453C" w:rsidRDefault="00367F55" w:rsidP="00011ACA">
      <w:pPr>
        <w:pStyle w:val="BodyText"/>
        <w:rPr>
          <w:color w:val="000000" w:themeColor="text1"/>
        </w:rPr>
      </w:pPr>
      <w:r w:rsidRPr="00DB453C">
        <w:rPr>
          <w:color w:val="000000" w:themeColor="text1"/>
        </w:rPr>
        <w:t xml:space="preserve">The module is </w:t>
      </w:r>
      <w:r w:rsidRPr="00DB453C">
        <w:rPr>
          <w:b/>
          <w:color w:val="000000" w:themeColor="text1"/>
        </w:rPr>
        <w:t xml:space="preserve">NOT </w:t>
      </w:r>
      <w:r w:rsidRPr="00DB453C">
        <w:rPr>
          <w:color w:val="000000" w:themeColor="text1"/>
        </w:rPr>
        <w:t xml:space="preserve">available to students across other degree </w:t>
      </w:r>
      <w:r>
        <w:rPr>
          <w:color w:val="000000" w:themeColor="text1"/>
        </w:rPr>
        <w:t>courses</w:t>
      </w:r>
      <w:r w:rsidRPr="00DB453C">
        <w:rPr>
          <w:color w:val="000000" w:themeColor="text1"/>
        </w:rPr>
        <w:t xml:space="preserve"> in the University</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A114865" w14:textId="4AC3C392" w:rsidR="001212C1" w:rsidRPr="00DB453C" w:rsidRDefault="001212C1" w:rsidP="00EE0481">
      <w:pPr>
        <w:pStyle w:val="ListNumber2"/>
        <w:numPr>
          <w:ilvl w:val="1"/>
          <w:numId w:val="25"/>
        </w:numPr>
        <w:ind w:left="1021" w:hanging="454"/>
      </w:pPr>
      <w:r w:rsidRPr="00DB453C">
        <w:t>Demonstrate knowledge and critical understanding of labour market outcomes and their relevance to policy debates</w:t>
      </w:r>
      <w:r w:rsidR="00214C11">
        <w:t>.</w:t>
      </w:r>
      <w:r w:rsidRPr="00DB453C">
        <w:t xml:space="preserve"> </w:t>
      </w:r>
    </w:p>
    <w:p w14:paraId="041335D8" w14:textId="57155991" w:rsidR="001212C1" w:rsidRPr="00DB453C" w:rsidRDefault="001212C1" w:rsidP="00EE0481">
      <w:pPr>
        <w:pStyle w:val="ListNumber2"/>
        <w:numPr>
          <w:ilvl w:val="1"/>
          <w:numId w:val="25"/>
        </w:numPr>
        <w:ind w:left="1021" w:hanging="454"/>
      </w:pPr>
      <w:r w:rsidRPr="00DB453C">
        <w:t>Critically evaluate the role and contribution of labour market institutions</w:t>
      </w:r>
      <w:r w:rsidR="00214C11">
        <w:t>.</w:t>
      </w:r>
    </w:p>
    <w:p w14:paraId="7005495A" w14:textId="6CA6830A" w:rsidR="001212C1" w:rsidRPr="00DB453C" w:rsidRDefault="001212C1" w:rsidP="00EE0481">
      <w:pPr>
        <w:pStyle w:val="ListNumber2"/>
        <w:numPr>
          <w:ilvl w:val="1"/>
          <w:numId w:val="25"/>
        </w:numPr>
        <w:ind w:left="1021" w:hanging="454"/>
      </w:pPr>
      <w:r w:rsidRPr="00DB453C">
        <w:t>Understand how economic data can be used to address policy relevant questions and the problems that arise in this consideration</w:t>
      </w:r>
      <w:r w:rsidR="00214C11">
        <w:t>.</w:t>
      </w:r>
      <w:r w:rsidRPr="00DB453C">
        <w:t xml:space="preserve"> </w:t>
      </w:r>
    </w:p>
    <w:p w14:paraId="15DBF024" w14:textId="1B3909DC" w:rsidR="001212C1" w:rsidRPr="00DB453C" w:rsidRDefault="001212C1" w:rsidP="00EE0481">
      <w:pPr>
        <w:pStyle w:val="ListNumber2"/>
        <w:numPr>
          <w:ilvl w:val="1"/>
          <w:numId w:val="25"/>
        </w:numPr>
        <w:ind w:left="1021" w:hanging="454"/>
      </w:pPr>
      <w:r w:rsidRPr="00DB453C">
        <w:t>Demonstrate knowledge and critical understanding of recent debates in labour economics</w:t>
      </w:r>
      <w:r w:rsidR="00214C11">
        <w:t>.</w:t>
      </w:r>
    </w:p>
    <w:p w14:paraId="31986507" w14:textId="4401C476" w:rsidR="001212C1" w:rsidRPr="00DB453C" w:rsidRDefault="001212C1" w:rsidP="00EE0481">
      <w:pPr>
        <w:pStyle w:val="ListNumber2"/>
        <w:numPr>
          <w:ilvl w:val="1"/>
          <w:numId w:val="25"/>
        </w:numPr>
        <w:ind w:left="1021" w:hanging="454"/>
      </w:pPr>
      <w:r w:rsidRPr="00DB453C">
        <w:t>Demonstrate understanding of why and how economists differ in their analyses of labour markets</w:t>
      </w:r>
      <w:r w:rsidR="00214C11">
        <w:t>.</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3BA90626" w14:textId="446A66D7" w:rsidR="001212C1" w:rsidRPr="00DB453C" w:rsidRDefault="001212C1" w:rsidP="00EE0481">
      <w:pPr>
        <w:pStyle w:val="ListNumber2"/>
        <w:numPr>
          <w:ilvl w:val="1"/>
          <w:numId w:val="29"/>
        </w:numPr>
        <w:ind w:left="993" w:hanging="426"/>
      </w:pPr>
      <w:r w:rsidRPr="00DB453C">
        <w:t xml:space="preserve">Reflect critically on the application of </w:t>
      </w:r>
      <w:r w:rsidR="00DE2F8D">
        <w:t xml:space="preserve">different theories </w:t>
      </w:r>
      <w:r w:rsidRPr="00DB453C">
        <w:t>to real-world problems</w:t>
      </w:r>
      <w:r w:rsidR="00214C11">
        <w:t>.</w:t>
      </w:r>
    </w:p>
    <w:p w14:paraId="5E5DC03C" w14:textId="0BC666F6" w:rsidR="001212C1" w:rsidRPr="00DB453C" w:rsidRDefault="001212C1" w:rsidP="00EE0481">
      <w:pPr>
        <w:pStyle w:val="ListNumber2"/>
        <w:numPr>
          <w:ilvl w:val="1"/>
          <w:numId w:val="29"/>
        </w:numPr>
        <w:ind w:left="993" w:hanging="426"/>
      </w:pPr>
      <w:r w:rsidRPr="00DB453C">
        <w:t>Critically review a body of literature for arguments or evidence and draw conclusions from it.</w:t>
      </w:r>
    </w:p>
    <w:p w14:paraId="4DA4B53B" w14:textId="43C53106" w:rsidR="001212C1" w:rsidRPr="00DB453C" w:rsidRDefault="001212C1" w:rsidP="00EE0481">
      <w:pPr>
        <w:pStyle w:val="ListNumber2"/>
        <w:numPr>
          <w:ilvl w:val="1"/>
          <w:numId w:val="29"/>
        </w:numPr>
        <w:ind w:left="1021" w:hanging="454"/>
      </w:pPr>
      <w:r w:rsidRPr="00DB453C">
        <w:t>Retrieve information from a variety of sources</w:t>
      </w:r>
      <w:r w:rsidR="00214C11">
        <w:t>.</w:t>
      </w:r>
    </w:p>
    <w:p w14:paraId="4F712D02" w14:textId="5A79C9F1" w:rsidR="001212C1" w:rsidRDefault="001212C1" w:rsidP="00EE0481">
      <w:pPr>
        <w:pStyle w:val="ListNumber2"/>
        <w:numPr>
          <w:ilvl w:val="1"/>
          <w:numId w:val="29"/>
        </w:numPr>
        <w:ind w:left="1021" w:hanging="454"/>
      </w:pPr>
      <w:r w:rsidRPr="00DB453C">
        <w:t>Construct and present critical and coherent arguments</w:t>
      </w:r>
      <w:r w:rsidR="00214C11">
        <w:t>.</w:t>
      </w:r>
      <w:r w:rsidRPr="00DB453C">
        <w:t xml:space="preserve"> </w:t>
      </w:r>
    </w:p>
    <w:p w14:paraId="31D8601B" w14:textId="2F930D8F" w:rsidR="00273CF0" w:rsidRPr="001212C1" w:rsidRDefault="001212C1" w:rsidP="00EE0481">
      <w:pPr>
        <w:pStyle w:val="ListNumber2"/>
        <w:numPr>
          <w:ilvl w:val="1"/>
          <w:numId w:val="29"/>
        </w:numPr>
        <w:ind w:left="1021" w:hanging="454"/>
      </w:pPr>
      <w:r w:rsidRPr="001212C1">
        <w:t>Plan work and study independently</w:t>
      </w:r>
      <w:r w:rsidR="00214C11">
        <w:t>.</w:t>
      </w:r>
    </w:p>
    <w:p w14:paraId="73386C6A" w14:textId="77777777" w:rsidR="009A2D37" w:rsidRPr="009D52D0" w:rsidRDefault="009A2D37" w:rsidP="00072357">
      <w:pPr>
        <w:pStyle w:val="Heading2"/>
      </w:pPr>
      <w:r w:rsidRPr="009D52D0">
        <w:t>A synopsis of the curriculum</w:t>
      </w:r>
    </w:p>
    <w:p w14:paraId="6469ADAA" w14:textId="77777777" w:rsidR="001212C1" w:rsidRPr="00DB453C" w:rsidRDefault="001212C1" w:rsidP="00011ACA">
      <w:pPr>
        <w:pStyle w:val="BodyText"/>
        <w:rPr>
          <w:rFonts w:cs="Arial"/>
          <w:szCs w:val="24"/>
        </w:rPr>
      </w:pPr>
      <w:r w:rsidRPr="00DB453C">
        <w:rPr>
          <w:rFonts w:cs="Arial"/>
          <w:szCs w:val="24"/>
        </w:rPr>
        <w:t xml:space="preserve">The market for </w:t>
      </w:r>
      <w:r w:rsidRPr="00011ACA">
        <w:rPr>
          <w:rStyle w:val="BodyTextChar"/>
        </w:rPr>
        <w:t>labour is the crucial mechanism that determines the distribution of income, work and opportunities. Macro factors such as globalisation, (</w:t>
      </w:r>
      <w:proofErr w:type="spellStart"/>
      <w:r w:rsidRPr="00011ACA">
        <w:rPr>
          <w:rStyle w:val="BodyTextChar"/>
        </w:rPr>
        <w:t>im</w:t>
      </w:r>
      <w:proofErr w:type="spellEnd"/>
      <w:r w:rsidRPr="00011ACA">
        <w:rPr>
          <w:rStyle w:val="BodyTextChar"/>
        </w:rPr>
        <w:t>)migration, technological change and government policy will affect and be affected by the structure of labour markets. Rather than trying to cover the entirety of this very broad subject, the aim of this course is to focus on a few areas of topical interest and importance.  We will examine the issues like</w:t>
      </w:r>
      <w:r w:rsidRPr="00DB453C">
        <w:rPr>
          <w:rFonts w:cs="Arial"/>
          <w:szCs w:val="24"/>
        </w:rPr>
        <w:t xml:space="preserve"> the following:</w:t>
      </w:r>
    </w:p>
    <w:p w14:paraId="45383909" w14:textId="77777777" w:rsidR="001212C1" w:rsidRPr="00DB453C" w:rsidRDefault="001212C1" w:rsidP="00011ACA">
      <w:pPr>
        <w:pStyle w:val="List"/>
        <w:numPr>
          <w:ilvl w:val="0"/>
          <w:numId w:val="31"/>
        </w:numPr>
        <w:spacing w:before="240" w:after="120" w:line="240" w:lineRule="auto"/>
        <w:ind w:left="993" w:hanging="284"/>
        <w:contextualSpacing w:val="0"/>
      </w:pPr>
      <w:r w:rsidRPr="00DB453C">
        <w:t>The relationship between unemployment and wages</w:t>
      </w:r>
    </w:p>
    <w:p w14:paraId="18F0E5CA" w14:textId="77777777" w:rsidR="001212C1" w:rsidRPr="00DB453C" w:rsidRDefault="001212C1" w:rsidP="00011ACA">
      <w:pPr>
        <w:pStyle w:val="List"/>
        <w:numPr>
          <w:ilvl w:val="0"/>
          <w:numId w:val="31"/>
        </w:numPr>
        <w:spacing w:after="120" w:line="240" w:lineRule="auto"/>
        <w:ind w:left="993" w:hanging="284"/>
        <w:contextualSpacing w:val="0"/>
      </w:pPr>
      <w:r w:rsidRPr="00DB453C">
        <w:t xml:space="preserve">The impact of immigration on the resources of the lower skilled </w:t>
      </w:r>
    </w:p>
    <w:p w14:paraId="6CAC2FDA" w14:textId="77777777" w:rsidR="001212C1" w:rsidRPr="00DB453C" w:rsidRDefault="001212C1" w:rsidP="00011ACA">
      <w:pPr>
        <w:pStyle w:val="List"/>
        <w:numPr>
          <w:ilvl w:val="0"/>
          <w:numId w:val="31"/>
        </w:numPr>
        <w:spacing w:after="120" w:line="240" w:lineRule="auto"/>
        <w:ind w:left="993" w:hanging="284"/>
        <w:contextualSpacing w:val="0"/>
      </w:pPr>
      <w:r w:rsidRPr="00DB453C">
        <w:t>The differences in pay and opportunities between men and women</w:t>
      </w:r>
    </w:p>
    <w:p w14:paraId="24B4A440" w14:textId="77777777" w:rsidR="001212C1" w:rsidRPr="00DB453C" w:rsidRDefault="001212C1" w:rsidP="00011ACA">
      <w:pPr>
        <w:pStyle w:val="List"/>
        <w:numPr>
          <w:ilvl w:val="0"/>
          <w:numId w:val="31"/>
        </w:numPr>
        <w:spacing w:after="120" w:line="240" w:lineRule="auto"/>
        <w:ind w:left="993" w:hanging="284"/>
        <w:contextualSpacing w:val="0"/>
      </w:pPr>
      <w:r w:rsidRPr="00DB453C">
        <w:t>Government policy towards skills and education</w:t>
      </w:r>
    </w:p>
    <w:p w14:paraId="410DEE03" w14:textId="77777777" w:rsidR="001212C1" w:rsidRPr="00DB453C" w:rsidRDefault="001212C1" w:rsidP="00011ACA">
      <w:pPr>
        <w:pStyle w:val="List"/>
        <w:numPr>
          <w:ilvl w:val="0"/>
          <w:numId w:val="31"/>
        </w:numPr>
        <w:spacing w:after="120" w:line="240" w:lineRule="auto"/>
        <w:ind w:left="993" w:hanging="284"/>
        <w:contextualSpacing w:val="0"/>
      </w:pPr>
      <w:r w:rsidRPr="00DB453C">
        <w:t>Executive pay</w:t>
      </w:r>
    </w:p>
    <w:p w14:paraId="56A41831" w14:textId="67C7740E" w:rsidR="009A2D37" w:rsidRPr="001212C1" w:rsidRDefault="001212C1" w:rsidP="00011ACA">
      <w:pPr>
        <w:pStyle w:val="BodyText"/>
        <w:spacing w:before="240"/>
        <w:rPr>
          <w:rFonts w:cs="Arial"/>
          <w:szCs w:val="24"/>
        </w:rPr>
      </w:pPr>
      <w:r w:rsidRPr="00DB453C">
        <w:rPr>
          <w:rFonts w:cs="Arial"/>
          <w:szCs w:val="24"/>
        </w:rPr>
        <w:t xml:space="preserve">Throughout we attempt to integrate theoretical issues, empirical evidence and questions of policy, drawing on research covering a range of OECD countries.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011ACA">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011ACA">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02FA120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11ACA">
        <w:rPr>
          <w:rFonts w:ascii="Arial" w:hAnsi="Arial" w:cs="Arial"/>
          <w:sz w:val="24"/>
          <w:szCs w:val="24"/>
        </w:rPr>
        <w:tab/>
      </w:r>
      <w:r w:rsidR="00011ACA">
        <w:rPr>
          <w:rFonts w:ascii="Arial" w:hAnsi="Arial" w:cs="Arial"/>
          <w:sz w:val="24"/>
          <w:szCs w:val="24"/>
        </w:rPr>
        <w:tab/>
      </w:r>
      <w:r w:rsidR="001212C1">
        <w:rPr>
          <w:rFonts w:ascii="Arial" w:hAnsi="Arial" w:cs="Arial"/>
          <w:sz w:val="24"/>
          <w:szCs w:val="24"/>
        </w:rPr>
        <w:t>133 hours</w:t>
      </w:r>
    </w:p>
    <w:p w14:paraId="3BE5E6D9" w14:textId="20802BC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11ACA">
        <w:rPr>
          <w:rFonts w:ascii="Arial" w:hAnsi="Arial" w:cs="Arial"/>
          <w:sz w:val="24"/>
          <w:szCs w:val="24"/>
        </w:rPr>
        <w:tab/>
        <w:t xml:space="preserve">  </w:t>
      </w:r>
      <w:r w:rsidR="001212C1">
        <w:rPr>
          <w:rFonts w:ascii="Arial" w:hAnsi="Arial" w:cs="Arial"/>
          <w:sz w:val="24"/>
          <w:szCs w:val="24"/>
        </w:rPr>
        <w:t>17 hours</w:t>
      </w:r>
    </w:p>
    <w:p w14:paraId="260000FF" w14:textId="2535202D" w:rsidR="00011ACA"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11ACA">
        <w:rPr>
          <w:rFonts w:ascii="Arial" w:hAnsi="Arial" w:cs="Arial"/>
          <w:sz w:val="24"/>
          <w:szCs w:val="24"/>
        </w:rPr>
        <w:tab/>
      </w:r>
      <w:r w:rsidR="00011ACA">
        <w:rPr>
          <w:rFonts w:ascii="Arial" w:hAnsi="Arial" w:cs="Arial"/>
          <w:sz w:val="24"/>
          <w:szCs w:val="24"/>
        </w:rPr>
        <w:tab/>
      </w:r>
      <w:r w:rsidR="00011ACA">
        <w:rPr>
          <w:rFonts w:ascii="Arial" w:hAnsi="Arial" w:cs="Arial"/>
          <w:sz w:val="24"/>
          <w:szCs w:val="24"/>
        </w:rPr>
        <w:tab/>
      </w:r>
      <w:r w:rsidR="001212C1">
        <w:rPr>
          <w:rFonts w:ascii="Arial" w:hAnsi="Arial" w:cs="Arial"/>
          <w:sz w:val="24"/>
          <w:szCs w:val="24"/>
        </w:rPr>
        <w:t>150 hours</w:t>
      </w:r>
    </w:p>
    <w:p w14:paraId="022025AF" w14:textId="77777777" w:rsidR="00011ACA" w:rsidRDefault="00011ACA">
      <w:pPr>
        <w:rPr>
          <w:rFonts w:ascii="Arial" w:hAnsi="Arial" w:cs="Arial"/>
          <w:sz w:val="24"/>
          <w:szCs w:val="24"/>
        </w:rPr>
      </w:pPr>
      <w:r>
        <w:rPr>
          <w:rFonts w:ascii="Arial" w:hAnsi="Arial" w:cs="Arial"/>
          <w:sz w:val="24"/>
          <w:szCs w:val="24"/>
        </w:rPr>
        <w:br w:type="page"/>
      </w: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011ACA">
      <w:pPr>
        <w:pStyle w:val="header2"/>
        <w:numPr>
          <w:ilvl w:val="1"/>
          <w:numId w:val="11"/>
        </w:numPr>
        <w:ind w:left="567" w:right="0" w:hanging="567"/>
        <w:jc w:val="left"/>
        <w:rPr>
          <w:b w:val="0"/>
          <w:bCs/>
          <w:i/>
          <w:iCs/>
        </w:rPr>
      </w:pPr>
      <w:r w:rsidRPr="00B2615D">
        <w:rPr>
          <w:b w:val="0"/>
          <w:bCs/>
          <w:iCs/>
        </w:rPr>
        <w:t>Main assessment methods</w:t>
      </w:r>
    </w:p>
    <w:p w14:paraId="30C88908" w14:textId="33D80DCC" w:rsidR="001212C1" w:rsidRPr="00DB453C" w:rsidRDefault="001212C1" w:rsidP="00011ACA">
      <w:pPr>
        <w:pStyle w:val="BodyText"/>
      </w:pPr>
      <w:r>
        <w:t>Presentation</w:t>
      </w:r>
      <w:r>
        <w:tab/>
      </w:r>
      <w:r>
        <w:tab/>
      </w:r>
      <w:r>
        <w:tab/>
      </w:r>
      <w:r>
        <w:tab/>
      </w:r>
      <w:r>
        <w:tab/>
      </w:r>
      <w:r>
        <w:tab/>
      </w:r>
      <w:r>
        <w:tab/>
        <w:t>1</w:t>
      </w:r>
      <w:r w:rsidR="005C6FD6">
        <w:t>5</w:t>
      </w:r>
      <w:r w:rsidRPr="00DB453C">
        <w:t>%</w:t>
      </w:r>
    </w:p>
    <w:p w14:paraId="183DBF2A" w14:textId="0296136B" w:rsidR="001212C1" w:rsidRDefault="001212C1" w:rsidP="00011ACA">
      <w:pPr>
        <w:pStyle w:val="BodyText"/>
      </w:pPr>
      <w:r>
        <w:t>Essay</w:t>
      </w:r>
      <w:r>
        <w:tab/>
      </w:r>
      <w:r>
        <w:tab/>
      </w:r>
      <w:r>
        <w:tab/>
      </w:r>
      <w:r>
        <w:tab/>
        <w:t>1,200 words</w:t>
      </w:r>
      <w:r>
        <w:tab/>
      </w:r>
      <w:r>
        <w:tab/>
      </w:r>
      <w:r>
        <w:tab/>
        <w:t>1</w:t>
      </w:r>
      <w:r w:rsidR="005C6FD6">
        <w:t>5</w:t>
      </w:r>
      <w:r>
        <w:t>%</w:t>
      </w:r>
    </w:p>
    <w:p w14:paraId="13DB7E22" w14:textId="5273AE36" w:rsidR="001212C1" w:rsidRPr="00DB453C" w:rsidRDefault="001212C1" w:rsidP="00011ACA">
      <w:pPr>
        <w:pStyle w:val="BodyText"/>
      </w:pPr>
      <w:r w:rsidRPr="00DB453C">
        <w:t>Examination</w:t>
      </w:r>
      <w:r>
        <w:tab/>
      </w:r>
      <w:r>
        <w:tab/>
      </w:r>
      <w:r>
        <w:tab/>
      </w:r>
      <w:r w:rsidRPr="00DB453C">
        <w:t xml:space="preserve">2 hours </w:t>
      </w:r>
      <w:r>
        <w:tab/>
      </w:r>
      <w:r>
        <w:tab/>
      </w:r>
      <w:r>
        <w:tab/>
      </w:r>
      <w:r w:rsidR="005C6FD6">
        <w:t>7</w:t>
      </w:r>
      <w:r w:rsidRPr="00DB453C">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B4BCAF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FD62870" w:rsidR="00B72470" w:rsidRDefault="001212C1" w:rsidP="00CD5072">
      <w:pPr>
        <w:pStyle w:val="BodyText"/>
      </w:pPr>
      <w:r w:rsidRPr="001212C1">
        <w:t>Reassessment Instrument: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5D8D4F40" w:rsidR="00636058" w:rsidRDefault="00636058" w:rsidP="00CD5072">
      <w:pPr>
        <w:spacing w:before="480" w:after="360" w:line="240" w:lineRule="auto"/>
        <w:ind w:left="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788" w:type="pct"/>
        <w:tblInd w:w="448" w:type="dxa"/>
        <w:tblLook w:val="04A0" w:firstRow="1" w:lastRow="0" w:firstColumn="1" w:lastColumn="0" w:noHBand="0" w:noVBand="1"/>
      </w:tblPr>
      <w:tblGrid>
        <w:gridCol w:w="3219"/>
        <w:gridCol w:w="640"/>
        <w:gridCol w:w="640"/>
        <w:gridCol w:w="642"/>
        <w:gridCol w:w="639"/>
        <w:gridCol w:w="640"/>
        <w:gridCol w:w="639"/>
        <w:gridCol w:w="639"/>
        <w:gridCol w:w="640"/>
        <w:gridCol w:w="639"/>
        <w:gridCol w:w="639"/>
      </w:tblGrid>
      <w:tr w:rsidR="001212C1" w:rsidRPr="00DB453C" w14:paraId="63B82F26" w14:textId="77777777" w:rsidTr="006C1AEF">
        <w:tc>
          <w:tcPr>
            <w:tcW w:w="1673" w:type="pct"/>
            <w:shd w:val="clear" w:color="auto" w:fill="D9D9D9" w:themeFill="background1" w:themeFillShade="D9"/>
          </w:tcPr>
          <w:p w14:paraId="77185943" w14:textId="77777777" w:rsidR="001212C1" w:rsidRPr="00CD5072" w:rsidRDefault="001212C1" w:rsidP="006C1AEF">
            <w:pPr>
              <w:spacing w:after="120"/>
              <w:ind w:left="33"/>
              <w:rPr>
                <w:rFonts w:ascii="Arial" w:hAnsi="Arial" w:cs="Arial"/>
                <w:b/>
              </w:rPr>
            </w:pPr>
            <w:r w:rsidRPr="00CD5072">
              <w:rPr>
                <w:rFonts w:ascii="Arial" w:hAnsi="Arial" w:cs="Arial"/>
                <w:b/>
              </w:rPr>
              <w:t>Module learning outcome</w:t>
            </w:r>
          </w:p>
        </w:tc>
        <w:tc>
          <w:tcPr>
            <w:tcW w:w="333" w:type="pct"/>
            <w:vAlign w:val="center"/>
          </w:tcPr>
          <w:p w14:paraId="7C2553B3" w14:textId="77777777" w:rsidR="001212C1" w:rsidRPr="00CD5072" w:rsidRDefault="001212C1" w:rsidP="006C1AEF">
            <w:pPr>
              <w:spacing w:after="120"/>
              <w:jc w:val="center"/>
              <w:rPr>
                <w:rFonts w:ascii="Arial" w:hAnsi="Arial" w:cs="Arial"/>
                <w:b/>
                <w:bCs/>
                <w:iCs/>
              </w:rPr>
            </w:pPr>
            <w:r w:rsidRPr="00CD5072">
              <w:rPr>
                <w:rFonts w:ascii="Arial" w:hAnsi="Arial" w:cs="Arial"/>
                <w:b/>
                <w:bCs/>
                <w:iCs/>
              </w:rPr>
              <w:t>8.1</w:t>
            </w:r>
          </w:p>
        </w:tc>
        <w:tc>
          <w:tcPr>
            <w:tcW w:w="333" w:type="pct"/>
            <w:vAlign w:val="center"/>
          </w:tcPr>
          <w:p w14:paraId="3F08FDAD" w14:textId="77777777" w:rsidR="001212C1" w:rsidRPr="00CD5072" w:rsidRDefault="001212C1" w:rsidP="006C1AEF">
            <w:pPr>
              <w:spacing w:after="120"/>
              <w:jc w:val="center"/>
              <w:rPr>
                <w:rFonts w:ascii="Arial" w:hAnsi="Arial" w:cs="Arial"/>
                <w:b/>
                <w:bCs/>
                <w:iCs/>
              </w:rPr>
            </w:pPr>
            <w:r w:rsidRPr="00CD5072">
              <w:rPr>
                <w:rFonts w:ascii="Arial" w:hAnsi="Arial" w:cs="Arial"/>
                <w:b/>
                <w:bCs/>
                <w:iCs/>
              </w:rPr>
              <w:t>8.2</w:t>
            </w:r>
          </w:p>
        </w:tc>
        <w:tc>
          <w:tcPr>
            <w:tcW w:w="334" w:type="pct"/>
            <w:vAlign w:val="center"/>
          </w:tcPr>
          <w:p w14:paraId="56F8B53B" w14:textId="77777777" w:rsidR="001212C1" w:rsidRPr="00CD5072" w:rsidRDefault="001212C1" w:rsidP="006C1AEF">
            <w:pPr>
              <w:spacing w:after="120"/>
              <w:jc w:val="center"/>
              <w:rPr>
                <w:rFonts w:ascii="Arial" w:hAnsi="Arial" w:cs="Arial"/>
                <w:b/>
                <w:bCs/>
                <w:iCs/>
              </w:rPr>
            </w:pPr>
            <w:r w:rsidRPr="00CD5072">
              <w:rPr>
                <w:rFonts w:ascii="Arial" w:hAnsi="Arial" w:cs="Arial"/>
                <w:b/>
                <w:bCs/>
                <w:iCs/>
              </w:rPr>
              <w:t>8.3</w:t>
            </w:r>
          </w:p>
        </w:tc>
        <w:tc>
          <w:tcPr>
            <w:tcW w:w="332" w:type="pct"/>
            <w:vAlign w:val="center"/>
          </w:tcPr>
          <w:p w14:paraId="1E4D7B0B" w14:textId="77777777" w:rsidR="001212C1" w:rsidRPr="00CD5072" w:rsidRDefault="001212C1" w:rsidP="006C1AEF">
            <w:pPr>
              <w:spacing w:after="120"/>
              <w:jc w:val="center"/>
              <w:rPr>
                <w:rFonts w:ascii="Arial" w:hAnsi="Arial" w:cs="Arial"/>
                <w:b/>
                <w:bCs/>
                <w:iCs/>
              </w:rPr>
            </w:pPr>
            <w:r w:rsidRPr="00CD5072">
              <w:rPr>
                <w:rFonts w:ascii="Arial" w:hAnsi="Arial" w:cs="Arial"/>
                <w:b/>
                <w:bCs/>
                <w:iCs/>
              </w:rPr>
              <w:t>8.4</w:t>
            </w:r>
          </w:p>
        </w:tc>
        <w:tc>
          <w:tcPr>
            <w:tcW w:w="333" w:type="pct"/>
            <w:vAlign w:val="center"/>
          </w:tcPr>
          <w:p w14:paraId="1D7609F9" w14:textId="77777777" w:rsidR="001212C1" w:rsidRPr="00CD5072" w:rsidRDefault="001212C1" w:rsidP="006C1AEF">
            <w:pPr>
              <w:spacing w:after="120"/>
              <w:jc w:val="center"/>
              <w:rPr>
                <w:rFonts w:ascii="Arial" w:hAnsi="Arial" w:cs="Arial"/>
                <w:b/>
                <w:bCs/>
                <w:iCs/>
              </w:rPr>
            </w:pPr>
            <w:r w:rsidRPr="00CD5072">
              <w:rPr>
                <w:rFonts w:ascii="Arial" w:hAnsi="Arial" w:cs="Arial"/>
                <w:b/>
                <w:bCs/>
                <w:iCs/>
              </w:rPr>
              <w:t>8.5</w:t>
            </w:r>
          </w:p>
        </w:tc>
        <w:tc>
          <w:tcPr>
            <w:tcW w:w="332" w:type="pct"/>
            <w:vAlign w:val="center"/>
          </w:tcPr>
          <w:p w14:paraId="5469590B" w14:textId="77777777" w:rsidR="001212C1" w:rsidRPr="00CD5072" w:rsidRDefault="001212C1" w:rsidP="006C1AEF">
            <w:pPr>
              <w:spacing w:after="120"/>
              <w:jc w:val="center"/>
              <w:rPr>
                <w:rFonts w:ascii="Arial" w:hAnsi="Arial" w:cs="Arial"/>
                <w:b/>
                <w:bCs/>
                <w:iCs/>
              </w:rPr>
            </w:pPr>
            <w:r w:rsidRPr="00CD5072">
              <w:rPr>
                <w:rFonts w:ascii="Arial" w:hAnsi="Arial" w:cs="Arial"/>
                <w:b/>
                <w:bCs/>
                <w:iCs/>
              </w:rPr>
              <w:t>9.1</w:t>
            </w:r>
          </w:p>
        </w:tc>
        <w:tc>
          <w:tcPr>
            <w:tcW w:w="332" w:type="pct"/>
            <w:vAlign w:val="center"/>
          </w:tcPr>
          <w:p w14:paraId="6889CEB0" w14:textId="77777777" w:rsidR="001212C1" w:rsidRPr="00CD5072" w:rsidRDefault="001212C1" w:rsidP="006C1AEF">
            <w:pPr>
              <w:spacing w:after="120"/>
              <w:jc w:val="center"/>
              <w:rPr>
                <w:rFonts w:ascii="Arial" w:hAnsi="Arial" w:cs="Arial"/>
                <w:b/>
                <w:bCs/>
                <w:iCs/>
              </w:rPr>
            </w:pPr>
            <w:r w:rsidRPr="00CD5072">
              <w:rPr>
                <w:rFonts w:ascii="Arial" w:hAnsi="Arial" w:cs="Arial"/>
                <w:b/>
                <w:bCs/>
                <w:iCs/>
              </w:rPr>
              <w:t>9.2</w:t>
            </w:r>
          </w:p>
        </w:tc>
        <w:tc>
          <w:tcPr>
            <w:tcW w:w="333" w:type="pct"/>
            <w:vAlign w:val="center"/>
          </w:tcPr>
          <w:p w14:paraId="09CB3206" w14:textId="77777777" w:rsidR="001212C1" w:rsidRPr="00CD5072" w:rsidRDefault="001212C1" w:rsidP="006C1AEF">
            <w:pPr>
              <w:spacing w:after="120"/>
              <w:jc w:val="center"/>
              <w:rPr>
                <w:rFonts w:ascii="Arial" w:hAnsi="Arial" w:cs="Arial"/>
                <w:b/>
                <w:bCs/>
                <w:iCs/>
              </w:rPr>
            </w:pPr>
            <w:r w:rsidRPr="00CD5072">
              <w:rPr>
                <w:rFonts w:ascii="Arial" w:hAnsi="Arial" w:cs="Arial"/>
                <w:b/>
                <w:bCs/>
                <w:iCs/>
              </w:rPr>
              <w:t>9.3</w:t>
            </w:r>
          </w:p>
        </w:tc>
        <w:tc>
          <w:tcPr>
            <w:tcW w:w="332" w:type="pct"/>
            <w:vAlign w:val="center"/>
          </w:tcPr>
          <w:p w14:paraId="534ABBDD" w14:textId="77777777" w:rsidR="001212C1" w:rsidRPr="00CD5072" w:rsidRDefault="001212C1" w:rsidP="006C1AEF">
            <w:pPr>
              <w:spacing w:after="120"/>
              <w:jc w:val="center"/>
              <w:rPr>
                <w:rFonts w:ascii="Arial" w:hAnsi="Arial" w:cs="Arial"/>
                <w:b/>
                <w:bCs/>
                <w:iCs/>
              </w:rPr>
            </w:pPr>
            <w:r w:rsidRPr="00CD5072">
              <w:rPr>
                <w:rFonts w:ascii="Arial" w:hAnsi="Arial" w:cs="Arial"/>
                <w:b/>
                <w:bCs/>
                <w:iCs/>
              </w:rPr>
              <w:t>9.4</w:t>
            </w:r>
          </w:p>
        </w:tc>
        <w:tc>
          <w:tcPr>
            <w:tcW w:w="332" w:type="pct"/>
            <w:vAlign w:val="center"/>
          </w:tcPr>
          <w:p w14:paraId="7515E326" w14:textId="77777777" w:rsidR="001212C1" w:rsidRPr="00CD5072" w:rsidRDefault="001212C1" w:rsidP="006C1AEF">
            <w:pPr>
              <w:spacing w:after="120"/>
              <w:jc w:val="center"/>
              <w:rPr>
                <w:rFonts w:ascii="Arial" w:hAnsi="Arial" w:cs="Arial"/>
                <w:b/>
                <w:bCs/>
                <w:iCs/>
              </w:rPr>
            </w:pPr>
            <w:r w:rsidRPr="00CD5072">
              <w:rPr>
                <w:rFonts w:ascii="Arial" w:hAnsi="Arial" w:cs="Arial"/>
                <w:b/>
                <w:bCs/>
                <w:iCs/>
              </w:rPr>
              <w:t>9.5</w:t>
            </w:r>
          </w:p>
        </w:tc>
      </w:tr>
      <w:tr w:rsidR="001212C1" w:rsidRPr="00DB453C" w14:paraId="438FFB2C" w14:textId="77777777" w:rsidTr="006C1AEF">
        <w:tc>
          <w:tcPr>
            <w:tcW w:w="1673" w:type="pct"/>
          </w:tcPr>
          <w:p w14:paraId="43A42B63" w14:textId="14CF2714" w:rsidR="001212C1" w:rsidRPr="00CD5072" w:rsidRDefault="001212C1" w:rsidP="006C1AEF">
            <w:pPr>
              <w:spacing w:after="120"/>
              <w:rPr>
                <w:rFonts w:ascii="Arial" w:hAnsi="Arial" w:cs="Arial"/>
                <w:iCs/>
              </w:rPr>
            </w:pPr>
            <w:r w:rsidRPr="00CD5072">
              <w:rPr>
                <w:rFonts w:ascii="Arial" w:hAnsi="Arial" w:cs="Arial"/>
                <w:iCs/>
              </w:rPr>
              <w:t>Private Study</w:t>
            </w:r>
          </w:p>
        </w:tc>
        <w:tc>
          <w:tcPr>
            <w:tcW w:w="333" w:type="pct"/>
            <w:vAlign w:val="center"/>
          </w:tcPr>
          <w:p w14:paraId="0C215A0C" w14:textId="0AC8C4FC" w:rsidR="001212C1" w:rsidRPr="00CD5072" w:rsidRDefault="00AF1ED6" w:rsidP="006C1AEF">
            <w:pPr>
              <w:spacing w:after="120"/>
              <w:jc w:val="center"/>
              <w:rPr>
                <w:rFonts w:ascii="Arial" w:hAnsi="Arial" w:cs="Arial"/>
                <w:b/>
              </w:rPr>
            </w:pPr>
            <w:r w:rsidRPr="00CD5072">
              <w:rPr>
                <w:rFonts w:ascii="Arial" w:hAnsi="Arial" w:cs="Arial"/>
                <w:b/>
              </w:rPr>
              <w:t>x</w:t>
            </w:r>
          </w:p>
        </w:tc>
        <w:tc>
          <w:tcPr>
            <w:tcW w:w="333" w:type="pct"/>
            <w:vAlign w:val="center"/>
          </w:tcPr>
          <w:p w14:paraId="7688331B" w14:textId="6C790C7D" w:rsidR="001212C1" w:rsidRPr="00CD5072" w:rsidRDefault="00AF1ED6" w:rsidP="006C1AEF">
            <w:pPr>
              <w:spacing w:after="120"/>
              <w:jc w:val="center"/>
              <w:rPr>
                <w:rFonts w:ascii="Arial" w:hAnsi="Arial" w:cs="Arial"/>
                <w:b/>
              </w:rPr>
            </w:pPr>
            <w:r w:rsidRPr="00CD5072">
              <w:rPr>
                <w:rFonts w:ascii="Arial" w:hAnsi="Arial" w:cs="Arial"/>
                <w:b/>
              </w:rPr>
              <w:t>x</w:t>
            </w:r>
          </w:p>
        </w:tc>
        <w:tc>
          <w:tcPr>
            <w:tcW w:w="334" w:type="pct"/>
            <w:vAlign w:val="center"/>
          </w:tcPr>
          <w:p w14:paraId="621D8E37" w14:textId="46C2D9CA" w:rsidR="001212C1"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22E5B41E" w14:textId="3F29BEF7" w:rsidR="001212C1" w:rsidRPr="00CD5072" w:rsidRDefault="00AF1ED6" w:rsidP="006C1AEF">
            <w:pPr>
              <w:spacing w:after="120"/>
              <w:jc w:val="center"/>
              <w:rPr>
                <w:rFonts w:ascii="Arial" w:hAnsi="Arial" w:cs="Arial"/>
                <w:b/>
              </w:rPr>
            </w:pPr>
            <w:r w:rsidRPr="00CD5072">
              <w:rPr>
                <w:rFonts w:ascii="Arial" w:hAnsi="Arial" w:cs="Arial"/>
                <w:b/>
              </w:rPr>
              <w:t>x</w:t>
            </w:r>
          </w:p>
        </w:tc>
        <w:tc>
          <w:tcPr>
            <w:tcW w:w="333" w:type="pct"/>
            <w:vAlign w:val="center"/>
          </w:tcPr>
          <w:p w14:paraId="613B9819" w14:textId="760F1408" w:rsidR="001212C1"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4646CF93" w14:textId="7D20D576" w:rsidR="001212C1"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259601BC" w14:textId="7F723AC7" w:rsidR="001212C1" w:rsidRPr="00CD5072" w:rsidRDefault="00AF1ED6" w:rsidP="006C1AEF">
            <w:pPr>
              <w:spacing w:after="120"/>
              <w:jc w:val="center"/>
              <w:rPr>
                <w:rFonts w:ascii="Arial" w:hAnsi="Arial" w:cs="Arial"/>
                <w:b/>
              </w:rPr>
            </w:pPr>
            <w:r w:rsidRPr="00CD5072">
              <w:rPr>
                <w:rFonts w:ascii="Arial" w:hAnsi="Arial" w:cs="Arial"/>
                <w:b/>
              </w:rPr>
              <w:t>x</w:t>
            </w:r>
          </w:p>
        </w:tc>
        <w:tc>
          <w:tcPr>
            <w:tcW w:w="333" w:type="pct"/>
            <w:vAlign w:val="center"/>
          </w:tcPr>
          <w:p w14:paraId="06CD6025" w14:textId="13C7F5BC" w:rsidR="001212C1"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0FEE0C90" w14:textId="33E6111C" w:rsidR="001212C1"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3A64AEBA" w14:textId="1B3F04C0" w:rsidR="001212C1" w:rsidRPr="00CD5072" w:rsidRDefault="00AF1ED6" w:rsidP="006C1AEF">
            <w:pPr>
              <w:spacing w:after="120"/>
              <w:jc w:val="center"/>
              <w:rPr>
                <w:rFonts w:ascii="Arial" w:hAnsi="Arial" w:cs="Arial"/>
                <w:b/>
              </w:rPr>
            </w:pPr>
            <w:r w:rsidRPr="00CD5072">
              <w:rPr>
                <w:rFonts w:ascii="Arial" w:hAnsi="Arial" w:cs="Arial"/>
                <w:b/>
              </w:rPr>
              <w:t>x</w:t>
            </w:r>
          </w:p>
        </w:tc>
      </w:tr>
      <w:tr w:rsidR="001212C1" w:rsidRPr="00DB453C" w14:paraId="6E35865E" w14:textId="77777777" w:rsidTr="006C1AEF">
        <w:tc>
          <w:tcPr>
            <w:tcW w:w="1673" w:type="pct"/>
          </w:tcPr>
          <w:p w14:paraId="6A6EEE1C" w14:textId="77777777" w:rsidR="001212C1" w:rsidRPr="00CD5072" w:rsidRDefault="001212C1" w:rsidP="006C1AEF">
            <w:pPr>
              <w:spacing w:after="120"/>
              <w:rPr>
                <w:rFonts w:ascii="Arial" w:hAnsi="Arial" w:cs="Arial"/>
                <w:iCs/>
              </w:rPr>
            </w:pPr>
            <w:r w:rsidRPr="00CD5072">
              <w:rPr>
                <w:rFonts w:ascii="Arial" w:hAnsi="Arial" w:cs="Arial"/>
                <w:iCs/>
              </w:rPr>
              <w:t>Lecture</w:t>
            </w:r>
          </w:p>
        </w:tc>
        <w:tc>
          <w:tcPr>
            <w:tcW w:w="333" w:type="pct"/>
            <w:vAlign w:val="center"/>
          </w:tcPr>
          <w:p w14:paraId="3CB1992A"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3" w:type="pct"/>
            <w:vAlign w:val="center"/>
          </w:tcPr>
          <w:p w14:paraId="044DB6CE"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4" w:type="pct"/>
            <w:vAlign w:val="center"/>
          </w:tcPr>
          <w:p w14:paraId="346AA872"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2" w:type="pct"/>
            <w:vAlign w:val="center"/>
          </w:tcPr>
          <w:p w14:paraId="7ACCEC4F"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3" w:type="pct"/>
            <w:vAlign w:val="center"/>
          </w:tcPr>
          <w:p w14:paraId="22929D2B"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2" w:type="pct"/>
            <w:vAlign w:val="center"/>
          </w:tcPr>
          <w:p w14:paraId="6DA447DF"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2" w:type="pct"/>
            <w:vAlign w:val="center"/>
          </w:tcPr>
          <w:p w14:paraId="52661A44" w14:textId="77777777" w:rsidR="001212C1" w:rsidRPr="00CD5072" w:rsidRDefault="001212C1" w:rsidP="006C1AEF">
            <w:pPr>
              <w:spacing w:after="120"/>
              <w:jc w:val="center"/>
              <w:rPr>
                <w:rFonts w:ascii="Arial" w:hAnsi="Arial" w:cs="Arial"/>
                <w:b/>
              </w:rPr>
            </w:pPr>
          </w:p>
        </w:tc>
        <w:tc>
          <w:tcPr>
            <w:tcW w:w="333" w:type="pct"/>
            <w:vAlign w:val="center"/>
          </w:tcPr>
          <w:p w14:paraId="320A7E0B"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2" w:type="pct"/>
            <w:vAlign w:val="center"/>
          </w:tcPr>
          <w:p w14:paraId="57922F95" w14:textId="77777777" w:rsidR="001212C1" w:rsidRPr="00CD5072" w:rsidRDefault="001212C1" w:rsidP="006C1AEF">
            <w:pPr>
              <w:spacing w:after="120"/>
              <w:jc w:val="center"/>
              <w:rPr>
                <w:rFonts w:ascii="Arial" w:hAnsi="Arial" w:cs="Arial"/>
                <w:b/>
              </w:rPr>
            </w:pPr>
          </w:p>
        </w:tc>
        <w:tc>
          <w:tcPr>
            <w:tcW w:w="332" w:type="pct"/>
            <w:vAlign w:val="center"/>
          </w:tcPr>
          <w:p w14:paraId="1E383AD4" w14:textId="77777777" w:rsidR="001212C1" w:rsidRPr="00CD5072" w:rsidRDefault="001212C1" w:rsidP="006C1AEF">
            <w:pPr>
              <w:spacing w:after="120"/>
              <w:jc w:val="center"/>
              <w:rPr>
                <w:rFonts w:ascii="Arial" w:hAnsi="Arial" w:cs="Arial"/>
                <w:b/>
              </w:rPr>
            </w:pPr>
          </w:p>
        </w:tc>
      </w:tr>
      <w:tr w:rsidR="001212C1" w:rsidRPr="00DB453C" w14:paraId="10925DF8" w14:textId="77777777" w:rsidTr="006C1AEF">
        <w:tc>
          <w:tcPr>
            <w:tcW w:w="1673" w:type="pct"/>
          </w:tcPr>
          <w:p w14:paraId="1670BC90" w14:textId="77777777" w:rsidR="001212C1" w:rsidRPr="00CD5072" w:rsidRDefault="001212C1" w:rsidP="006C1AEF">
            <w:pPr>
              <w:spacing w:after="120"/>
              <w:rPr>
                <w:rFonts w:ascii="Arial" w:hAnsi="Arial" w:cs="Arial"/>
                <w:iCs/>
              </w:rPr>
            </w:pPr>
            <w:r w:rsidRPr="00CD5072">
              <w:rPr>
                <w:rFonts w:ascii="Arial" w:hAnsi="Arial" w:cs="Arial"/>
                <w:iCs/>
              </w:rPr>
              <w:t>Seminar</w:t>
            </w:r>
          </w:p>
        </w:tc>
        <w:tc>
          <w:tcPr>
            <w:tcW w:w="333" w:type="pct"/>
            <w:vAlign w:val="center"/>
          </w:tcPr>
          <w:p w14:paraId="7DFE8FE3"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3" w:type="pct"/>
            <w:vAlign w:val="center"/>
          </w:tcPr>
          <w:p w14:paraId="29E304C8"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4" w:type="pct"/>
            <w:vAlign w:val="center"/>
          </w:tcPr>
          <w:p w14:paraId="053B3651"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2" w:type="pct"/>
            <w:vAlign w:val="center"/>
          </w:tcPr>
          <w:p w14:paraId="4B9F63BE"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3" w:type="pct"/>
            <w:vAlign w:val="center"/>
          </w:tcPr>
          <w:p w14:paraId="3CC25135"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2" w:type="pct"/>
            <w:vAlign w:val="center"/>
          </w:tcPr>
          <w:p w14:paraId="05B22849"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2" w:type="pct"/>
            <w:vAlign w:val="center"/>
          </w:tcPr>
          <w:p w14:paraId="1EC03DAE"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3" w:type="pct"/>
            <w:vAlign w:val="center"/>
          </w:tcPr>
          <w:p w14:paraId="500B08C9"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2" w:type="pct"/>
            <w:vAlign w:val="center"/>
          </w:tcPr>
          <w:p w14:paraId="525CF949" w14:textId="77777777" w:rsidR="001212C1" w:rsidRPr="00CD5072" w:rsidRDefault="001212C1" w:rsidP="006C1AEF">
            <w:pPr>
              <w:spacing w:after="120"/>
              <w:jc w:val="center"/>
              <w:rPr>
                <w:rFonts w:ascii="Arial" w:hAnsi="Arial" w:cs="Arial"/>
                <w:b/>
              </w:rPr>
            </w:pPr>
            <w:r w:rsidRPr="00CD5072">
              <w:rPr>
                <w:rFonts w:ascii="Arial" w:hAnsi="Arial" w:cs="Arial"/>
                <w:b/>
              </w:rPr>
              <w:t>x</w:t>
            </w:r>
          </w:p>
        </w:tc>
        <w:tc>
          <w:tcPr>
            <w:tcW w:w="332" w:type="pct"/>
            <w:vAlign w:val="center"/>
          </w:tcPr>
          <w:p w14:paraId="53D43F6F" w14:textId="77777777" w:rsidR="001212C1" w:rsidRPr="00CD5072" w:rsidRDefault="001212C1" w:rsidP="006C1AEF">
            <w:pPr>
              <w:spacing w:after="120"/>
              <w:jc w:val="center"/>
              <w:rPr>
                <w:rFonts w:ascii="Arial" w:hAnsi="Arial" w:cs="Arial"/>
                <w:b/>
              </w:rPr>
            </w:pPr>
            <w:r w:rsidRPr="00CD5072">
              <w:rPr>
                <w:rFonts w:ascii="Arial" w:hAnsi="Arial" w:cs="Arial"/>
                <w:b/>
              </w:rPr>
              <w:t>x</w:t>
            </w:r>
          </w:p>
        </w:tc>
      </w:tr>
    </w:tbl>
    <w:p w14:paraId="1DF2B576" w14:textId="19F84DE3" w:rsidR="007A6245" w:rsidRDefault="00636058" w:rsidP="00CD5072">
      <w:pPr>
        <w:spacing w:before="480"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4788" w:type="pct"/>
        <w:tblInd w:w="448" w:type="dxa"/>
        <w:tblLook w:val="04A0" w:firstRow="1" w:lastRow="0" w:firstColumn="1" w:lastColumn="0" w:noHBand="0" w:noVBand="1"/>
      </w:tblPr>
      <w:tblGrid>
        <w:gridCol w:w="3219"/>
        <w:gridCol w:w="640"/>
        <w:gridCol w:w="640"/>
        <w:gridCol w:w="642"/>
        <w:gridCol w:w="639"/>
        <w:gridCol w:w="640"/>
        <w:gridCol w:w="639"/>
        <w:gridCol w:w="639"/>
        <w:gridCol w:w="640"/>
        <w:gridCol w:w="639"/>
        <w:gridCol w:w="639"/>
      </w:tblGrid>
      <w:tr w:rsidR="00AF1ED6" w:rsidRPr="00DB453C" w14:paraId="7A661FA0" w14:textId="77777777" w:rsidTr="006C1AEF">
        <w:tc>
          <w:tcPr>
            <w:tcW w:w="1673" w:type="pct"/>
            <w:shd w:val="clear" w:color="auto" w:fill="D9D9D9" w:themeFill="background1" w:themeFillShade="D9"/>
          </w:tcPr>
          <w:p w14:paraId="71587EF4" w14:textId="33E0D074" w:rsidR="00AF1ED6" w:rsidRPr="00CD5072" w:rsidRDefault="00AF1ED6" w:rsidP="00AF1ED6">
            <w:pPr>
              <w:spacing w:after="120"/>
              <w:ind w:left="33"/>
              <w:rPr>
                <w:rFonts w:ascii="Arial" w:hAnsi="Arial" w:cs="Arial"/>
                <w:b/>
              </w:rPr>
            </w:pPr>
            <w:r w:rsidRPr="00CD5072">
              <w:rPr>
                <w:rFonts w:ascii="Arial" w:hAnsi="Arial" w:cs="Arial"/>
                <w:b/>
              </w:rPr>
              <w:t>Assessment method</w:t>
            </w:r>
          </w:p>
        </w:tc>
        <w:tc>
          <w:tcPr>
            <w:tcW w:w="333" w:type="pct"/>
            <w:vAlign w:val="center"/>
          </w:tcPr>
          <w:p w14:paraId="6B0B3D84" w14:textId="77777777" w:rsidR="00AF1ED6" w:rsidRPr="00CD5072" w:rsidRDefault="00AF1ED6" w:rsidP="006C1AEF">
            <w:pPr>
              <w:spacing w:after="120"/>
              <w:jc w:val="center"/>
              <w:rPr>
                <w:rFonts w:ascii="Arial" w:hAnsi="Arial" w:cs="Arial"/>
                <w:b/>
                <w:bCs/>
                <w:iCs/>
              </w:rPr>
            </w:pPr>
            <w:r w:rsidRPr="00CD5072">
              <w:rPr>
                <w:rFonts w:ascii="Arial" w:hAnsi="Arial" w:cs="Arial"/>
                <w:b/>
                <w:bCs/>
                <w:iCs/>
              </w:rPr>
              <w:t>8.1</w:t>
            </w:r>
          </w:p>
        </w:tc>
        <w:tc>
          <w:tcPr>
            <w:tcW w:w="333" w:type="pct"/>
            <w:vAlign w:val="center"/>
          </w:tcPr>
          <w:p w14:paraId="2943D9EE" w14:textId="77777777" w:rsidR="00AF1ED6" w:rsidRPr="00CD5072" w:rsidRDefault="00AF1ED6" w:rsidP="006C1AEF">
            <w:pPr>
              <w:spacing w:after="120"/>
              <w:jc w:val="center"/>
              <w:rPr>
                <w:rFonts w:ascii="Arial" w:hAnsi="Arial" w:cs="Arial"/>
                <w:b/>
                <w:bCs/>
                <w:iCs/>
              </w:rPr>
            </w:pPr>
            <w:r w:rsidRPr="00CD5072">
              <w:rPr>
                <w:rFonts w:ascii="Arial" w:hAnsi="Arial" w:cs="Arial"/>
                <w:b/>
                <w:bCs/>
                <w:iCs/>
              </w:rPr>
              <w:t>8.2</w:t>
            </w:r>
          </w:p>
        </w:tc>
        <w:tc>
          <w:tcPr>
            <w:tcW w:w="334" w:type="pct"/>
            <w:vAlign w:val="center"/>
          </w:tcPr>
          <w:p w14:paraId="2B0C455F" w14:textId="77777777" w:rsidR="00AF1ED6" w:rsidRPr="00CD5072" w:rsidRDefault="00AF1ED6" w:rsidP="006C1AEF">
            <w:pPr>
              <w:spacing w:after="120"/>
              <w:jc w:val="center"/>
              <w:rPr>
                <w:rFonts w:ascii="Arial" w:hAnsi="Arial" w:cs="Arial"/>
                <w:b/>
                <w:bCs/>
                <w:iCs/>
              </w:rPr>
            </w:pPr>
            <w:r w:rsidRPr="00CD5072">
              <w:rPr>
                <w:rFonts w:ascii="Arial" w:hAnsi="Arial" w:cs="Arial"/>
                <w:b/>
                <w:bCs/>
                <w:iCs/>
              </w:rPr>
              <w:t>8.3</w:t>
            </w:r>
          </w:p>
        </w:tc>
        <w:tc>
          <w:tcPr>
            <w:tcW w:w="332" w:type="pct"/>
            <w:vAlign w:val="center"/>
          </w:tcPr>
          <w:p w14:paraId="10CE130C" w14:textId="77777777" w:rsidR="00AF1ED6" w:rsidRPr="00CD5072" w:rsidRDefault="00AF1ED6" w:rsidP="006C1AEF">
            <w:pPr>
              <w:spacing w:after="120"/>
              <w:jc w:val="center"/>
              <w:rPr>
                <w:rFonts w:ascii="Arial" w:hAnsi="Arial" w:cs="Arial"/>
                <w:b/>
                <w:bCs/>
                <w:iCs/>
              </w:rPr>
            </w:pPr>
            <w:r w:rsidRPr="00CD5072">
              <w:rPr>
                <w:rFonts w:ascii="Arial" w:hAnsi="Arial" w:cs="Arial"/>
                <w:b/>
                <w:bCs/>
                <w:iCs/>
              </w:rPr>
              <w:t>8.4</w:t>
            </w:r>
          </w:p>
        </w:tc>
        <w:tc>
          <w:tcPr>
            <w:tcW w:w="333" w:type="pct"/>
            <w:vAlign w:val="center"/>
          </w:tcPr>
          <w:p w14:paraId="4CBD7C6A" w14:textId="77777777" w:rsidR="00AF1ED6" w:rsidRPr="00CD5072" w:rsidRDefault="00AF1ED6" w:rsidP="006C1AEF">
            <w:pPr>
              <w:spacing w:after="120"/>
              <w:jc w:val="center"/>
              <w:rPr>
                <w:rFonts w:ascii="Arial" w:hAnsi="Arial" w:cs="Arial"/>
                <w:b/>
                <w:bCs/>
                <w:iCs/>
              </w:rPr>
            </w:pPr>
            <w:r w:rsidRPr="00CD5072">
              <w:rPr>
                <w:rFonts w:ascii="Arial" w:hAnsi="Arial" w:cs="Arial"/>
                <w:b/>
                <w:bCs/>
                <w:iCs/>
              </w:rPr>
              <w:t>8.5</w:t>
            </w:r>
          </w:p>
        </w:tc>
        <w:tc>
          <w:tcPr>
            <w:tcW w:w="332" w:type="pct"/>
            <w:vAlign w:val="center"/>
          </w:tcPr>
          <w:p w14:paraId="1C5ACC2C" w14:textId="77777777" w:rsidR="00AF1ED6" w:rsidRPr="00CD5072" w:rsidRDefault="00AF1ED6" w:rsidP="006C1AEF">
            <w:pPr>
              <w:spacing w:after="120"/>
              <w:jc w:val="center"/>
              <w:rPr>
                <w:rFonts w:ascii="Arial" w:hAnsi="Arial" w:cs="Arial"/>
                <w:b/>
                <w:bCs/>
                <w:iCs/>
              </w:rPr>
            </w:pPr>
            <w:r w:rsidRPr="00CD5072">
              <w:rPr>
                <w:rFonts w:ascii="Arial" w:hAnsi="Arial" w:cs="Arial"/>
                <w:b/>
                <w:bCs/>
                <w:iCs/>
              </w:rPr>
              <w:t>9.1</w:t>
            </w:r>
          </w:p>
        </w:tc>
        <w:tc>
          <w:tcPr>
            <w:tcW w:w="332" w:type="pct"/>
            <w:vAlign w:val="center"/>
          </w:tcPr>
          <w:p w14:paraId="62576968" w14:textId="77777777" w:rsidR="00AF1ED6" w:rsidRPr="00CD5072" w:rsidRDefault="00AF1ED6" w:rsidP="006C1AEF">
            <w:pPr>
              <w:spacing w:after="120"/>
              <w:jc w:val="center"/>
              <w:rPr>
                <w:rFonts w:ascii="Arial" w:hAnsi="Arial" w:cs="Arial"/>
                <w:b/>
                <w:bCs/>
                <w:iCs/>
              </w:rPr>
            </w:pPr>
            <w:r w:rsidRPr="00CD5072">
              <w:rPr>
                <w:rFonts w:ascii="Arial" w:hAnsi="Arial" w:cs="Arial"/>
                <w:b/>
                <w:bCs/>
                <w:iCs/>
              </w:rPr>
              <w:t>9.2</w:t>
            </w:r>
          </w:p>
        </w:tc>
        <w:tc>
          <w:tcPr>
            <w:tcW w:w="333" w:type="pct"/>
            <w:vAlign w:val="center"/>
          </w:tcPr>
          <w:p w14:paraId="4E73A82D" w14:textId="77777777" w:rsidR="00AF1ED6" w:rsidRPr="00CD5072" w:rsidRDefault="00AF1ED6" w:rsidP="006C1AEF">
            <w:pPr>
              <w:spacing w:after="120"/>
              <w:jc w:val="center"/>
              <w:rPr>
                <w:rFonts w:ascii="Arial" w:hAnsi="Arial" w:cs="Arial"/>
                <w:b/>
                <w:bCs/>
                <w:iCs/>
              </w:rPr>
            </w:pPr>
            <w:r w:rsidRPr="00CD5072">
              <w:rPr>
                <w:rFonts w:ascii="Arial" w:hAnsi="Arial" w:cs="Arial"/>
                <w:b/>
                <w:bCs/>
                <w:iCs/>
              </w:rPr>
              <w:t>9.3</w:t>
            </w:r>
          </w:p>
        </w:tc>
        <w:tc>
          <w:tcPr>
            <w:tcW w:w="332" w:type="pct"/>
            <w:vAlign w:val="center"/>
          </w:tcPr>
          <w:p w14:paraId="4607A7AE" w14:textId="77777777" w:rsidR="00AF1ED6" w:rsidRPr="00CD5072" w:rsidRDefault="00AF1ED6" w:rsidP="006C1AEF">
            <w:pPr>
              <w:spacing w:after="120"/>
              <w:jc w:val="center"/>
              <w:rPr>
                <w:rFonts w:ascii="Arial" w:hAnsi="Arial" w:cs="Arial"/>
                <w:b/>
                <w:bCs/>
                <w:iCs/>
              </w:rPr>
            </w:pPr>
            <w:r w:rsidRPr="00CD5072">
              <w:rPr>
                <w:rFonts w:ascii="Arial" w:hAnsi="Arial" w:cs="Arial"/>
                <w:b/>
                <w:bCs/>
                <w:iCs/>
              </w:rPr>
              <w:t>9.4</w:t>
            </w:r>
          </w:p>
        </w:tc>
        <w:tc>
          <w:tcPr>
            <w:tcW w:w="332" w:type="pct"/>
            <w:vAlign w:val="center"/>
          </w:tcPr>
          <w:p w14:paraId="2EB8962E" w14:textId="77777777" w:rsidR="00AF1ED6" w:rsidRPr="00CD5072" w:rsidRDefault="00AF1ED6" w:rsidP="006C1AEF">
            <w:pPr>
              <w:spacing w:after="120"/>
              <w:jc w:val="center"/>
              <w:rPr>
                <w:rFonts w:ascii="Arial" w:hAnsi="Arial" w:cs="Arial"/>
                <w:b/>
                <w:bCs/>
                <w:iCs/>
              </w:rPr>
            </w:pPr>
            <w:r w:rsidRPr="00CD5072">
              <w:rPr>
                <w:rFonts w:ascii="Arial" w:hAnsi="Arial" w:cs="Arial"/>
                <w:b/>
                <w:bCs/>
                <w:iCs/>
              </w:rPr>
              <w:t>9.5</w:t>
            </w:r>
          </w:p>
        </w:tc>
      </w:tr>
      <w:tr w:rsidR="00AF1ED6" w:rsidRPr="00DB453C" w14:paraId="4A5489D6" w14:textId="77777777" w:rsidTr="006C1AEF">
        <w:tc>
          <w:tcPr>
            <w:tcW w:w="1673" w:type="pct"/>
          </w:tcPr>
          <w:p w14:paraId="7DBE17D3" w14:textId="77777777" w:rsidR="00AF1ED6" w:rsidRPr="00CD5072" w:rsidRDefault="00AF1ED6" w:rsidP="006C1AEF">
            <w:pPr>
              <w:spacing w:after="120"/>
              <w:rPr>
                <w:rFonts w:ascii="Arial" w:hAnsi="Arial" w:cs="Arial"/>
                <w:iCs/>
              </w:rPr>
            </w:pPr>
            <w:r w:rsidRPr="00CD5072">
              <w:rPr>
                <w:rFonts w:ascii="Arial" w:hAnsi="Arial" w:cs="Arial"/>
                <w:iCs/>
              </w:rPr>
              <w:t xml:space="preserve">Presentation </w:t>
            </w:r>
          </w:p>
        </w:tc>
        <w:tc>
          <w:tcPr>
            <w:tcW w:w="333" w:type="pct"/>
            <w:vAlign w:val="center"/>
          </w:tcPr>
          <w:p w14:paraId="00A50805" w14:textId="77777777" w:rsidR="00AF1ED6" w:rsidRPr="00CD5072" w:rsidRDefault="00AF1ED6" w:rsidP="006C1AEF">
            <w:pPr>
              <w:spacing w:after="120"/>
              <w:jc w:val="center"/>
              <w:rPr>
                <w:rFonts w:ascii="Arial" w:hAnsi="Arial" w:cs="Arial"/>
                <w:b/>
              </w:rPr>
            </w:pPr>
          </w:p>
        </w:tc>
        <w:tc>
          <w:tcPr>
            <w:tcW w:w="333" w:type="pct"/>
            <w:vAlign w:val="center"/>
          </w:tcPr>
          <w:p w14:paraId="56315FC9" w14:textId="77777777" w:rsidR="00AF1ED6" w:rsidRPr="00CD5072" w:rsidRDefault="00AF1ED6" w:rsidP="006C1AEF">
            <w:pPr>
              <w:spacing w:after="120"/>
              <w:jc w:val="center"/>
              <w:rPr>
                <w:rFonts w:ascii="Arial" w:hAnsi="Arial" w:cs="Arial"/>
                <w:b/>
              </w:rPr>
            </w:pPr>
          </w:p>
        </w:tc>
        <w:tc>
          <w:tcPr>
            <w:tcW w:w="334" w:type="pct"/>
            <w:vAlign w:val="center"/>
          </w:tcPr>
          <w:p w14:paraId="3F349629"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5F7176AA"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3" w:type="pct"/>
            <w:vAlign w:val="center"/>
          </w:tcPr>
          <w:p w14:paraId="1EE23472"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6702C756" w14:textId="77777777" w:rsidR="00AF1ED6" w:rsidRPr="00CD5072" w:rsidRDefault="00AF1ED6" w:rsidP="006C1AEF">
            <w:pPr>
              <w:spacing w:after="120"/>
              <w:jc w:val="center"/>
              <w:rPr>
                <w:rFonts w:ascii="Arial" w:hAnsi="Arial" w:cs="Arial"/>
                <w:b/>
              </w:rPr>
            </w:pPr>
          </w:p>
        </w:tc>
        <w:tc>
          <w:tcPr>
            <w:tcW w:w="332" w:type="pct"/>
            <w:vAlign w:val="center"/>
          </w:tcPr>
          <w:p w14:paraId="70A62AD8" w14:textId="77777777" w:rsidR="00AF1ED6" w:rsidRPr="00CD5072" w:rsidRDefault="00AF1ED6" w:rsidP="006C1AEF">
            <w:pPr>
              <w:spacing w:after="120"/>
              <w:jc w:val="center"/>
              <w:rPr>
                <w:rFonts w:ascii="Arial" w:hAnsi="Arial" w:cs="Arial"/>
                <w:b/>
              </w:rPr>
            </w:pPr>
          </w:p>
        </w:tc>
        <w:tc>
          <w:tcPr>
            <w:tcW w:w="333" w:type="pct"/>
            <w:vAlign w:val="center"/>
          </w:tcPr>
          <w:p w14:paraId="31C6A34B"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2C7353C8"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5F61E9D5" w14:textId="77777777" w:rsidR="00AF1ED6" w:rsidRPr="00CD5072" w:rsidRDefault="00AF1ED6" w:rsidP="006C1AEF">
            <w:pPr>
              <w:spacing w:after="120"/>
              <w:jc w:val="center"/>
              <w:rPr>
                <w:rFonts w:ascii="Arial" w:hAnsi="Arial" w:cs="Arial"/>
                <w:b/>
              </w:rPr>
            </w:pPr>
          </w:p>
        </w:tc>
      </w:tr>
      <w:tr w:rsidR="00AF1ED6" w:rsidRPr="00DB453C" w14:paraId="067B132E" w14:textId="77777777" w:rsidTr="006C1AEF">
        <w:tc>
          <w:tcPr>
            <w:tcW w:w="1673" w:type="pct"/>
          </w:tcPr>
          <w:p w14:paraId="2838C171" w14:textId="77777777" w:rsidR="00AF1ED6" w:rsidRPr="00CD5072" w:rsidRDefault="00AF1ED6" w:rsidP="006C1AEF">
            <w:pPr>
              <w:spacing w:after="120"/>
              <w:rPr>
                <w:rFonts w:ascii="Arial" w:hAnsi="Arial" w:cs="Arial"/>
                <w:iCs/>
              </w:rPr>
            </w:pPr>
            <w:r w:rsidRPr="00CD5072">
              <w:rPr>
                <w:rFonts w:ascii="Arial" w:hAnsi="Arial" w:cs="Arial"/>
                <w:iCs/>
              </w:rPr>
              <w:t>Essay</w:t>
            </w:r>
          </w:p>
        </w:tc>
        <w:tc>
          <w:tcPr>
            <w:tcW w:w="333" w:type="pct"/>
            <w:vAlign w:val="center"/>
          </w:tcPr>
          <w:p w14:paraId="2461D8B4"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3" w:type="pct"/>
            <w:vAlign w:val="center"/>
          </w:tcPr>
          <w:p w14:paraId="58C34443" w14:textId="77777777" w:rsidR="00AF1ED6" w:rsidRPr="00CD5072" w:rsidRDefault="00AF1ED6" w:rsidP="006C1AEF">
            <w:pPr>
              <w:spacing w:after="120"/>
              <w:jc w:val="center"/>
              <w:rPr>
                <w:rFonts w:ascii="Arial" w:hAnsi="Arial" w:cs="Arial"/>
                <w:b/>
                <w:bCs/>
              </w:rPr>
            </w:pPr>
            <w:r w:rsidRPr="00CD5072">
              <w:rPr>
                <w:rFonts w:ascii="Arial" w:hAnsi="Arial" w:cs="Arial"/>
                <w:b/>
                <w:bCs/>
              </w:rPr>
              <w:t>x</w:t>
            </w:r>
          </w:p>
        </w:tc>
        <w:tc>
          <w:tcPr>
            <w:tcW w:w="334" w:type="pct"/>
            <w:vAlign w:val="center"/>
          </w:tcPr>
          <w:p w14:paraId="561E9422"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6E25B55D" w14:textId="77777777" w:rsidR="00AF1ED6" w:rsidRPr="00CD5072" w:rsidRDefault="00AF1ED6" w:rsidP="006C1AEF">
            <w:pPr>
              <w:spacing w:after="120"/>
              <w:jc w:val="center"/>
              <w:rPr>
                <w:rFonts w:ascii="Arial" w:hAnsi="Arial" w:cs="Arial"/>
                <w:b/>
              </w:rPr>
            </w:pPr>
          </w:p>
        </w:tc>
        <w:tc>
          <w:tcPr>
            <w:tcW w:w="333" w:type="pct"/>
            <w:vAlign w:val="center"/>
          </w:tcPr>
          <w:p w14:paraId="37ABA8E5"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4F7B39A0"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455E8033"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3" w:type="pct"/>
            <w:vAlign w:val="center"/>
          </w:tcPr>
          <w:p w14:paraId="5568EC88"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35470C9A"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01BB38B4" w14:textId="77777777" w:rsidR="00AF1ED6" w:rsidRPr="00CD5072" w:rsidRDefault="00AF1ED6" w:rsidP="006C1AEF">
            <w:pPr>
              <w:spacing w:after="120"/>
              <w:jc w:val="center"/>
              <w:rPr>
                <w:rFonts w:ascii="Arial" w:hAnsi="Arial" w:cs="Arial"/>
                <w:b/>
              </w:rPr>
            </w:pPr>
            <w:r w:rsidRPr="00CD5072">
              <w:rPr>
                <w:rFonts w:ascii="Arial" w:hAnsi="Arial" w:cs="Arial"/>
                <w:b/>
              </w:rPr>
              <w:t>x</w:t>
            </w:r>
          </w:p>
        </w:tc>
      </w:tr>
      <w:tr w:rsidR="00AF1ED6" w:rsidRPr="00DB453C" w14:paraId="63D0C8F7" w14:textId="77777777" w:rsidTr="006C1AEF">
        <w:tc>
          <w:tcPr>
            <w:tcW w:w="1673" w:type="pct"/>
          </w:tcPr>
          <w:p w14:paraId="3A9B919F" w14:textId="77777777" w:rsidR="00AF1ED6" w:rsidRPr="00CD5072" w:rsidRDefault="00AF1ED6" w:rsidP="006C1AEF">
            <w:pPr>
              <w:spacing w:after="120"/>
              <w:rPr>
                <w:rFonts w:ascii="Arial" w:hAnsi="Arial" w:cs="Arial"/>
                <w:iCs/>
              </w:rPr>
            </w:pPr>
            <w:r w:rsidRPr="00CD5072">
              <w:rPr>
                <w:rFonts w:ascii="Arial" w:hAnsi="Arial" w:cs="Arial"/>
                <w:iCs/>
              </w:rPr>
              <w:t>Examination</w:t>
            </w:r>
          </w:p>
        </w:tc>
        <w:tc>
          <w:tcPr>
            <w:tcW w:w="333" w:type="pct"/>
            <w:vAlign w:val="center"/>
          </w:tcPr>
          <w:p w14:paraId="7D2E5D49"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3" w:type="pct"/>
            <w:vAlign w:val="center"/>
          </w:tcPr>
          <w:p w14:paraId="76BDB6F2"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4" w:type="pct"/>
            <w:vAlign w:val="center"/>
          </w:tcPr>
          <w:p w14:paraId="672064D0"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60C865FD"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3" w:type="pct"/>
            <w:vAlign w:val="center"/>
          </w:tcPr>
          <w:p w14:paraId="02FD805E"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52324760"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6DE914AD"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3" w:type="pct"/>
            <w:vAlign w:val="center"/>
          </w:tcPr>
          <w:p w14:paraId="21CB29C9"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0A0EBE18" w14:textId="77777777" w:rsidR="00AF1ED6" w:rsidRPr="00CD5072" w:rsidRDefault="00AF1ED6" w:rsidP="006C1AEF">
            <w:pPr>
              <w:spacing w:after="120"/>
              <w:jc w:val="center"/>
              <w:rPr>
                <w:rFonts w:ascii="Arial" w:hAnsi="Arial" w:cs="Arial"/>
                <w:b/>
              </w:rPr>
            </w:pPr>
            <w:r w:rsidRPr="00CD5072">
              <w:rPr>
                <w:rFonts w:ascii="Arial" w:hAnsi="Arial" w:cs="Arial"/>
                <w:b/>
              </w:rPr>
              <w:t>x</w:t>
            </w:r>
          </w:p>
        </w:tc>
        <w:tc>
          <w:tcPr>
            <w:tcW w:w="332" w:type="pct"/>
            <w:vAlign w:val="center"/>
          </w:tcPr>
          <w:p w14:paraId="729F496D" w14:textId="77777777" w:rsidR="00AF1ED6" w:rsidRPr="00CD5072" w:rsidRDefault="00AF1ED6" w:rsidP="006C1AEF">
            <w:pPr>
              <w:spacing w:after="120"/>
              <w:jc w:val="center"/>
              <w:rPr>
                <w:rFonts w:ascii="Arial" w:hAnsi="Arial" w:cs="Arial"/>
                <w:b/>
              </w:rPr>
            </w:pPr>
            <w:r w:rsidRPr="00CD5072">
              <w:rPr>
                <w:rFonts w:ascii="Arial" w:hAnsi="Arial" w:cs="Arial"/>
                <w:b/>
              </w:rPr>
              <w:t>x</w:t>
            </w:r>
          </w:p>
        </w:tc>
      </w:tr>
    </w:tbl>
    <w:p w14:paraId="08036FBD" w14:textId="7D9B78BE" w:rsidR="00636058" w:rsidRDefault="00636058" w:rsidP="003A3573">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1BF0E375" w14:textId="77777777" w:rsidR="00AF1ED6" w:rsidRPr="005A0900" w:rsidRDefault="00AF1ED6" w:rsidP="00AF1ED6">
      <w:pPr>
        <w:autoSpaceDE w:val="0"/>
        <w:autoSpaceDN w:val="0"/>
        <w:adjustRightInd w:val="0"/>
        <w:spacing w:after="120" w:line="240" w:lineRule="auto"/>
        <w:ind w:left="567" w:right="543"/>
        <w:jc w:val="both"/>
        <w:rPr>
          <w:rFonts w:ascii="Arial" w:hAnsi="Arial" w:cs="Arial"/>
          <w:sz w:val="24"/>
          <w:szCs w:val="24"/>
        </w:rPr>
      </w:pPr>
      <w:r w:rsidRPr="005A090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52C172" w14:textId="77777777" w:rsidR="00AF1ED6" w:rsidRPr="005A0900" w:rsidRDefault="00AF1ED6" w:rsidP="00AF1ED6">
      <w:pPr>
        <w:autoSpaceDE w:val="0"/>
        <w:autoSpaceDN w:val="0"/>
        <w:adjustRightInd w:val="0"/>
        <w:spacing w:after="120" w:line="240" w:lineRule="auto"/>
        <w:ind w:left="567" w:right="543"/>
        <w:jc w:val="both"/>
        <w:rPr>
          <w:rFonts w:ascii="Arial" w:hAnsi="Arial" w:cs="Arial"/>
          <w:sz w:val="24"/>
          <w:szCs w:val="24"/>
        </w:rPr>
      </w:pPr>
      <w:r w:rsidRPr="005A0900">
        <w:rPr>
          <w:rFonts w:ascii="Arial" w:hAnsi="Arial" w:cs="Arial"/>
          <w:sz w:val="24"/>
          <w:szCs w:val="24"/>
        </w:rPr>
        <w:t>The inclusive practices in the guidance (see Annex B Appendix A) have been considered in order to support all students in the following areas:</w:t>
      </w:r>
    </w:p>
    <w:p w14:paraId="18D3DFE6" w14:textId="77777777" w:rsidR="00AF1ED6" w:rsidRPr="005A0900" w:rsidRDefault="00AF1ED6" w:rsidP="00AF1ED6">
      <w:pPr>
        <w:autoSpaceDE w:val="0"/>
        <w:autoSpaceDN w:val="0"/>
        <w:adjustRightInd w:val="0"/>
        <w:spacing w:after="120" w:line="240" w:lineRule="auto"/>
        <w:ind w:left="567" w:right="543"/>
        <w:jc w:val="both"/>
        <w:rPr>
          <w:rFonts w:ascii="Arial" w:hAnsi="Arial" w:cs="Arial"/>
          <w:bCs/>
          <w:sz w:val="24"/>
          <w:szCs w:val="24"/>
        </w:rPr>
      </w:pPr>
      <w:r w:rsidRPr="005A0900">
        <w:rPr>
          <w:rFonts w:ascii="Arial" w:hAnsi="Arial" w:cs="Arial"/>
          <w:sz w:val="24"/>
          <w:szCs w:val="24"/>
        </w:rPr>
        <w:t xml:space="preserve">a) </w:t>
      </w:r>
      <w:r w:rsidRPr="005A0900">
        <w:rPr>
          <w:rFonts w:ascii="Arial" w:hAnsi="Arial" w:cs="Arial"/>
          <w:bCs/>
          <w:sz w:val="24"/>
          <w:szCs w:val="24"/>
        </w:rPr>
        <w:t>Accessible resources and curriculum</w:t>
      </w:r>
    </w:p>
    <w:p w14:paraId="134137DA" w14:textId="77777777" w:rsidR="00AF1ED6" w:rsidRPr="005A0900" w:rsidRDefault="00AF1ED6" w:rsidP="00AF1ED6">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5A0900">
        <w:rPr>
          <w:rFonts w:ascii="Arial" w:hAnsi="Arial" w:cs="Arial"/>
          <w:sz w:val="24"/>
          <w:szCs w:val="24"/>
        </w:rPr>
        <w:t xml:space="preserve">b) </w:t>
      </w:r>
      <w:r w:rsidRPr="005A0900">
        <w:rPr>
          <w:rFonts w:ascii="Arial" w:hAnsi="Arial" w:cs="Arial"/>
          <w:bCs/>
          <w:sz w:val="24"/>
          <w:szCs w:val="24"/>
        </w:rPr>
        <w:t>Learning, teaching and assessment methods.</w:t>
      </w: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47797F3A" w:rsidR="009A2D37" w:rsidRDefault="00AF1ED6" w:rsidP="009D52D0">
      <w:pPr>
        <w:spacing w:after="120" w:line="240" w:lineRule="auto"/>
        <w:ind w:left="426" w:right="543"/>
        <w:rPr>
          <w:rFonts w:ascii="Arial" w:hAnsi="Arial" w:cs="Arial"/>
          <w:sz w:val="24"/>
          <w:szCs w:val="24"/>
        </w:rPr>
      </w:pPr>
      <w:r>
        <w:rPr>
          <w:rFonts w:ascii="Arial" w:hAnsi="Arial" w:cs="Arial"/>
          <w:sz w:val="24"/>
          <w:szCs w:val="24"/>
        </w:rPr>
        <w:t xml:space="preserve">   Canterbury</w:t>
      </w:r>
    </w:p>
    <w:p w14:paraId="654C7CE7" w14:textId="77777777" w:rsidR="00883204" w:rsidRPr="009D52D0" w:rsidRDefault="00883204" w:rsidP="00072357">
      <w:pPr>
        <w:pStyle w:val="Heading2"/>
      </w:pPr>
      <w:r w:rsidRPr="009D52D0">
        <w:t xml:space="preserve">Internationalisation </w:t>
      </w:r>
    </w:p>
    <w:p w14:paraId="3F5B9073" w14:textId="5AAEC3A2" w:rsidR="009D52D0" w:rsidRDefault="00AF1ED6" w:rsidP="00AF1ED6">
      <w:pPr>
        <w:spacing w:after="120" w:line="240" w:lineRule="auto"/>
        <w:ind w:left="567" w:right="260"/>
        <w:jc w:val="both"/>
        <w:rPr>
          <w:rFonts w:ascii="Arial" w:hAnsi="Arial" w:cs="Arial"/>
          <w:sz w:val="24"/>
          <w:szCs w:val="24"/>
        </w:rPr>
      </w:pPr>
      <w:r w:rsidRPr="00DB453C">
        <w:rPr>
          <w:rFonts w:ascii="Arial" w:hAnsi="Arial" w:cs="Arial"/>
          <w:sz w:val="24"/>
          <w:szCs w:val="24"/>
        </w:rPr>
        <w:t xml:space="preserve">The module has a strong international focus and reviews issues pertaining to labour market outcomes from both a national and international perspective. The module has been designed to integrate theoretical issues, empirical evidence and questions of policy, drawing on research covering a range of OECD countries. </w:t>
      </w:r>
    </w:p>
    <w:p w14:paraId="3F243C23" w14:textId="77777777" w:rsidR="00CD5072" w:rsidRDefault="00CD5072" w:rsidP="00CD5072">
      <w:pPr>
        <w:rPr>
          <w:rFonts w:ascii="Arial" w:hAnsi="Arial" w:cs="Arial"/>
          <w:sz w:val="24"/>
          <w:szCs w:val="24"/>
        </w:rPr>
      </w:pPr>
      <w:bookmarkStart w:id="0" w:name="_Hlk110347234"/>
    </w:p>
    <w:p w14:paraId="6C23D604" w14:textId="77777777" w:rsidR="00CD5072" w:rsidRPr="009D52D0" w:rsidRDefault="00CD5072" w:rsidP="00CD5072">
      <w:pPr>
        <w:pBdr>
          <w:bottom w:val="single" w:sz="6" w:space="1" w:color="auto"/>
        </w:pBdr>
        <w:spacing w:after="120" w:line="240" w:lineRule="auto"/>
        <w:ind w:right="543"/>
        <w:rPr>
          <w:rFonts w:ascii="Arial" w:hAnsi="Arial" w:cs="Arial"/>
          <w:sz w:val="24"/>
          <w:szCs w:val="24"/>
        </w:rPr>
      </w:pPr>
      <w:bookmarkStart w:id="1" w:name="_Hlk118801091"/>
    </w:p>
    <w:p w14:paraId="35D64659" w14:textId="77777777" w:rsidR="00CD5072" w:rsidRPr="005E5282" w:rsidRDefault="00CD5072" w:rsidP="00CD5072">
      <w:pPr>
        <w:spacing w:after="120" w:line="240" w:lineRule="auto"/>
        <w:ind w:right="543"/>
        <w:rPr>
          <w:rFonts w:ascii="Arial" w:hAnsi="Arial" w:cs="Arial"/>
          <w:b/>
        </w:rPr>
      </w:pPr>
      <w:r w:rsidRPr="005E5282">
        <w:rPr>
          <w:rFonts w:ascii="Arial" w:hAnsi="Arial" w:cs="Arial"/>
          <w:b/>
        </w:rPr>
        <w:t xml:space="preserve">DIVISIONAL USE ONLY </w:t>
      </w:r>
    </w:p>
    <w:bookmarkEnd w:id="1"/>
    <w:p w14:paraId="78559793" w14:textId="77777777" w:rsidR="00CD5072" w:rsidRPr="005E5282" w:rsidRDefault="00CD5072" w:rsidP="00CD5072">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6A4DB0A" w14:textId="77777777" w:rsidR="00CD5072" w:rsidRPr="005E5282" w:rsidRDefault="00CD5072" w:rsidP="00CD5072">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CD5072" w:rsidRPr="009D52D0" w14:paraId="10C77014" w14:textId="77777777" w:rsidTr="00CD5072">
        <w:trPr>
          <w:trHeight w:val="317"/>
          <w:tblHeader/>
        </w:trPr>
        <w:tc>
          <w:tcPr>
            <w:tcW w:w="1592" w:type="dxa"/>
            <w:shd w:val="clear" w:color="auto" w:fill="F2F2F2" w:themeFill="background1" w:themeFillShade="F2"/>
          </w:tcPr>
          <w:p w14:paraId="7D73D330" w14:textId="77777777" w:rsidR="00CD5072" w:rsidRPr="009D52D0" w:rsidRDefault="00CD5072" w:rsidP="00CB346F">
            <w:pPr>
              <w:pStyle w:val="Tableoutcomeshead"/>
            </w:pPr>
            <w:r w:rsidRPr="009D52D0">
              <w:t>Date approved</w:t>
            </w:r>
          </w:p>
        </w:tc>
        <w:tc>
          <w:tcPr>
            <w:tcW w:w="1817" w:type="dxa"/>
            <w:shd w:val="clear" w:color="auto" w:fill="F2F2F2" w:themeFill="background1" w:themeFillShade="F2"/>
          </w:tcPr>
          <w:p w14:paraId="5F79E05B" w14:textId="77777777" w:rsidR="00CD5072" w:rsidRPr="009D52D0" w:rsidRDefault="00CD5072" w:rsidP="00CB346F">
            <w:pPr>
              <w:pStyle w:val="Tableoutcomeshead"/>
            </w:pPr>
            <w:r>
              <w:t>New/</w:t>
            </w:r>
            <w:r w:rsidRPr="009D52D0">
              <w:t>Major/</w:t>
            </w:r>
            <w:r>
              <w:t>M</w:t>
            </w:r>
            <w:r w:rsidRPr="009D52D0">
              <w:t>inor revision</w:t>
            </w:r>
          </w:p>
        </w:tc>
        <w:tc>
          <w:tcPr>
            <w:tcW w:w="2256" w:type="dxa"/>
            <w:shd w:val="clear" w:color="auto" w:fill="F2F2F2" w:themeFill="background1" w:themeFillShade="F2"/>
          </w:tcPr>
          <w:p w14:paraId="61A0F014" w14:textId="77777777" w:rsidR="00CD5072" w:rsidRPr="009D52D0" w:rsidRDefault="00CD5072" w:rsidP="00CB34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627141E" w14:textId="77777777" w:rsidR="00CD5072" w:rsidRPr="009D52D0" w:rsidRDefault="00CD5072" w:rsidP="00CB346F">
            <w:pPr>
              <w:pStyle w:val="Tableoutcomeshead"/>
            </w:pPr>
            <w:r w:rsidRPr="009D52D0">
              <w:t>Section revised</w:t>
            </w:r>
            <w:r>
              <w:t xml:space="preserve"> (if applicable)</w:t>
            </w:r>
          </w:p>
        </w:tc>
        <w:tc>
          <w:tcPr>
            <w:tcW w:w="2318" w:type="dxa"/>
            <w:shd w:val="clear" w:color="auto" w:fill="F2F2F2" w:themeFill="background1" w:themeFillShade="F2"/>
          </w:tcPr>
          <w:p w14:paraId="543BAF78" w14:textId="77777777" w:rsidR="00CD5072" w:rsidRPr="009D52D0" w:rsidRDefault="00CD5072" w:rsidP="00CB346F">
            <w:pPr>
              <w:pStyle w:val="Tableoutcomeshead"/>
            </w:pPr>
            <w:r w:rsidRPr="009D52D0">
              <w:t>Impacts PLOs (Q6</w:t>
            </w:r>
            <w:r>
              <w:t xml:space="preserve"> </w:t>
            </w:r>
            <w:r w:rsidRPr="009D52D0">
              <w:t>&amp;</w:t>
            </w:r>
            <w:r>
              <w:t xml:space="preserve"> </w:t>
            </w:r>
            <w:r w:rsidRPr="009D52D0">
              <w:t>7 cover sheet)</w:t>
            </w:r>
          </w:p>
        </w:tc>
      </w:tr>
      <w:tr w:rsidR="00CD5072" w:rsidRPr="009D52D0" w14:paraId="1415FAD8" w14:textId="77777777" w:rsidTr="00CD5072">
        <w:trPr>
          <w:trHeight w:val="305"/>
        </w:trPr>
        <w:tc>
          <w:tcPr>
            <w:tcW w:w="1592" w:type="dxa"/>
          </w:tcPr>
          <w:p w14:paraId="4E236ECE" w14:textId="25ACE3EA" w:rsidR="00CD5072" w:rsidRPr="009D52D0" w:rsidRDefault="00CD5072" w:rsidP="00CB346F">
            <w:pPr>
              <w:pStyle w:val="Tabledivuseonly"/>
            </w:pPr>
            <w:r>
              <w:t>05.12.22</w:t>
            </w:r>
          </w:p>
        </w:tc>
        <w:tc>
          <w:tcPr>
            <w:tcW w:w="1817" w:type="dxa"/>
          </w:tcPr>
          <w:p w14:paraId="405EAFE0" w14:textId="5C63BCE1" w:rsidR="00CD5072" w:rsidRPr="009D52D0" w:rsidRDefault="00CD5072" w:rsidP="00CB346F">
            <w:pPr>
              <w:pStyle w:val="Tabledivuseonly"/>
            </w:pPr>
            <w:r>
              <w:t>Major</w:t>
            </w:r>
          </w:p>
        </w:tc>
        <w:tc>
          <w:tcPr>
            <w:tcW w:w="2256" w:type="dxa"/>
          </w:tcPr>
          <w:p w14:paraId="0B8DF274" w14:textId="58C414A2" w:rsidR="00CD5072" w:rsidRPr="009D52D0" w:rsidRDefault="00CD5072" w:rsidP="00CB346F">
            <w:pPr>
              <w:pStyle w:val="Tabledivuseonly"/>
            </w:pPr>
            <w:r>
              <w:t>September 2023</w:t>
            </w:r>
          </w:p>
        </w:tc>
        <w:tc>
          <w:tcPr>
            <w:tcW w:w="2077" w:type="dxa"/>
          </w:tcPr>
          <w:p w14:paraId="5F9B09F4" w14:textId="67EDADC1" w:rsidR="00CD5072" w:rsidRPr="009D52D0" w:rsidRDefault="00CD5072" w:rsidP="00CB346F">
            <w:pPr>
              <w:pStyle w:val="Tabledivuseonly"/>
            </w:pPr>
            <w:r w:rsidRPr="00CD5072">
              <w:t>7, 9, 11, 13</w:t>
            </w:r>
          </w:p>
        </w:tc>
        <w:tc>
          <w:tcPr>
            <w:tcW w:w="2318" w:type="dxa"/>
          </w:tcPr>
          <w:p w14:paraId="59D9D039" w14:textId="77777777" w:rsidR="00CD5072" w:rsidRPr="009D52D0" w:rsidRDefault="00CD5072" w:rsidP="00CB346F">
            <w:pPr>
              <w:pStyle w:val="Tabledivuseonly"/>
            </w:pPr>
          </w:p>
        </w:tc>
      </w:tr>
      <w:tr w:rsidR="00CD5072" w:rsidRPr="009D52D0" w14:paraId="7834B70A" w14:textId="77777777" w:rsidTr="00CD5072">
        <w:trPr>
          <w:trHeight w:val="305"/>
        </w:trPr>
        <w:tc>
          <w:tcPr>
            <w:tcW w:w="1592" w:type="dxa"/>
          </w:tcPr>
          <w:p w14:paraId="2A44E5AB" w14:textId="77777777" w:rsidR="00CD5072" w:rsidRPr="009D52D0" w:rsidRDefault="00CD5072" w:rsidP="00CB346F">
            <w:pPr>
              <w:pStyle w:val="Tabledivuseonly"/>
            </w:pPr>
          </w:p>
        </w:tc>
        <w:tc>
          <w:tcPr>
            <w:tcW w:w="1817" w:type="dxa"/>
          </w:tcPr>
          <w:p w14:paraId="302BA99D" w14:textId="77777777" w:rsidR="00CD5072" w:rsidRPr="009D52D0" w:rsidRDefault="00CD5072" w:rsidP="00CB346F">
            <w:pPr>
              <w:pStyle w:val="Tabledivuseonly"/>
            </w:pPr>
          </w:p>
        </w:tc>
        <w:tc>
          <w:tcPr>
            <w:tcW w:w="2256" w:type="dxa"/>
          </w:tcPr>
          <w:p w14:paraId="1616B35F" w14:textId="77777777" w:rsidR="00CD5072" w:rsidRPr="009D52D0" w:rsidRDefault="00CD5072" w:rsidP="00CB346F">
            <w:pPr>
              <w:pStyle w:val="Tabledivuseonly"/>
            </w:pPr>
          </w:p>
        </w:tc>
        <w:tc>
          <w:tcPr>
            <w:tcW w:w="2077" w:type="dxa"/>
          </w:tcPr>
          <w:p w14:paraId="7FEBF3FD" w14:textId="77777777" w:rsidR="00CD5072" w:rsidRPr="009D52D0" w:rsidRDefault="00CD5072" w:rsidP="00CB346F">
            <w:pPr>
              <w:pStyle w:val="Tabledivuseonly"/>
            </w:pPr>
          </w:p>
        </w:tc>
        <w:tc>
          <w:tcPr>
            <w:tcW w:w="2318" w:type="dxa"/>
          </w:tcPr>
          <w:p w14:paraId="19FC1EC2" w14:textId="77777777" w:rsidR="00CD5072" w:rsidRPr="009D52D0" w:rsidRDefault="00CD5072" w:rsidP="00CB346F">
            <w:pPr>
              <w:pStyle w:val="Tabledivuseonly"/>
            </w:pPr>
          </w:p>
        </w:tc>
      </w:tr>
    </w:tbl>
    <w:p w14:paraId="195EEE2D" w14:textId="77777777" w:rsidR="00CD5072" w:rsidRDefault="00CD5072" w:rsidP="00CD5072">
      <w:pPr>
        <w:spacing w:after="120" w:line="240" w:lineRule="auto"/>
        <w:ind w:right="543"/>
        <w:rPr>
          <w:rFonts w:ascii="Arial" w:hAnsi="Arial" w:cs="Arial"/>
          <w:sz w:val="24"/>
          <w:szCs w:val="24"/>
        </w:rPr>
      </w:pPr>
    </w:p>
    <w:bookmarkEnd w:id="0"/>
    <w:p w14:paraId="69E3EB6B" w14:textId="77777777" w:rsidR="00CD5072" w:rsidRPr="00FC217A" w:rsidRDefault="00CD5072" w:rsidP="00CD5072">
      <w:pPr>
        <w:rPr>
          <w:rFonts w:ascii="Arial" w:hAnsi="Arial" w:cs="Arial"/>
          <w:sz w:val="24"/>
          <w:szCs w:val="24"/>
        </w:rPr>
      </w:pPr>
    </w:p>
    <w:sectPr w:rsidR="00CD5072" w:rsidRPr="00FC217A" w:rsidSect="00EE0481">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439B5920" w:rsidR="008B2543" w:rsidRDefault="0019787E" w:rsidP="00011ACA">
        <w:pPr>
          <w:pStyle w:val="Footer"/>
          <w:spacing w:before="120" w:after="120"/>
          <w:jc w:val="center"/>
        </w:pPr>
        <w:r>
          <w:fldChar w:fldCharType="begin"/>
        </w:r>
        <w:r>
          <w:instrText xml:space="preserve"> PAGE   \* MERGEFORMAT </w:instrText>
        </w:r>
        <w:r>
          <w:fldChar w:fldCharType="separate"/>
        </w:r>
        <w:r w:rsidR="005C6FD6">
          <w:rPr>
            <w:noProof/>
          </w:rPr>
          <w:t>6</w:t>
        </w:r>
        <w:r>
          <w:rPr>
            <w:noProof/>
          </w:rPr>
          <w:fldChar w:fldCharType="end"/>
        </w:r>
      </w:p>
    </w:sdtContent>
  </w:sdt>
  <w:p w14:paraId="26569854" w14:textId="1144EC3D" w:rsidR="008B2543" w:rsidRPr="007B7724" w:rsidRDefault="008B2543" w:rsidP="00011ACA">
    <w:pPr>
      <w:pStyle w:val="Footer"/>
      <w:ind w:right="-329"/>
      <w:rPr>
        <w:rFonts w:ascii="Arial" w:hAnsi="Arial"/>
        <w:sz w:val="18"/>
      </w:rPr>
    </w:pPr>
    <w:r w:rsidRPr="007B7724">
      <w:rPr>
        <w:rFonts w:ascii="Arial" w:hAnsi="Arial"/>
        <w:sz w:val="18"/>
      </w:rPr>
      <w:t>Module Specification</w:t>
    </w:r>
    <w:r w:rsidR="00011ACA">
      <w:rPr>
        <w:rFonts w:ascii="Arial" w:hAnsi="Arial"/>
        <w:sz w:val="18"/>
      </w:rPr>
      <w:t xml:space="preserve">: </w:t>
    </w:r>
    <w:r w:rsidR="00011ACA" w:rsidRPr="00011ACA">
      <w:rPr>
        <w:rFonts w:ascii="Arial" w:hAnsi="Arial"/>
        <w:sz w:val="18"/>
      </w:rPr>
      <w:t>ECON5450 Economics of the Labour Market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7824DB7" w:rsidR="00EB41D1" w:rsidRDefault="00EB41D1" w:rsidP="00EB41D1">
        <w:pPr>
          <w:pStyle w:val="Footer"/>
          <w:jc w:val="center"/>
        </w:pPr>
        <w:r>
          <w:fldChar w:fldCharType="begin"/>
        </w:r>
        <w:r>
          <w:instrText xml:space="preserve"> PAGE   \* MERGEFORMAT </w:instrText>
        </w:r>
        <w:r>
          <w:fldChar w:fldCharType="separate"/>
        </w:r>
        <w:r w:rsidR="005C6FD6">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6A83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026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93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C20B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EF4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FC0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2ED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2622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F0D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F5E19DB"/>
    <w:multiLevelType w:val="multilevel"/>
    <w:tmpl w:val="5D46ABE0"/>
    <w:lvl w:ilvl="0">
      <w:start w:val="9"/>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990DA2"/>
    <w:multiLevelType w:val="multilevel"/>
    <w:tmpl w:val="3966536E"/>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9B42A4"/>
    <w:multiLevelType w:val="multilevel"/>
    <w:tmpl w:val="883AB6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AA10E43"/>
    <w:multiLevelType w:val="multilevel"/>
    <w:tmpl w:val="9B64D2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7D34CC"/>
    <w:multiLevelType w:val="multilevel"/>
    <w:tmpl w:val="883AB6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4DF11CE"/>
    <w:multiLevelType w:val="multilevel"/>
    <w:tmpl w:val="9208A6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4BF07B27"/>
    <w:multiLevelType w:val="multilevel"/>
    <w:tmpl w:val="5D46ABE0"/>
    <w:lvl w:ilvl="0">
      <w:start w:val="9"/>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E3E3752"/>
    <w:multiLevelType w:val="multilevel"/>
    <w:tmpl w:val="883AB6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E553075"/>
    <w:multiLevelType w:val="hybridMultilevel"/>
    <w:tmpl w:val="5206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D5070BE"/>
    <w:multiLevelType w:val="multilevel"/>
    <w:tmpl w:val="F53A42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338263288">
    <w:abstractNumId w:val="13"/>
  </w:num>
  <w:num w:numId="2" w16cid:durableId="1730105303">
    <w:abstractNumId w:val="9"/>
  </w:num>
  <w:num w:numId="3" w16cid:durableId="523439434">
    <w:abstractNumId w:val="16"/>
  </w:num>
  <w:num w:numId="4" w16cid:durableId="1306157629">
    <w:abstractNumId w:val="10"/>
  </w:num>
  <w:num w:numId="5" w16cid:durableId="1876654525">
    <w:abstractNumId w:val="24"/>
  </w:num>
  <w:num w:numId="6" w16cid:durableId="1575161427">
    <w:abstractNumId w:val="22"/>
  </w:num>
  <w:num w:numId="7" w16cid:durableId="1625892134">
    <w:abstractNumId w:val="29"/>
  </w:num>
  <w:num w:numId="8" w16cid:durableId="2114546001">
    <w:abstractNumId w:val="23"/>
  </w:num>
  <w:num w:numId="9" w16cid:durableId="201141438">
    <w:abstractNumId w:val="17"/>
  </w:num>
  <w:num w:numId="10" w16cid:durableId="2042784991">
    <w:abstractNumId w:val="20"/>
  </w:num>
  <w:num w:numId="11" w16cid:durableId="2146266186">
    <w:abstractNumId w:val="30"/>
  </w:num>
  <w:num w:numId="12" w16cid:durableId="1068843268">
    <w:abstractNumId w:val="19"/>
  </w:num>
  <w:num w:numId="13" w16cid:durableId="1638989990">
    <w:abstractNumId w:val="28"/>
  </w:num>
  <w:num w:numId="14" w16cid:durableId="67969848">
    <w:abstractNumId w:val="27"/>
  </w:num>
  <w:num w:numId="15" w16cid:durableId="1320501482">
    <w:abstractNumId w:val="26"/>
  </w:num>
  <w:num w:numId="16" w16cid:durableId="1238512683">
    <w:abstractNumId w:val="7"/>
  </w:num>
  <w:num w:numId="17" w16cid:durableId="653681079">
    <w:abstractNumId w:val="6"/>
  </w:num>
  <w:num w:numId="18" w16cid:durableId="941500362">
    <w:abstractNumId w:val="5"/>
  </w:num>
  <w:num w:numId="19" w16cid:durableId="1706713803">
    <w:abstractNumId w:val="4"/>
  </w:num>
  <w:num w:numId="20" w16cid:durableId="1354304568">
    <w:abstractNumId w:val="8"/>
  </w:num>
  <w:num w:numId="21" w16cid:durableId="1368798353">
    <w:abstractNumId w:val="3"/>
  </w:num>
  <w:num w:numId="22" w16cid:durableId="1476296151">
    <w:abstractNumId w:val="2"/>
  </w:num>
  <w:num w:numId="23" w16cid:durableId="1755281769">
    <w:abstractNumId w:val="1"/>
  </w:num>
  <w:num w:numId="24" w16cid:durableId="1044214434">
    <w:abstractNumId w:val="0"/>
  </w:num>
  <w:num w:numId="25" w16cid:durableId="211038321">
    <w:abstractNumId w:val="18"/>
  </w:num>
  <w:num w:numId="26" w16cid:durableId="1961302798">
    <w:abstractNumId w:val="25"/>
  </w:num>
  <w:num w:numId="27" w16cid:durableId="1478262576">
    <w:abstractNumId w:val="15"/>
  </w:num>
  <w:num w:numId="28" w16cid:durableId="1382750112">
    <w:abstractNumId w:val="14"/>
  </w:num>
  <w:num w:numId="29" w16cid:durableId="268464453">
    <w:abstractNumId w:val="11"/>
  </w:num>
  <w:num w:numId="30" w16cid:durableId="1033769539">
    <w:abstractNumId w:val="21"/>
  </w:num>
  <w:num w:numId="31" w16cid:durableId="2048603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ACA"/>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4E37"/>
    <w:rsid w:val="000F6C56"/>
    <w:rsid w:val="000F7FBF"/>
    <w:rsid w:val="00106BE5"/>
    <w:rsid w:val="00110947"/>
    <w:rsid w:val="00111906"/>
    <w:rsid w:val="00111CB3"/>
    <w:rsid w:val="00117577"/>
    <w:rsid w:val="00117793"/>
    <w:rsid w:val="001206E4"/>
    <w:rsid w:val="001212C1"/>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C1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F55"/>
    <w:rsid w:val="00374DF6"/>
    <w:rsid w:val="003759B0"/>
    <w:rsid w:val="00375F84"/>
    <w:rsid w:val="00376E34"/>
    <w:rsid w:val="003804E7"/>
    <w:rsid w:val="00391263"/>
    <w:rsid w:val="003934D2"/>
    <w:rsid w:val="003973A1"/>
    <w:rsid w:val="003A3573"/>
    <w:rsid w:val="003A5DA0"/>
    <w:rsid w:val="003A5EEB"/>
    <w:rsid w:val="003A6143"/>
    <w:rsid w:val="003B35F4"/>
    <w:rsid w:val="003B7C76"/>
    <w:rsid w:val="003C3E0C"/>
    <w:rsid w:val="003C776B"/>
    <w:rsid w:val="003D4A1C"/>
    <w:rsid w:val="003D7AA0"/>
    <w:rsid w:val="003E1FF7"/>
    <w:rsid w:val="003E26C3"/>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6A9E"/>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5592F"/>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6FD6"/>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0078"/>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41CB"/>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1ED6"/>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507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E2F8D"/>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0481"/>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81"/>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EE0481"/>
    <w:pPr>
      <w:spacing w:before="600"/>
      <w:ind w:righ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EE0481"/>
    <w:rPr>
      <w:rFonts w:ascii="Arial" w:eastAsiaTheme="minorEastAsia" w:hAnsi="Arial" w:cs="Arial"/>
      <w:b/>
      <w:sz w:val="24"/>
      <w:szCs w:val="24"/>
      <w:lang w:eastAsia="en-GB"/>
    </w:rPr>
  </w:style>
  <w:style w:type="paragraph" w:styleId="Revision">
    <w:name w:val="Revision"/>
    <w:hidden/>
    <w:uiPriority w:val="99"/>
    <w:semiHidden/>
    <w:rsid w:val="00214C11"/>
    <w:pPr>
      <w:spacing w:after="0" w:line="240" w:lineRule="auto"/>
    </w:pPr>
    <w:rPr>
      <w:rFonts w:eastAsiaTheme="minorEastAsia"/>
      <w:lang w:eastAsia="en-GB"/>
    </w:rPr>
  </w:style>
  <w:style w:type="paragraph" w:styleId="ListNumber2">
    <w:name w:val="List Number 2"/>
    <w:basedOn w:val="Normal"/>
    <w:uiPriority w:val="99"/>
    <w:unhideWhenUsed/>
    <w:rsid w:val="00EE0481"/>
    <w:pPr>
      <w:spacing w:after="120" w:line="240" w:lineRule="auto"/>
    </w:pPr>
    <w:rPr>
      <w:rFonts w:ascii="Arial" w:hAnsi="Arial"/>
      <w:sz w:val="24"/>
    </w:rPr>
  </w:style>
  <w:style w:type="paragraph" w:styleId="BodyText">
    <w:name w:val="Body Text"/>
    <w:basedOn w:val="Normal"/>
    <w:link w:val="BodyTextChar"/>
    <w:uiPriority w:val="99"/>
    <w:unhideWhenUsed/>
    <w:rsid w:val="00011ACA"/>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011ACA"/>
    <w:rPr>
      <w:rFonts w:ascii="Arial" w:eastAsiaTheme="minorEastAsia" w:hAnsi="Arial"/>
      <w:sz w:val="24"/>
      <w:lang w:eastAsia="en-GB"/>
    </w:rPr>
  </w:style>
  <w:style w:type="paragraph" w:styleId="List">
    <w:name w:val="List"/>
    <w:basedOn w:val="Normal"/>
    <w:uiPriority w:val="99"/>
    <w:unhideWhenUsed/>
    <w:rsid w:val="00011ACA"/>
    <w:pPr>
      <w:ind w:left="283" w:hanging="283"/>
      <w:contextualSpacing/>
    </w:pPr>
    <w:rPr>
      <w:rFonts w:ascii="Arial" w:hAnsi="Arial"/>
      <w:sz w:val="24"/>
    </w:rPr>
  </w:style>
  <w:style w:type="paragraph" w:customStyle="1" w:styleId="Tableoutcomeshead">
    <w:name w:val="Table outcomes head"/>
    <w:basedOn w:val="Normal"/>
    <w:qFormat/>
    <w:rsid w:val="00CD5072"/>
    <w:pPr>
      <w:spacing w:after="120" w:line="240" w:lineRule="auto"/>
    </w:pPr>
    <w:rPr>
      <w:rFonts w:ascii="Arial" w:hAnsi="Arial" w:cs="Arial"/>
      <w:b/>
      <w:sz w:val="20"/>
      <w:szCs w:val="20"/>
    </w:rPr>
  </w:style>
  <w:style w:type="paragraph" w:customStyle="1" w:styleId="Tabledivuseonly">
    <w:name w:val="Table div use only"/>
    <w:basedOn w:val="Normal"/>
    <w:qFormat/>
    <w:rsid w:val="00CD5072"/>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0f061cf8-965b-41d1-b73f-08c05eb051be"/>
    <ds:schemaRef ds:uri="fe6ac463-7d16-4f7e-a9c7-d94014c384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AB509EF8-B952-4EC6-A69C-3F9894B65664}">
  <ds:schemaRefs>
    <ds:schemaRef ds:uri="http://schemas.openxmlformats.org/officeDocument/2006/bibliography"/>
  </ds:schemaRefs>
</ds:datastoreItem>
</file>

<file path=customXml/itemProps4.xml><?xml version="1.0" encoding="utf-8"?>
<ds:datastoreItem xmlns:ds="http://schemas.openxmlformats.org/officeDocument/2006/customXml" ds:itemID="{3E0E1315-8B27-4BEC-9CAD-277271D7A070}"/>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2022-12-05T10:19:00Z</dcterms:created>
  <dcterms:modified xsi:type="dcterms:W3CDTF">2022-12-05T10:35:00Z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