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2FF58B4" w:rsidR="00694B52" w:rsidRPr="009D52D0" w:rsidRDefault="00F52808" w:rsidP="00A05CF7">
      <w:pPr>
        <w:spacing w:after="120" w:line="240" w:lineRule="auto"/>
        <w:ind w:left="567" w:right="543"/>
        <w:jc w:val="both"/>
        <w:rPr>
          <w:rFonts w:ascii="Arial" w:hAnsi="Arial" w:cs="Arial"/>
          <w:sz w:val="24"/>
          <w:szCs w:val="24"/>
        </w:rPr>
      </w:pPr>
      <w:r w:rsidRPr="00F52808">
        <w:rPr>
          <w:rFonts w:ascii="Arial" w:hAnsi="Arial" w:cs="Arial"/>
          <w:sz w:val="24"/>
          <w:szCs w:val="24"/>
        </w:rPr>
        <w:t>CLAS7</w:t>
      </w:r>
      <w:r w:rsidR="00783C7E">
        <w:rPr>
          <w:rFonts w:ascii="Arial" w:hAnsi="Arial" w:cs="Arial"/>
          <w:sz w:val="24"/>
          <w:szCs w:val="24"/>
        </w:rPr>
        <w:t>70</w:t>
      </w:r>
      <w:r w:rsidRPr="00F52808">
        <w:rPr>
          <w:rFonts w:ascii="Arial" w:hAnsi="Arial" w:cs="Arial"/>
          <w:sz w:val="24"/>
          <w:szCs w:val="24"/>
        </w:rPr>
        <w:t>0 (CL7</w:t>
      </w:r>
      <w:r w:rsidR="00783C7E">
        <w:rPr>
          <w:rFonts w:ascii="Arial" w:hAnsi="Arial" w:cs="Arial"/>
          <w:sz w:val="24"/>
          <w:szCs w:val="24"/>
        </w:rPr>
        <w:t>70</w:t>
      </w:r>
      <w:r w:rsidRPr="00F52808">
        <w:rPr>
          <w:rFonts w:ascii="Arial" w:hAnsi="Arial" w:cs="Arial"/>
          <w:sz w:val="24"/>
          <w:szCs w:val="24"/>
        </w:rPr>
        <w:t>) – Egypt and the Classical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E020A29" w:rsidR="00694B52" w:rsidRPr="00694B52" w:rsidRDefault="00F52808" w:rsidP="00910059">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715DC9E" w:rsidR="00694B52" w:rsidRPr="00694B52" w:rsidRDefault="00855A9C" w:rsidP="00910059">
      <w:pPr>
        <w:spacing w:after="120" w:line="240" w:lineRule="auto"/>
        <w:ind w:left="567" w:right="543"/>
        <w:rPr>
          <w:rFonts w:ascii="Arial" w:hAnsi="Arial" w:cs="Arial"/>
          <w:sz w:val="24"/>
          <w:szCs w:val="24"/>
        </w:rPr>
      </w:pPr>
      <w:r>
        <w:rPr>
          <w:rFonts w:ascii="Arial" w:hAnsi="Arial" w:cs="Arial"/>
          <w:sz w:val="24"/>
          <w:szCs w:val="24"/>
        </w:rPr>
        <w:t>15</w:t>
      </w:r>
      <w:r w:rsidRPr="00F52808">
        <w:rPr>
          <w:rFonts w:ascii="Arial" w:hAnsi="Arial" w:cs="Arial"/>
          <w:sz w:val="24"/>
          <w:szCs w:val="24"/>
        </w:rPr>
        <w:t xml:space="preserve"> </w:t>
      </w:r>
      <w:r w:rsidR="00F52808" w:rsidRPr="00F52808">
        <w:rPr>
          <w:rFonts w:ascii="Arial" w:hAnsi="Arial" w:cs="Arial"/>
          <w:sz w:val="24"/>
          <w:szCs w:val="24"/>
        </w:rPr>
        <w:t>Credits (</w:t>
      </w:r>
      <w:r>
        <w:rPr>
          <w:rFonts w:ascii="Arial" w:hAnsi="Arial" w:cs="Arial"/>
          <w:sz w:val="24"/>
          <w:szCs w:val="24"/>
        </w:rPr>
        <w:t>7.5</w:t>
      </w:r>
      <w:r w:rsidRPr="00F52808">
        <w:rPr>
          <w:rFonts w:ascii="Arial" w:hAnsi="Arial" w:cs="Arial"/>
          <w:sz w:val="24"/>
          <w:szCs w:val="24"/>
        </w:rPr>
        <w:t xml:space="preserve"> </w:t>
      </w:r>
      <w:r w:rsidR="00F52808" w:rsidRPr="00F52808">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42763A9"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 xml:space="preserve">Autumn or </w:t>
      </w:r>
      <w:proofErr w:type="gramStart"/>
      <w:r w:rsidRPr="00F52808">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8D6772F"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D806A1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Optional for BA Classical &amp; Archaeological Studies (Single and Joint Honours); BA Classical Studies; BA Ancient History; BA Ancient, Medieval and Modern History</w:t>
      </w:r>
    </w:p>
    <w:p w14:paraId="7CF71AFC" w14:textId="7712AB03" w:rsidR="00694B52" w:rsidRPr="00694B52" w:rsidRDefault="00F52808" w:rsidP="00F52808">
      <w:pPr>
        <w:spacing w:after="120" w:line="240" w:lineRule="auto"/>
        <w:ind w:left="567" w:right="543"/>
        <w:rPr>
          <w:rFonts w:ascii="Arial" w:hAnsi="Arial" w:cs="Arial"/>
          <w:iCs/>
          <w:sz w:val="24"/>
          <w:szCs w:val="24"/>
        </w:rPr>
      </w:pPr>
      <w:r w:rsidRPr="00F52808">
        <w:rPr>
          <w:rFonts w:ascii="Arial" w:hAnsi="Arial" w:cs="Arial"/>
          <w:iCs/>
          <w:sz w:val="24"/>
          <w:szCs w:val="24"/>
        </w:rPr>
        <w:t>Also available as a</w:t>
      </w:r>
      <w:r>
        <w:rPr>
          <w:rFonts w:ascii="Arial" w:hAnsi="Arial" w:cs="Arial"/>
          <w:iCs/>
          <w:sz w:val="24"/>
          <w:szCs w:val="24"/>
        </w:rPr>
        <w:t>n elective</w:t>
      </w:r>
      <w:r w:rsidRPr="00F52808">
        <w:rPr>
          <w:rFonts w:ascii="Arial" w:hAnsi="Arial" w:cs="Arial"/>
          <w:iCs/>
          <w:sz w:val="24"/>
          <w:szCs w:val="24"/>
        </w:rPr>
        <w:t xml:space="preserve"> module</w:t>
      </w:r>
    </w:p>
    <w:p w14:paraId="2ED33EE4" w14:textId="4CBD847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8E5DB3" w14:textId="77777777" w:rsidR="00F52808" w:rsidRPr="00F52808" w:rsidRDefault="00CC3B7F" w:rsidP="00F52808">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52808" w:rsidRPr="00F52808">
        <w:rPr>
          <w:rFonts w:ascii="Arial" w:hAnsi="Arial" w:cs="Arial"/>
          <w:sz w:val="24"/>
          <w:szCs w:val="24"/>
        </w:rPr>
        <w:t>Demonstrate detailed knowledge of the contacts (material, artistic, cultural and intellectual) between the Greek World and Egypt during the Archaic and Classical periods (Egyptian Dynasties XXV-XXX);</w:t>
      </w:r>
    </w:p>
    <w:p w14:paraId="4CAD441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8.2</w:t>
      </w:r>
      <w:r w:rsidRPr="00F52808">
        <w:rPr>
          <w:rFonts w:ascii="Arial" w:hAnsi="Arial" w:cs="Arial"/>
          <w:sz w:val="24"/>
          <w:szCs w:val="24"/>
        </w:rPr>
        <w:tab/>
        <w:t>Demonstrate critical understanding of the historical interpretations of the sources;</w:t>
      </w:r>
    </w:p>
    <w:p w14:paraId="2E1AED3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8.3</w:t>
      </w:r>
      <w:r w:rsidRPr="00F52808">
        <w:rPr>
          <w:rFonts w:ascii="Arial" w:hAnsi="Arial" w:cs="Arial"/>
          <w:sz w:val="24"/>
          <w:szCs w:val="24"/>
        </w:rPr>
        <w:tab/>
        <w:t>Demonstrate critical understanding of the importance of using interdisciplinary source material, such as historical textual sources and archaeological remains;</w:t>
      </w:r>
    </w:p>
    <w:p w14:paraId="5A0A56C7"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8.4</w:t>
      </w:r>
      <w:r w:rsidRPr="00F52808">
        <w:rPr>
          <w:rFonts w:ascii="Arial" w:hAnsi="Arial" w:cs="Arial"/>
          <w:sz w:val="24"/>
          <w:szCs w:val="24"/>
        </w:rPr>
        <w:tab/>
        <w:t>Demonstrate detailed knowledge of interactions between Greeks and Egyptians;</w:t>
      </w:r>
    </w:p>
    <w:p w14:paraId="59AFF24C"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8.5</w:t>
      </w:r>
      <w:r w:rsidRPr="00F52808">
        <w:rPr>
          <w:rFonts w:ascii="Arial" w:hAnsi="Arial" w:cs="Arial"/>
          <w:sz w:val="24"/>
          <w:szCs w:val="24"/>
        </w:rPr>
        <w:tab/>
        <w:t>Demonstrate a thorough understanding of the role historical events played in the development of Egypt;</w:t>
      </w:r>
    </w:p>
    <w:p w14:paraId="4DEF3DE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8.6</w:t>
      </w:r>
      <w:r w:rsidRPr="00F52808">
        <w:rPr>
          <w:rFonts w:ascii="Arial" w:hAnsi="Arial" w:cs="Arial"/>
          <w:sz w:val="24"/>
          <w:szCs w:val="24"/>
        </w:rPr>
        <w:tab/>
        <w:t>Demonstrate confident skills in historiography and textual analysis.</w:t>
      </w:r>
    </w:p>
    <w:bookmarkEnd w:id="0"/>
    <w:p w14:paraId="102FEAFB" w14:textId="2277CF1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64E1CA6" w14:textId="77777777" w:rsidR="00F52808" w:rsidRPr="00F52808" w:rsidRDefault="00A60A1D" w:rsidP="00F52808">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2808" w:rsidRPr="00F52808">
        <w:rPr>
          <w:rFonts w:ascii="Arial" w:hAnsi="Arial" w:cs="Arial"/>
          <w:sz w:val="24"/>
          <w:szCs w:val="24"/>
        </w:rPr>
        <w:t>Demonstrate a confident understanding of library and web-based sources;</w:t>
      </w:r>
    </w:p>
    <w:p w14:paraId="0DADE61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9.2</w:t>
      </w:r>
      <w:r w:rsidRPr="00F52808">
        <w:rPr>
          <w:rFonts w:ascii="Arial" w:hAnsi="Arial" w:cs="Arial"/>
          <w:sz w:val="24"/>
          <w:szCs w:val="24"/>
        </w:rPr>
        <w:tab/>
        <w:t>Demonstrate assured critical skills;</w:t>
      </w:r>
    </w:p>
    <w:p w14:paraId="63600B3E"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9.3</w:t>
      </w:r>
      <w:r w:rsidRPr="00F52808">
        <w:rPr>
          <w:rFonts w:ascii="Arial" w:hAnsi="Arial" w:cs="Arial"/>
          <w:sz w:val="24"/>
          <w:szCs w:val="24"/>
        </w:rPr>
        <w:tab/>
        <w:t>Demonstrate confidence in working independently and in groups;</w:t>
      </w:r>
    </w:p>
    <w:p w14:paraId="769C2708" w14:textId="695059A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9.4</w:t>
      </w:r>
      <w:r w:rsidRPr="00F52808">
        <w:rPr>
          <w:rFonts w:ascii="Arial" w:hAnsi="Arial" w:cs="Arial"/>
          <w:sz w:val="24"/>
          <w:szCs w:val="24"/>
        </w:rPr>
        <w:tab/>
        <w:t xml:space="preserve">Demonstrate confident communication skills </w:t>
      </w:r>
      <w:r w:rsidR="00135534">
        <w:rPr>
          <w:rFonts w:ascii="Arial" w:hAnsi="Arial" w:cs="Arial"/>
          <w:sz w:val="24"/>
          <w:szCs w:val="24"/>
        </w:rPr>
        <w:t>in a variety of media</w:t>
      </w:r>
      <w:r w:rsidRPr="00F52808">
        <w:rPr>
          <w:rFonts w:ascii="Arial" w:hAnsi="Arial" w:cs="Arial"/>
          <w:sz w:val="24"/>
          <w:szCs w:val="24"/>
        </w:rPr>
        <w:t>.</w:t>
      </w:r>
    </w:p>
    <w:p w14:paraId="223D5195" w14:textId="6C051676" w:rsidR="008D4447" w:rsidRDefault="008D4447" w:rsidP="00F52808">
      <w:pPr>
        <w:spacing w:after="120" w:line="240" w:lineRule="auto"/>
        <w:ind w:left="1430" w:right="543" w:hanging="550"/>
        <w:jc w:val="both"/>
        <w:rPr>
          <w:rFonts w:ascii="Arial" w:hAnsi="Arial" w:cs="Arial"/>
          <w:sz w:val="24"/>
          <w:szCs w:val="24"/>
        </w:rPr>
      </w:pPr>
    </w:p>
    <w:p w14:paraId="3978591E" w14:textId="472501FB" w:rsidR="00855A9C" w:rsidRDefault="00855A9C" w:rsidP="00F52808">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F77FF41"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This module is concerned with the interaction between two contiguous but very different peoples, Egypt in the Late Period and Classical Greece. Though the Aegean world had a long history of contact with Egypt, the volume of contact increased dramatically under the XXVI (</w:t>
      </w:r>
      <w:proofErr w:type="spellStart"/>
      <w:r w:rsidRPr="00F52808">
        <w:rPr>
          <w:rFonts w:ascii="Arial" w:hAnsi="Arial" w:cs="Arial"/>
          <w:iCs/>
          <w:sz w:val="24"/>
          <w:szCs w:val="24"/>
        </w:rPr>
        <w:t>Saïte</w:t>
      </w:r>
      <w:proofErr w:type="spellEnd"/>
      <w:r w:rsidRPr="00F52808">
        <w:rPr>
          <w:rFonts w:ascii="Arial" w:hAnsi="Arial" w:cs="Arial"/>
          <w:iCs/>
          <w:sz w:val="24"/>
          <w:szCs w:val="24"/>
        </w:rPr>
        <w:t xml:space="preserve">) Dynasty, with the foundation of commercial settlements, the development of vigorous trade relations and the arrival of many Greeks as traders, mercenaries and tourists. That contact had profound consequences both in the short and longer term; provided an essential support for the last great dynasty of independent Egypt; aided the rise of the East Greek cities of Ionia; and it influenced the development of Greek sculpture and architecture. </w:t>
      </w:r>
    </w:p>
    <w:p w14:paraId="73EF99CC" w14:textId="598830DC"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Equally important, it revealed to the Greeks a civilisation, which was deeply impressive, in many ways superior, yet alien. The immediate fruit of that perception lies in the stimulus to Greek thought and history writing, especially through Herodotus (a vital witness to Egyptian religion and society of this age). In the longer term, it shaped the way in which the West perceived Egypt, creating myths about its antiquity, its religion and its wisdom that continues to affect us today, not least in the shaping of traditional Egyptology. The module will be taught from a range of sources, archaeological, </w:t>
      </w:r>
      <w:proofErr w:type="spellStart"/>
      <w:r w:rsidRPr="00F52808">
        <w:rPr>
          <w:rFonts w:ascii="Arial" w:hAnsi="Arial" w:cs="Arial"/>
          <w:iCs/>
          <w:sz w:val="24"/>
          <w:szCs w:val="24"/>
        </w:rPr>
        <w:t>papyrological</w:t>
      </w:r>
      <w:proofErr w:type="spellEnd"/>
      <w:r w:rsidRPr="00F52808">
        <w:rPr>
          <w:rFonts w:ascii="Arial" w:hAnsi="Arial" w:cs="Arial"/>
          <w:iCs/>
          <w:sz w:val="24"/>
          <w:szCs w:val="24"/>
        </w:rPr>
        <w:t>, historical and literary.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5B5AD56" w14:textId="6B7CF2AA"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Baines, J. &amp; </w:t>
      </w:r>
      <w:proofErr w:type="spellStart"/>
      <w:r w:rsidRPr="00F52808">
        <w:rPr>
          <w:rFonts w:ascii="Arial" w:hAnsi="Arial" w:cs="Arial"/>
          <w:bCs/>
          <w:sz w:val="24"/>
          <w:szCs w:val="24"/>
        </w:rPr>
        <w:t>Málek</w:t>
      </w:r>
      <w:proofErr w:type="spellEnd"/>
      <w:r w:rsidRPr="00F52808">
        <w:rPr>
          <w:rFonts w:ascii="Arial" w:hAnsi="Arial" w:cs="Arial"/>
          <w:bCs/>
          <w:sz w:val="24"/>
          <w:szCs w:val="24"/>
        </w:rPr>
        <w:t xml:space="preserve">, J. (2005). </w:t>
      </w:r>
      <w:r w:rsidRPr="00F52808">
        <w:rPr>
          <w:rFonts w:ascii="Arial" w:hAnsi="Arial" w:cs="Arial"/>
          <w:bCs/>
          <w:i/>
          <w:sz w:val="24"/>
          <w:szCs w:val="24"/>
        </w:rPr>
        <w:t>Atlas of Ancient Egypt</w:t>
      </w:r>
      <w:r w:rsidRPr="00F52808">
        <w:rPr>
          <w:rFonts w:ascii="Arial" w:hAnsi="Arial" w:cs="Arial"/>
          <w:bCs/>
          <w:sz w:val="24"/>
          <w:szCs w:val="24"/>
        </w:rPr>
        <w:t>, Oxford: Checkmark</w:t>
      </w:r>
      <w:r>
        <w:rPr>
          <w:rFonts w:ascii="Arial" w:hAnsi="Arial" w:cs="Arial"/>
          <w:bCs/>
          <w:sz w:val="24"/>
          <w:szCs w:val="24"/>
        </w:rPr>
        <w:t>.</w:t>
      </w:r>
    </w:p>
    <w:p w14:paraId="15C77CD6"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Bernal, J.M. (2012). </w:t>
      </w:r>
      <w:r w:rsidRPr="00F52808">
        <w:rPr>
          <w:rFonts w:ascii="Arial" w:hAnsi="Arial" w:cs="Arial"/>
          <w:bCs/>
          <w:i/>
          <w:sz w:val="24"/>
          <w:szCs w:val="24"/>
        </w:rPr>
        <w:t xml:space="preserve">Black Athena: The </w:t>
      </w:r>
      <w:proofErr w:type="spellStart"/>
      <w:r w:rsidRPr="00F52808">
        <w:rPr>
          <w:rFonts w:ascii="Arial" w:hAnsi="Arial" w:cs="Arial"/>
          <w:bCs/>
          <w:i/>
          <w:sz w:val="24"/>
          <w:szCs w:val="24"/>
        </w:rPr>
        <w:t>Afroasiatic</w:t>
      </w:r>
      <w:proofErr w:type="spellEnd"/>
      <w:r w:rsidRPr="00F52808">
        <w:rPr>
          <w:rFonts w:ascii="Arial" w:hAnsi="Arial" w:cs="Arial"/>
          <w:bCs/>
          <w:i/>
          <w:sz w:val="24"/>
          <w:szCs w:val="24"/>
        </w:rPr>
        <w:t xml:space="preserve"> Roots of Classical Civilization</w:t>
      </w:r>
      <w:r w:rsidRPr="00F52808">
        <w:rPr>
          <w:rFonts w:ascii="Arial" w:hAnsi="Arial" w:cs="Arial"/>
          <w:bCs/>
          <w:sz w:val="24"/>
          <w:szCs w:val="24"/>
        </w:rPr>
        <w:t>, London: Free Association Books</w:t>
      </w:r>
    </w:p>
    <w:p w14:paraId="210CCC5A" w14:textId="3CB5E9A8"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Boardman, J. (2011). The Greeks Overseas, 4th </w:t>
      </w:r>
      <w:proofErr w:type="spellStart"/>
      <w:proofErr w:type="gramStart"/>
      <w:r w:rsidRPr="00F52808">
        <w:rPr>
          <w:rFonts w:ascii="Arial" w:hAnsi="Arial" w:cs="Arial"/>
          <w:bCs/>
          <w:sz w:val="24"/>
          <w:szCs w:val="24"/>
        </w:rPr>
        <w:t>edn</w:t>
      </w:r>
      <w:proofErr w:type="spellEnd"/>
      <w:r w:rsidRPr="00F52808">
        <w:rPr>
          <w:rFonts w:ascii="Arial" w:hAnsi="Arial" w:cs="Arial"/>
          <w:bCs/>
          <w:sz w:val="24"/>
          <w:szCs w:val="24"/>
        </w:rPr>
        <w:t>.,</w:t>
      </w:r>
      <w:proofErr w:type="gramEnd"/>
      <w:r w:rsidRPr="00F52808">
        <w:rPr>
          <w:rFonts w:ascii="Arial" w:hAnsi="Arial" w:cs="Arial"/>
          <w:bCs/>
          <w:sz w:val="24"/>
          <w:szCs w:val="24"/>
        </w:rPr>
        <w:t xml:space="preserve"> London: Thames &amp; Hudson</w:t>
      </w:r>
      <w:r>
        <w:rPr>
          <w:rFonts w:ascii="Arial" w:hAnsi="Arial" w:cs="Arial"/>
          <w:bCs/>
          <w:sz w:val="24"/>
          <w:szCs w:val="24"/>
        </w:rPr>
        <w:t>.</w:t>
      </w:r>
    </w:p>
    <w:p w14:paraId="03084B6D"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Munson, R.V. (2013). </w:t>
      </w:r>
      <w:r w:rsidRPr="00F52808">
        <w:rPr>
          <w:rFonts w:ascii="Arial" w:hAnsi="Arial" w:cs="Arial"/>
          <w:bCs/>
          <w:i/>
          <w:sz w:val="24"/>
          <w:szCs w:val="24"/>
        </w:rPr>
        <w:t>Herodotus</w:t>
      </w:r>
      <w:r w:rsidRPr="00F52808">
        <w:rPr>
          <w:rFonts w:ascii="Arial" w:hAnsi="Arial" w:cs="Arial"/>
          <w:bCs/>
          <w:sz w:val="24"/>
          <w:szCs w:val="24"/>
        </w:rPr>
        <w:t>. Oxford: Oxford University Press.</w:t>
      </w:r>
    </w:p>
    <w:p w14:paraId="704246F2" w14:textId="7212DF09"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(2003) </w:t>
      </w:r>
      <w:proofErr w:type="gramStart"/>
      <w:r w:rsidRPr="00F52808">
        <w:rPr>
          <w:rFonts w:ascii="Arial" w:hAnsi="Arial" w:cs="Arial"/>
          <w:bCs/>
          <w:sz w:val="24"/>
          <w:szCs w:val="24"/>
        </w:rPr>
        <w:t>ed</w:t>
      </w:r>
      <w:proofErr w:type="gramEnd"/>
      <w:r w:rsidRPr="00F52808">
        <w:rPr>
          <w:rFonts w:ascii="Arial" w:hAnsi="Arial" w:cs="Arial"/>
          <w:bCs/>
          <w:sz w:val="24"/>
          <w:szCs w:val="24"/>
        </w:rPr>
        <w:t xml:space="preserve">. </w:t>
      </w:r>
      <w:r w:rsidRPr="00F52808">
        <w:rPr>
          <w:rFonts w:ascii="Arial" w:hAnsi="Arial" w:cs="Arial"/>
          <w:bCs/>
          <w:i/>
          <w:sz w:val="24"/>
          <w:szCs w:val="24"/>
        </w:rPr>
        <w:t>The Oxford History of Ancient Egypt</w:t>
      </w:r>
      <w:r w:rsidRPr="00F52808">
        <w:rPr>
          <w:rFonts w:ascii="Arial" w:hAnsi="Arial" w:cs="Arial"/>
          <w:bCs/>
          <w:sz w:val="24"/>
          <w:szCs w:val="24"/>
        </w:rPr>
        <w:t>, Oxford: Oxford University Press</w:t>
      </w:r>
      <w:r>
        <w:rPr>
          <w:rFonts w:ascii="Arial" w:hAnsi="Arial" w:cs="Arial"/>
          <w:bCs/>
          <w:sz w:val="24"/>
          <w:szCs w:val="24"/>
        </w:rPr>
        <w:t>.</w:t>
      </w:r>
    </w:p>
    <w:p w14:paraId="39A8B484" w14:textId="61EAB3E1"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&amp; Nicholson, P. (2008). </w:t>
      </w:r>
      <w:r w:rsidRPr="00F52808">
        <w:rPr>
          <w:rFonts w:ascii="Arial" w:hAnsi="Arial" w:cs="Arial"/>
          <w:bCs/>
          <w:i/>
          <w:sz w:val="24"/>
          <w:szCs w:val="24"/>
        </w:rPr>
        <w:t>The British Museum Dictionary of Ancient Egypt</w:t>
      </w:r>
      <w:r w:rsidRPr="00F52808">
        <w:rPr>
          <w:rFonts w:ascii="Arial" w:hAnsi="Arial" w:cs="Arial"/>
          <w:bCs/>
          <w:sz w:val="24"/>
          <w:szCs w:val="24"/>
        </w:rPr>
        <w:t>, London: British Museum Press</w:t>
      </w:r>
      <w:r>
        <w:rPr>
          <w:rFonts w:ascii="Arial" w:hAnsi="Arial" w:cs="Arial"/>
          <w:bCs/>
          <w:sz w:val="24"/>
          <w:szCs w:val="24"/>
        </w:rPr>
        <w:t>.</w:t>
      </w:r>
    </w:p>
    <w:p w14:paraId="5102DE7A" w14:textId="6473C053" w:rsidR="008D4447" w:rsidRPr="00A05CF7"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Van de </w:t>
      </w:r>
      <w:proofErr w:type="spellStart"/>
      <w:r w:rsidRPr="00F52808">
        <w:rPr>
          <w:rFonts w:ascii="Arial" w:hAnsi="Arial" w:cs="Arial"/>
          <w:bCs/>
          <w:sz w:val="24"/>
          <w:szCs w:val="24"/>
        </w:rPr>
        <w:t>Mieroop</w:t>
      </w:r>
      <w:proofErr w:type="spellEnd"/>
      <w:r w:rsidRPr="00F52808">
        <w:rPr>
          <w:rFonts w:ascii="Arial" w:hAnsi="Arial" w:cs="Arial"/>
          <w:bCs/>
          <w:sz w:val="24"/>
          <w:szCs w:val="24"/>
        </w:rPr>
        <w:t xml:space="preserve">, M. (2011). </w:t>
      </w:r>
      <w:r w:rsidRPr="00F52808">
        <w:rPr>
          <w:rFonts w:ascii="Arial" w:hAnsi="Arial" w:cs="Arial"/>
          <w:bCs/>
          <w:i/>
          <w:sz w:val="24"/>
          <w:szCs w:val="24"/>
        </w:rPr>
        <w:t>A History of Ancient Egypt</w:t>
      </w:r>
      <w:r w:rsidRPr="00F52808">
        <w:rPr>
          <w:rFonts w:ascii="Arial" w:hAnsi="Arial" w:cs="Arial"/>
          <w:bCs/>
          <w:sz w:val="24"/>
          <w:szCs w:val="24"/>
        </w:rPr>
        <w:t>, Malden, Massachusetts: Wiley-Blackwell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A3B8E0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5A9C">
        <w:rPr>
          <w:rFonts w:ascii="Arial" w:hAnsi="Arial" w:cs="Arial"/>
          <w:iCs/>
          <w:sz w:val="24"/>
          <w:szCs w:val="24"/>
        </w:rPr>
        <w:t>20</w:t>
      </w:r>
    </w:p>
    <w:p w14:paraId="6C7D69ED" w14:textId="79C552D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5A9C">
        <w:rPr>
          <w:rFonts w:ascii="Arial" w:hAnsi="Arial" w:cs="Arial"/>
          <w:iCs/>
          <w:sz w:val="24"/>
          <w:szCs w:val="24"/>
        </w:rPr>
        <w:t>130</w:t>
      </w:r>
    </w:p>
    <w:p w14:paraId="430C46A1" w14:textId="22075B2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5A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642465" w14:textId="341EDDD5" w:rsidR="00F52808" w:rsidRP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 xml:space="preserve">Essay 1 (1,500 words) – </w:t>
      </w:r>
      <w:r w:rsidR="000F370F">
        <w:rPr>
          <w:rFonts w:ascii="Arial" w:hAnsi="Arial" w:cs="Arial"/>
          <w:bCs/>
          <w:iCs/>
          <w:sz w:val="24"/>
          <w:szCs w:val="24"/>
        </w:rPr>
        <w:t>45</w:t>
      </w:r>
      <w:r w:rsidRPr="00F52808">
        <w:rPr>
          <w:rFonts w:ascii="Arial" w:hAnsi="Arial" w:cs="Arial"/>
          <w:bCs/>
          <w:iCs/>
          <w:sz w:val="24"/>
          <w:szCs w:val="24"/>
        </w:rPr>
        <w:t>%</w:t>
      </w:r>
    </w:p>
    <w:p w14:paraId="3ED4FC60" w14:textId="377711F7" w:rsid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Essay 2 (</w:t>
      </w:r>
      <w:r w:rsidR="00855A9C">
        <w:rPr>
          <w:rFonts w:ascii="Arial" w:hAnsi="Arial" w:cs="Arial"/>
          <w:bCs/>
          <w:iCs/>
          <w:sz w:val="24"/>
          <w:szCs w:val="24"/>
        </w:rPr>
        <w:t>1</w:t>
      </w:r>
      <w:r w:rsidRPr="00F52808">
        <w:rPr>
          <w:rFonts w:ascii="Arial" w:hAnsi="Arial" w:cs="Arial"/>
          <w:bCs/>
          <w:iCs/>
          <w:sz w:val="24"/>
          <w:szCs w:val="24"/>
        </w:rPr>
        <w:t xml:space="preserve">,500 words) – </w:t>
      </w:r>
      <w:r w:rsidR="000F370F">
        <w:rPr>
          <w:rFonts w:ascii="Arial" w:hAnsi="Arial" w:cs="Arial"/>
          <w:bCs/>
          <w:iCs/>
          <w:sz w:val="24"/>
          <w:szCs w:val="24"/>
        </w:rPr>
        <w:t>45</w:t>
      </w:r>
      <w:r w:rsidRPr="00F52808">
        <w:rPr>
          <w:rFonts w:ascii="Arial" w:hAnsi="Arial" w:cs="Arial"/>
          <w:bCs/>
          <w:iCs/>
          <w:sz w:val="24"/>
          <w:szCs w:val="24"/>
        </w:rPr>
        <w:t>%</w:t>
      </w:r>
    </w:p>
    <w:p w14:paraId="5A11CFCA" w14:textId="6C846BD3" w:rsidR="000F370F" w:rsidRPr="00F52808" w:rsidRDefault="000F370F" w:rsidP="00F5280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(5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3770395" w:rsidR="008D4447" w:rsidRPr="00CC3B7F" w:rsidRDefault="00F5280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52808" w:rsidRPr="00302082" w14:paraId="6AFD5486" w14:textId="77777777" w:rsidTr="00C83D84">
        <w:trPr>
          <w:cantSplit/>
          <w:trHeight w:val="575"/>
        </w:trPr>
        <w:tc>
          <w:tcPr>
            <w:tcW w:w="2439" w:type="dxa"/>
            <w:shd w:val="clear" w:color="auto" w:fill="D9D9D9" w:themeFill="background1" w:themeFillShade="D9"/>
          </w:tcPr>
          <w:p w14:paraId="71BDF793" w14:textId="77777777" w:rsidR="00F52808" w:rsidRPr="00302082" w:rsidRDefault="00F52808" w:rsidP="00E92FE4">
            <w:pPr>
              <w:spacing w:after="120"/>
              <w:ind w:left="33"/>
              <w:rPr>
                <w:rFonts w:ascii="Arial" w:hAnsi="Arial" w:cs="Arial"/>
                <w:b/>
              </w:rPr>
            </w:pPr>
            <w:r w:rsidRPr="00302082">
              <w:rPr>
                <w:rFonts w:ascii="Arial" w:hAnsi="Arial" w:cs="Arial"/>
                <w:b/>
              </w:rPr>
              <w:t>Module learning outcome</w:t>
            </w:r>
          </w:p>
        </w:tc>
        <w:tc>
          <w:tcPr>
            <w:tcW w:w="567" w:type="dxa"/>
          </w:tcPr>
          <w:p w14:paraId="1FCFC887" w14:textId="23ECF8E5" w:rsidR="00F52808" w:rsidRPr="002302FD" w:rsidRDefault="00F52808" w:rsidP="00C83D84">
            <w:pPr>
              <w:spacing w:after="120"/>
              <w:rPr>
                <w:rFonts w:ascii="Arial" w:hAnsi="Arial" w:cs="Arial"/>
              </w:rPr>
            </w:pPr>
            <w:r w:rsidRPr="002302FD">
              <w:rPr>
                <w:rFonts w:ascii="Arial" w:hAnsi="Arial" w:cs="Arial"/>
              </w:rPr>
              <w:t>8.1</w:t>
            </w:r>
          </w:p>
        </w:tc>
        <w:tc>
          <w:tcPr>
            <w:tcW w:w="567" w:type="dxa"/>
          </w:tcPr>
          <w:p w14:paraId="014C9BEB" w14:textId="55153864" w:rsidR="00F52808" w:rsidRPr="002302FD" w:rsidRDefault="00F52808" w:rsidP="00C83D84">
            <w:pPr>
              <w:spacing w:after="120"/>
              <w:rPr>
                <w:rFonts w:ascii="Arial" w:hAnsi="Arial" w:cs="Arial"/>
              </w:rPr>
            </w:pPr>
            <w:r w:rsidRPr="002302FD">
              <w:rPr>
                <w:rFonts w:ascii="Arial" w:hAnsi="Arial" w:cs="Arial"/>
              </w:rPr>
              <w:t>8.2</w:t>
            </w:r>
          </w:p>
        </w:tc>
        <w:tc>
          <w:tcPr>
            <w:tcW w:w="567" w:type="dxa"/>
          </w:tcPr>
          <w:p w14:paraId="730634AD" w14:textId="2A212DF2" w:rsidR="00F52808" w:rsidRPr="002302FD" w:rsidRDefault="00F52808" w:rsidP="00C83D84">
            <w:pPr>
              <w:spacing w:after="120"/>
              <w:rPr>
                <w:rFonts w:ascii="Arial" w:hAnsi="Arial" w:cs="Arial"/>
              </w:rPr>
            </w:pPr>
            <w:r w:rsidRPr="002302FD">
              <w:rPr>
                <w:rFonts w:ascii="Arial" w:hAnsi="Arial" w:cs="Arial"/>
              </w:rPr>
              <w:t>8.3</w:t>
            </w:r>
          </w:p>
        </w:tc>
        <w:tc>
          <w:tcPr>
            <w:tcW w:w="567" w:type="dxa"/>
          </w:tcPr>
          <w:p w14:paraId="501FB46E" w14:textId="55EC59AE" w:rsidR="00F52808" w:rsidRPr="002302FD" w:rsidRDefault="00F52808" w:rsidP="00C83D84">
            <w:pPr>
              <w:spacing w:after="120"/>
              <w:rPr>
                <w:rFonts w:ascii="Arial" w:hAnsi="Arial" w:cs="Arial"/>
              </w:rPr>
            </w:pPr>
            <w:r w:rsidRPr="002302FD">
              <w:rPr>
                <w:rFonts w:ascii="Arial" w:hAnsi="Arial" w:cs="Arial"/>
              </w:rPr>
              <w:t>8.4</w:t>
            </w:r>
          </w:p>
        </w:tc>
        <w:tc>
          <w:tcPr>
            <w:tcW w:w="567" w:type="dxa"/>
          </w:tcPr>
          <w:p w14:paraId="6B59AE69" w14:textId="67394DF6" w:rsidR="00F52808" w:rsidRPr="002302FD" w:rsidRDefault="00F52808" w:rsidP="00C83D84">
            <w:pPr>
              <w:spacing w:after="120"/>
              <w:rPr>
                <w:rFonts w:ascii="Arial" w:hAnsi="Arial" w:cs="Arial"/>
              </w:rPr>
            </w:pPr>
            <w:r w:rsidRPr="002302FD">
              <w:rPr>
                <w:rFonts w:ascii="Arial" w:hAnsi="Arial" w:cs="Arial"/>
              </w:rPr>
              <w:t>8.5</w:t>
            </w:r>
          </w:p>
        </w:tc>
        <w:tc>
          <w:tcPr>
            <w:tcW w:w="567" w:type="dxa"/>
          </w:tcPr>
          <w:p w14:paraId="6A84D2CD" w14:textId="1C70C9D6" w:rsidR="00F52808" w:rsidRPr="002302FD" w:rsidRDefault="00F52808" w:rsidP="00C83D84">
            <w:pPr>
              <w:spacing w:after="120"/>
              <w:rPr>
                <w:rFonts w:ascii="Arial" w:hAnsi="Arial" w:cs="Arial"/>
              </w:rPr>
            </w:pPr>
            <w:r>
              <w:rPr>
                <w:rFonts w:ascii="Arial" w:hAnsi="Arial" w:cs="Arial"/>
              </w:rPr>
              <w:t>8.6</w:t>
            </w:r>
          </w:p>
        </w:tc>
        <w:tc>
          <w:tcPr>
            <w:tcW w:w="567" w:type="dxa"/>
          </w:tcPr>
          <w:p w14:paraId="0497E89B" w14:textId="2DFBC6B3"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2C32586" w14:textId="2F027E18"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23836DC2" w14:textId="0DAC39FC"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3</w:t>
            </w:r>
          </w:p>
        </w:tc>
        <w:tc>
          <w:tcPr>
            <w:tcW w:w="567" w:type="dxa"/>
          </w:tcPr>
          <w:p w14:paraId="04166A6C" w14:textId="2339352A"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4</w:t>
            </w:r>
          </w:p>
        </w:tc>
      </w:tr>
      <w:tr w:rsidR="00F52808" w:rsidRPr="00302082" w14:paraId="4CD3465F" w14:textId="77777777" w:rsidTr="00E92FE4">
        <w:tc>
          <w:tcPr>
            <w:tcW w:w="2439" w:type="dxa"/>
            <w:shd w:val="clear" w:color="auto" w:fill="D9D9D9" w:themeFill="background1" w:themeFillShade="D9"/>
          </w:tcPr>
          <w:p w14:paraId="13A087BA" w14:textId="77777777" w:rsidR="00F52808" w:rsidRPr="00302082" w:rsidRDefault="00F52808" w:rsidP="00E92FE4">
            <w:pPr>
              <w:spacing w:after="120"/>
              <w:rPr>
                <w:rFonts w:ascii="Arial" w:hAnsi="Arial" w:cs="Arial"/>
                <w:b/>
              </w:rPr>
            </w:pPr>
            <w:r w:rsidRPr="00302082">
              <w:rPr>
                <w:rFonts w:ascii="Arial" w:hAnsi="Arial" w:cs="Arial"/>
                <w:b/>
              </w:rPr>
              <w:t>Learning/ teaching method</w:t>
            </w:r>
          </w:p>
        </w:tc>
        <w:tc>
          <w:tcPr>
            <w:tcW w:w="567" w:type="dxa"/>
          </w:tcPr>
          <w:p w14:paraId="1083A58B" w14:textId="77777777" w:rsidR="00F52808" w:rsidRPr="00302082" w:rsidRDefault="00F52808" w:rsidP="00E92FE4">
            <w:pPr>
              <w:spacing w:after="120"/>
              <w:rPr>
                <w:rFonts w:ascii="Arial" w:hAnsi="Arial" w:cs="Arial"/>
                <w:b/>
              </w:rPr>
            </w:pPr>
          </w:p>
        </w:tc>
        <w:tc>
          <w:tcPr>
            <w:tcW w:w="567" w:type="dxa"/>
          </w:tcPr>
          <w:p w14:paraId="2572771A" w14:textId="77777777" w:rsidR="00F52808" w:rsidRPr="00302082" w:rsidRDefault="00F52808" w:rsidP="00E92FE4">
            <w:pPr>
              <w:spacing w:after="120"/>
              <w:rPr>
                <w:rFonts w:ascii="Arial" w:hAnsi="Arial" w:cs="Arial"/>
                <w:b/>
              </w:rPr>
            </w:pPr>
          </w:p>
        </w:tc>
        <w:tc>
          <w:tcPr>
            <w:tcW w:w="567" w:type="dxa"/>
          </w:tcPr>
          <w:p w14:paraId="334FDD5D" w14:textId="77777777" w:rsidR="00F52808" w:rsidRPr="00302082" w:rsidRDefault="00F52808" w:rsidP="00E92FE4">
            <w:pPr>
              <w:spacing w:after="120"/>
              <w:rPr>
                <w:rFonts w:ascii="Arial" w:hAnsi="Arial" w:cs="Arial"/>
                <w:b/>
              </w:rPr>
            </w:pPr>
          </w:p>
        </w:tc>
        <w:tc>
          <w:tcPr>
            <w:tcW w:w="567" w:type="dxa"/>
          </w:tcPr>
          <w:p w14:paraId="19EC061D" w14:textId="77777777" w:rsidR="00F52808" w:rsidRPr="00302082" w:rsidRDefault="00F52808" w:rsidP="00E92FE4">
            <w:pPr>
              <w:spacing w:after="120"/>
              <w:rPr>
                <w:rFonts w:ascii="Arial" w:hAnsi="Arial" w:cs="Arial"/>
                <w:b/>
              </w:rPr>
            </w:pPr>
          </w:p>
        </w:tc>
        <w:tc>
          <w:tcPr>
            <w:tcW w:w="567" w:type="dxa"/>
          </w:tcPr>
          <w:p w14:paraId="0EB34B66" w14:textId="77777777" w:rsidR="00F52808" w:rsidRPr="00302082" w:rsidRDefault="00F52808" w:rsidP="00E92FE4">
            <w:pPr>
              <w:spacing w:after="120"/>
              <w:rPr>
                <w:rFonts w:ascii="Arial" w:hAnsi="Arial" w:cs="Arial"/>
                <w:b/>
              </w:rPr>
            </w:pPr>
          </w:p>
        </w:tc>
        <w:tc>
          <w:tcPr>
            <w:tcW w:w="567" w:type="dxa"/>
          </w:tcPr>
          <w:p w14:paraId="0F6038C3" w14:textId="77777777" w:rsidR="00F52808" w:rsidRPr="00302082" w:rsidRDefault="00F52808" w:rsidP="00E92FE4">
            <w:pPr>
              <w:spacing w:after="120"/>
              <w:rPr>
                <w:rFonts w:ascii="Arial" w:hAnsi="Arial" w:cs="Arial"/>
                <w:b/>
              </w:rPr>
            </w:pPr>
          </w:p>
        </w:tc>
        <w:tc>
          <w:tcPr>
            <w:tcW w:w="567" w:type="dxa"/>
          </w:tcPr>
          <w:p w14:paraId="796E46DC" w14:textId="77777777" w:rsidR="00F52808" w:rsidRPr="00302082" w:rsidRDefault="00F52808" w:rsidP="00E92FE4">
            <w:pPr>
              <w:spacing w:after="120"/>
              <w:rPr>
                <w:rFonts w:ascii="Arial" w:hAnsi="Arial" w:cs="Arial"/>
                <w:b/>
              </w:rPr>
            </w:pPr>
          </w:p>
        </w:tc>
        <w:tc>
          <w:tcPr>
            <w:tcW w:w="567" w:type="dxa"/>
          </w:tcPr>
          <w:p w14:paraId="16A164B4" w14:textId="77777777" w:rsidR="00F52808" w:rsidRPr="00302082" w:rsidRDefault="00F52808" w:rsidP="00E92FE4">
            <w:pPr>
              <w:spacing w:after="120"/>
              <w:rPr>
                <w:rFonts w:ascii="Arial" w:hAnsi="Arial" w:cs="Arial"/>
                <w:b/>
              </w:rPr>
            </w:pPr>
          </w:p>
        </w:tc>
        <w:tc>
          <w:tcPr>
            <w:tcW w:w="567" w:type="dxa"/>
          </w:tcPr>
          <w:p w14:paraId="48A10DC1" w14:textId="77777777" w:rsidR="00F52808" w:rsidRPr="00302082" w:rsidRDefault="00F52808" w:rsidP="00E92FE4">
            <w:pPr>
              <w:spacing w:after="120"/>
              <w:rPr>
                <w:rFonts w:ascii="Arial" w:hAnsi="Arial" w:cs="Arial"/>
                <w:b/>
              </w:rPr>
            </w:pPr>
          </w:p>
        </w:tc>
        <w:tc>
          <w:tcPr>
            <w:tcW w:w="567" w:type="dxa"/>
          </w:tcPr>
          <w:p w14:paraId="65998013" w14:textId="77777777" w:rsidR="00F52808" w:rsidRPr="00302082" w:rsidRDefault="00F52808" w:rsidP="00E92FE4">
            <w:pPr>
              <w:spacing w:after="120"/>
              <w:rPr>
                <w:rFonts w:ascii="Arial" w:hAnsi="Arial" w:cs="Arial"/>
                <w:b/>
              </w:rPr>
            </w:pPr>
          </w:p>
        </w:tc>
      </w:tr>
      <w:tr w:rsidR="00F52808" w:rsidRPr="00302082" w14:paraId="7EE759DF" w14:textId="77777777" w:rsidTr="00E92FE4">
        <w:tc>
          <w:tcPr>
            <w:tcW w:w="2439" w:type="dxa"/>
          </w:tcPr>
          <w:p w14:paraId="603F92CF" w14:textId="77777777" w:rsidR="00F52808" w:rsidRPr="005D4AED" w:rsidRDefault="00F52808" w:rsidP="00E92FE4">
            <w:pPr>
              <w:spacing w:after="120"/>
              <w:rPr>
                <w:rFonts w:ascii="Arial" w:hAnsi="Arial" w:cs="Arial"/>
              </w:rPr>
            </w:pPr>
            <w:r w:rsidRPr="005D4AED">
              <w:rPr>
                <w:rFonts w:ascii="Arial" w:hAnsi="Arial" w:cs="Arial"/>
              </w:rPr>
              <w:t>Private Study</w:t>
            </w:r>
          </w:p>
        </w:tc>
        <w:tc>
          <w:tcPr>
            <w:tcW w:w="567" w:type="dxa"/>
            <w:vAlign w:val="center"/>
          </w:tcPr>
          <w:p w14:paraId="01F0096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0A5BE6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187987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9F2076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5127D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167EF4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35B3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7DE764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C6CC8B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45D6B3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A4F1A90" w14:textId="77777777" w:rsidTr="00E92FE4">
        <w:tc>
          <w:tcPr>
            <w:tcW w:w="2439" w:type="dxa"/>
          </w:tcPr>
          <w:p w14:paraId="0C6FBCFF" w14:textId="77777777" w:rsidR="00F52808" w:rsidRPr="00154D48" w:rsidRDefault="00F52808" w:rsidP="00E92FE4">
            <w:pPr>
              <w:spacing w:after="120"/>
              <w:rPr>
                <w:rFonts w:ascii="Arial" w:hAnsi="Arial" w:cs="Arial"/>
              </w:rPr>
            </w:pPr>
            <w:r>
              <w:rPr>
                <w:rFonts w:ascii="Arial" w:hAnsi="Arial" w:cs="Arial"/>
              </w:rPr>
              <w:t>Lecture</w:t>
            </w:r>
          </w:p>
        </w:tc>
        <w:tc>
          <w:tcPr>
            <w:tcW w:w="567" w:type="dxa"/>
            <w:vAlign w:val="center"/>
          </w:tcPr>
          <w:p w14:paraId="35B2353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0B049C3"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60A7BF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B422FB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52E0E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300370D" w14:textId="77777777" w:rsidR="00F52808" w:rsidRPr="00302082" w:rsidRDefault="00F52808" w:rsidP="00E92FE4">
            <w:pPr>
              <w:spacing w:after="120"/>
              <w:jc w:val="center"/>
              <w:rPr>
                <w:rFonts w:ascii="Arial" w:hAnsi="Arial" w:cs="Arial"/>
                <w:b/>
              </w:rPr>
            </w:pPr>
          </w:p>
        </w:tc>
        <w:tc>
          <w:tcPr>
            <w:tcW w:w="567" w:type="dxa"/>
            <w:vAlign w:val="center"/>
          </w:tcPr>
          <w:p w14:paraId="2A4CBF19" w14:textId="77777777" w:rsidR="00F52808" w:rsidRPr="00302082" w:rsidRDefault="00F52808" w:rsidP="00E92FE4">
            <w:pPr>
              <w:spacing w:after="120"/>
              <w:jc w:val="center"/>
              <w:rPr>
                <w:rFonts w:ascii="Arial" w:hAnsi="Arial" w:cs="Arial"/>
                <w:b/>
              </w:rPr>
            </w:pPr>
          </w:p>
        </w:tc>
        <w:tc>
          <w:tcPr>
            <w:tcW w:w="567" w:type="dxa"/>
            <w:vAlign w:val="center"/>
          </w:tcPr>
          <w:p w14:paraId="5D4BDF9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CDCF4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963A7F"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48E5D65F" w14:textId="77777777" w:rsidTr="00E92FE4">
        <w:tc>
          <w:tcPr>
            <w:tcW w:w="2439" w:type="dxa"/>
          </w:tcPr>
          <w:p w14:paraId="27BAED0A" w14:textId="77777777" w:rsidR="00F52808" w:rsidRPr="00154D48" w:rsidRDefault="00F52808" w:rsidP="00E92FE4">
            <w:pPr>
              <w:spacing w:after="120"/>
              <w:rPr>
                <w:rFonts w:ascii="Arial" w:hAnsi="Arial" w:cs="Arial"/>
              </w:rPr>
            </w:pPr>
            <w:r>
              <w:rPr>
                <w:rFonts w:ascii="Arial" w:hAnsi="Arial" w:cs="Arial"/>
              </w:rPr>
              <w:t>Seminar</w:t>
            </w:r>
          </w:p>
        </w:tc>
        <w:tc>
          <w:tcPr>
            <w:tcW w:w="567" w:type="dxa"/>
            <w:vAlign w:val="center"/>
          </w:tcPr>
          <w:p w14:paraId="4924739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6737BB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75CF73C"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485B30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831110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D66B6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87E882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938DDF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5A7F1E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6F7BBA0"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68F32AF6" w14:textId="77777777" w:rsidTr="00E92FE4">
        <w:tc>
          <w:tcPr>
            <w:tcW w:w="2439" w:type="dxa"/>
            <w:shd w:val="clear" w:color="auto" w:fill="D9D9D9" w:themeFill="background1" w:themeFillShade="D9"/>
          </w:tcPr>
          <w:p w14:paraId="345DCDE8" w14:textId="77777777" w:rsidR="00F52808" w:rsidRPr="00302082" w:rsidRDefault="00F52808" w:rsidP="00E92FE4">
            <w:pPr>
              <w:spacing w:after="120"/>
              <w:rPr>
                <w:rFonts w:ascii="Arial" w:hAnsi="Arial" w:cs="Arial"/>
                <w:b/>
              </w:rPr>
            </w:pPr>
            <w:r w:rsidRPr="00302082">
              <w:rPr>
                <w:rFonts w:ascii="Arial" w:hAnsi="Arial" w:cs="Arial"/>
                <w:b/>
              </w:rPr>
              <w:t>Assessment method</w:t>
            </w:r>
          </w:p>
        </w:tc>
        <w:tc>
          <w:tcPr>
            <w:tcW w:w="567" w:type="dxa"/>
            <w:vAlign w:val="center"/>
          </w:tcPr>
          <w:p w14:paraId="0DB11D7E" w14:textId="77777777" w:rsidR="00F52808" w:rsidRPr="00302082" w:rsidRDefault="00F52808" w:rsidP="00E92FE4">
            <w:pPr>
              <w:spacing w:after="120"/>
              <w:jc w:val="center"/>
              <w:rPr>
                <w:rFonts w:ascii="Arial" w:hAnsi="Arial" w:cs="Arial"/>
                <w:b/>
              </w:rPr>
            </w:pPr>
          </w:p>
        </w:tc>
        <w:tc>
          <w:tcPr>
            <w:tcW w:w="567" w:type="dxa"/>
            <w:vAlign w:val="center"/>
          </w:tcPr>
          <w:p w14:paraId="5EC526F0" w14:textId="77777777" w:rsidR="00F52808" w:rsidRPr="00302082" w:rsidRDefault="00F52808" w:rsidP="00E92FE4">
            <w:pPr>
              <w:spacing w:after="120"/>
              <w:jc w:val="center"/>
              <w:rPr>
                <w:rFonts w:ascii="Arial" w:hAnsi="Arial" w:cs="Arial"/>
                <w:b/>
              </w:rPr>
            </w:pPr>
          </w:p>
        </w:tc>
        <w:tc>
          <w:tcPr>
            <w:tcW w:w="567" w:type="dxa"/>
            <w:vAlign w:val="center"/>
          </w:tcPr>
          <w:p w14:paraId="4C73BFEB" w14:textId="77777777" w:rsidR="00F52808" w:rsidRPr="00302082" w:rsidRDefault="00F52808" w:rsidP="00E92FE4">
            <w:pPr>
              <w:spacing w:after="120"/>
              <w:jc w:val="center"/>
              <w:rPr>
                <w:rFonts w:ascii="Arial" w:hAnsi="Arial" w:cs="Arial"/>
                <w:b/>
              </w:rPr>
            </w:pPr>
          </w:p>
        </w:tc>
        <w:tc>
          <w:tcPr>
            <w:tcW w:w="567" w:type="dxa"/>
            <w:vAlign w:val="center"/>
          </w:tcPr>
          <w:p w14:paraId="0F968872" w14:textId="77777777" w:rsidR="00F52808" w:rsidRPr="00302082" w:rsidRDefault="00F52808" w:rsidP="00E92FE4">
            <w:pPr>
              <w:spacing w:after="120"/>
              <w:jc w:val="center"/>
              <w:rPr>
                <w:rFonts w:ascii="Arial" w:hAnsi="Arial" w:cs="Arial"/>
                <w:b/>
              </w:rPr>
            </w:pPr>
          </w:p>
        </w:tc>
        <w:tc>
          <w:tcPr>
            <w:tcW w:w="567" w:type="dxa"/>
            <w:vAlign w:val="center"/>
          </w:tcPr>
          <w:p w14:paraId="1CFD2A60" w14:textId="77777777" w:rsidR="00F52808" w:rsidRPr="00302082" w:rsidRDefault="00F52808" w:rsidP="00E92FE4">
            <w:pPr>
              <w:spacing w:after="120"/>
              <w:jc w:val="center"/>
              <w:rPr>
                <w:rFonts w:ascii="Arial" w:hAnsi="Arial" w:cs="Arial"/>
                <w:b/>
              </w:rPr>
            </w:pPr>
          </w:p>
        </w:tc>
        <w:tc>
          <w:tcPr>
            <w:tcW w:w="567" w:type="dxa"/>
            <w:vAlign w:val="center"/>
          </w:tcPr>
          <w:p w14:paraId="374F57C1" w14:textId="77777777" w:rsidR="00F52808" w:rsidRPr="00302082" w:rsidRDefault="00F52808" w:rsidP="00E92FE4">
            <w:pPr>
              <w:spacing w:after="120"/>
              <w:jc w:val="center"/>
              <w:rPr>
                <w:rFonts w:ascii="Arial" w:hAnsi="Arial" w:cs="Arial"/>
                <w:b/>
              </w:rPr>
            </w:pPr>
          </w:p>
        </w:tc>
        <w:tc>
          <w:tcPr>
            <w:tcW w:w="567" w:type="dxa"/>
            <w:vAlign w:val="center"/>
          </w:tcPr>
          <w:p w14:paraId="79E64766" w14:textId="77777777" w:rsidR="00F52808" w:rsidRPr="00302082" w:rsidRDefault="00F52808" w:rsidP="00E92FE4">
            <w:pPr>
              <w:spacing w:after="120"/>
              <w:jc w:val="center"/>
              <w:rPr>
                <w:rFonts w:ascii="Arial" w:hAnsi="Arial" w:cs="Arial"/>
                <w:b/>
              </w:rPr>
            </w:pPr>
          </w:p>
        </w:tc>
        <w:tc>
          <w:tcPr>
            <w:tcW w:w="567" w:type="dxa"/>
            <w:vAlign w:val="center"/>
          </w:tcPr>
          <w:p w14:paraId="124E0E6A" w14:textId="77777777" w:rsidR="00F52808" w:rsidRPr="00302082" w:rsidRDefault="00F52808" w:rsidP="00E92FE4">
            <w:pPr>
              <w:spacing w:after="120"/>
              <w:jc w:val="center"/>
              <w:rPr>
                <w:rFonts w:ascii="Arial" w:hAnsi="Arial" w:cs="Arial"/>
                <w:b/>
              </w:rPr>
            </w:pPr>
          </w:p>
        </w:tc>
        <w:tc>
          <w:tcPr>
            <w:tcW w:w="567" w:type="dxa"/>
            <w:vAlign w:val="center"/>
          </w:tcPr>
          <w:p w14:paraId="578BC3CF" w14:textId="77777777" w:rsidR="00F52808" w:rsidRPr="00302082" w:rsidRDefault="00F52808" w:rsidP="00E92FE4">
            <w:pPr>
              <w:spacing w:after="120"/>
              <w:jc w:val="center"/>
              <w:rPr>
                <w:rFonts w:ascii="Arial" w:hAnsi="Arial" w:cs="Arial"/>
                <w:b/>
              </w:rPr>
            </w:pPr>
          </w:p>
        </w:tc>
        <w:tc>
          <w:tcPr>
            <w:tcW w:w="567" w:type="dxa"/>
            <w:vAlign w:val="center"/>
          </w:tcPr>
          <w:p w14:paraId="27E3CB18" w14:textId="77777777" w:rsidR="00F52808" w:rsidRPr="00302082" w:rsidRDefault="00F52808" w:rsidP="00E92FE4">
            <w:pPr>
              <w:spacing w:after="120"/>
              <w:jc w:val="center"/>
              <w:rPr>
                <w:rFonts w:ascii="Arial" w:hAnsi="Arial" w:cs="Arial"/>
                <w:b/>
              </w:rPr>
            </w:pPr>
          </w:p>
        </w:tc>
      </w:tr>
      <w:tr w:rsidR="00F52808" w:rsidRPr="00302082" w14:paraId="634BC468" w14:textId="77777777" w:rsidTr="00E92FE4">
        <w:tc>
          <w:tcPr>
            <w:tcW w:w="2439" w:type="dxa"/>
          </w:tcPr>
          <w:p w14:paraId="53C41800" w14:textId="77777777" w:rsidR="00F52808" w:rsidRPr="00154D48" w:rsidRDefault="00F52808" w:rsidP="00E92FE4">
            <w:pPr>
              <w:spacing w:after="120"/>
              <w:rPr>
                <w:rFonts w:ascii="Arial" w:hAnsi="Arial" w:cs="Arial"/>
              </w:rPr>
            </w:pPr>
            <w:r>
              <w:rPr>
                <w:rFonts w:ascii="Arial" w:hAnsi="Arial" w:cs="Arial"/>
              </w:rPr>
              <w:t>Essay 1</w:t>
            </w:r>
          </w:p>
        </w:tc>
        <w:tc>
          <w:tcPr>
            <w:tcW w:w="567" w:type="dxa"/>
            <w:vAlign w:val="center"/>
          </w:tcPr>
          <w:p w14:paraId="24D9A2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46598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1E644F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9F0DAA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800019E"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34AEDE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95992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22125A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AEC2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779B61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9F57E64" w14:textId="77777777" w:rsidTr="00E92FE4">
        <w:tc>
          <w:tcPr>
            <w:tcW w:w="2439" w:type="dxa"/>
          </w:tcPr>
          <w:p w14:paraId="6CBAB620" w14:textId="77777777" w:rsidR="00F52808" w:rsidRPr="00154D48" w:rsidRDefault="00F52808" w:rsidP="00E92FE4">
            <w:pPr>
              <w:spacing w:after="120"/>
              <w:rPr>
                <w:rFonts w:ascii="Arial" w:hAnsi="Arial" w:cs="Arial"/>
              </w:rPr>
            </w:pPr>
            <w:r>
              <w:rPr>
                <w:rFonts w:ascii="Arial" w:hAnsi="Arial" w:cs="Arial"/>
              </w:rPr>
              <w:t>Essay 2</w:t>
            </w:r>
          </w:p>
        </w:tc>
        <w:tc>
          <w:tcPr>
            <w:tcW w:w="567" w:type="dxa"/>
            <w:vAlign w:val="center"/>
          </w:tcPr>
          <w:p w14:paraId="51E9DC7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3BC92C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457E7A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F128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957114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3F707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8C9851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6041F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73BF7D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9E9CE3" w14:textId="77777777" w:rsidR="00F52808" w:rsidRPr="00302082" w:rsidRDefault="00F52808" w:rsidP="00E92FE4">
            <w:pPr>
              <w:spacing w:after="120"/>
              <w:jc w:val="center"/>
              <w:rPr>
                <w:rFonts w:ascii="Arial" w:hAnsi="Arial" w:cs="Arial"/>
                <w:b/>
              </w:rPr>
            </w:pPr>
            <w:r>
              <w:rPr>
                <w:rFonts w:ascii="Arial" w:hAnsi="Arial" w:cs="Arial"/>
                <w:b/>
              </w:rPr>
              <w:t>x</w:t>
            </w:r>
          </w:p>
        </w:tc>
      </w:tr>
      <w:tr w:rsidR="000F370F" w:rsidRPr="00302082" w14:paraId="4A3C06A7" w14:textId="77777777" w:rsidTr="00E92FE4">
        <w:tc>
          <w:tcPr>
            <w:tcW w:w="2439" w:type="dxa"/>
          </w:tcPr>
          <w:p w14:paraId="47EA2968" w14:textId="38387A65" w:rsidR="000F370F" w:rsidRDefault="000F370F" w:rsidP="00E92FE4">
            <w:pPr>
              <w:spacing w:after="120"/>
              <w:rPr>
                <w:rFonts w:ascii="Arial" w:hAnsi="Arial" w:cs="Arial"/>
              </w:rPr>
            </w:pPr>
            <w:r>
              <w:rPr>
                <w:rFonts w:ascii="Arial" w:hAnsi="Arial" w:cs="Arial"/>
              </w:rPr>
              <w:t>Presentation</w:t>
            </w:r>
          </w:p>
        </w:tc>
        <w:tc>
          <w:tcPr>
            <w:tcW w:w="567" w:type="dxa"/>
            <w:vAlign w:val="center"/>
          </w:tcPr>
          <w:p w14:paraId="7D434601" w14:textId="69BC3E1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8E1A2A8" w14:textId="75A80566"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329B81D" w14:textId="49E4079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288E30A" w14:textId="4C046800"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87ABA72" w14:textId="6016A5A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74F69A8" w14:textId="5FDE202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C94F507" w14:textId="6785721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988BA5A" w14:textId="05775725"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D61DA00" w14:textId="4E56D80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DF4FA88" w14:textId="74AB0146" w:rsidR="000F370F" w:rsidRDefault="000F370F" w:rsidP="00E92F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6C2368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C6A6A21" w:rsidR="008D4447" w:rsidRPr="008D4447" w:rsidRDefault="00F5280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04E504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The module opens the students’ minds to a new idea of the Archaic and Classical World thanks to the study of the complex cultural, political and economic interactions of Late Period Egypt with Greece and the Near East. This module has a broad geographical and chronological focus that will interest European students as well as students from different parts of the world. International scholarship will be used and contrasting theories will be compared in thought-provoking seminar debates.</w:t>
      </w:r>
    </w:p>
    <w:p w14:paraId="14511B53" w14:textId="476B76F5"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21287E63" w:rsidR="00422B69" w:rsidRPr="009D52D0" w:rsidRDefault="00422B69" w:rsidP="009D52D0">
            <w:pPr>
              <w:spacing w:after="120"/>
              <w:ind w:right="543"/>
              <w:rPr>
                <w:rFonts w:ascii="Arial" w:hAnsi="Arial" w:cs="Arial"/>
                <w:sz w:val="20"/>
                <w:szCs w:val="20"/>
              </w:rPr>
            </w:pPr>
          </w:p>
        </w:tc>
        <w:tc>
          <w:tcPr>
            <w:tcW w:w="1815" w:type="dxa"/>
          </w:tcPr>
          <w:p w14:paraId="01BA9967" w14:textId="5324BF61" w:rsidR="00422B69" w:rsidRPr="009D52D0" w:rsidRDefault="00422B69" w:rsidP="009D52D0">
            <w:pPr>
              <w:spacing w:after="120"/>
              <w:ind w:right="543"/>
              <w:rPr>
                <w:rFonts w:ascii="Arial" w:hAnsi="Arial" w:cs="Arial"/>
                <w:sz w:val="20"/>
                <w:szCs w:val="20"/>
              </w:rPr>
            </w:pPr>
          </w:p>
        </w:tc>
        <w:tc>
          <w:tcPr>
            <w:tcW w:w="1974" w:type="dxa"/>
          </w:tcPr>
          <w:p w14:paraId="6E9BBDE3" w14:textId="4DE12787" w:rsidR="00422B69" w:rsidRPr="009D52D0" w:rsidRDefault="00422B69" w:rsidP="00D10242">
            <w:pPr>
              <w:spacing w:after="120"/>
              <w:rPr>
                <w:rFonts w:ascii="Arial" w:hAnsi="Arial" w:cs="Arial"/>
                <w:sz w:val="20"/>
                <w:szCs w:val="20"/>
              </w:rPr>
            </w:pPr>
          </w:p>
        </w:tc>
        <w:tc>
          <w:tcPr>
            <w:tcW w:w="2359" w:type="dxa"/>
          </w:tcPr>
          <w:p w14:paraId="67D09384" w14:textId="4BA0D682" w:rsidR="00422B69" w:rsidRPr="009D52D0" w:rsidRDefault="00422B69" w:rsidP="009D52D0">
            <w:pPr>
              <w:spacing w:after="120"/>
              <w:ind w:right="543"/>
              <w:rPr>
                <w:rFonts w:ascii="Arial" w:hAnsi="Arial" w:cs="Arial"/>
                <w:sz w:val="20"/>
                <w:szCs w:val="20"/>
              </w:rPr>
            </w:pPr>
          </w:p>
        </w:tc>
        <w:tc>
          <w:tcPr>
            <w:tcW w:w="2941" w:type="dxa"/>
          </w:tcPr>
          <w:p w14:paraId="47B82F01" w14:textId="247116BB" w:rsidR="00422B69" w:rsidRPr="009D52D0" w:rsidRDefault="00422B69" w:rsidP="009D52D0">
            <w:pPr>
              <w:spacing w:after="120"/>
              <w:ind w:right="543"/>
              <w:rPr>
                <w:rFonts w:ascii="Arial" w:hAnsi="Arial" w:cs="Arial"/>
                <w:sz w:val="20"/>
                <w:szCs w:val="20"/>
              </w:rPr>
            </w:pPr>
            <w:bookmarkStart w:id="1" w:name="_GoBack"/>
            <w:bookmarkEnd w:id="1"/>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849E" w14:textId="77777777" w:rsidR="00FC37C2" w:rsidRDefault="00FC37C2" w:rsidP="009A2D37">
      <w:pPr>
        <w:spacing w:after="0" w:line="240" w:lineRule="auto"/>
      </w:pPr>
      <w:r>
        <w:separator/>
      </w:r>
    </w:p>
  </w:endnote>
  <w:endnote w:type="continuationSeparator" w:id="0">
    <w:p w14:paraId="1BBA6F1C" w14:textId="77777777" w:rsidR="00FC37C2" w:rsidRDefault="00FC37C2" w:rsidP="009A2D37">
      <w:pPr>
        <w:spacing w:after="0" w:line="240" w:lineRule="auto"/>
      </w:pPr>
      <w:r>
        <w:continuationSeparator/>
      </w:r>
    </w:p>
  </w:endnote>
  <w:endnote w:type="continuationNotice" w:id="1">
    <w:p w14:paraId="2F610A09" w14:textId="77777777" w:rsidR="00FC37C2" w:rsidRDefault="00FC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701877" w:rsidR="008B2543" w:rsidRDefault="0019787E" w:rsidP="009A2D37">
        <w:pPr>
          <w:pStyle w:val="Footer"/>
          <w:jc w:val="center"/>
        </w:pPr>
        <w:r>
          <w:fldChar w:fldCharType="begin"/>
        </w:r>
        <w:r>
          <w:instrText xml:space="preserve"> PAGE   \* MERGEFORMAT </w:instrText>
        </w:r>
        <w:r>
          <w:fldChar w:fldCharType="separate"/>
        </w:r>
        <w:r w:rsidR="00E632F5">
          <w:rPr>
            <w:noProof/>
          </w:rPr>
          <w:t>2</w:t>
        </w:r>
        <w:r>
          <w:rPr>
            <w:noProof/>
          </w:rPr>
          <w:fldChar w:fldCharType="end"/>
        </w:r>
      </w:p>
    </w:sdtContent>
  </w:sdt>
  <w:p w14:paraId="62EFA718" w14:textId="0F313084" w:rsidR="008B2543" w:rsidRPr="007B7724" w:rsidRDefault="00135534" w:rsidP="008915D5">
    <w:pPr>
      <w:pStyle w:val="Footer"/>
      <w:spacing w:after="120"/>
      <w:ind w:right="-330"/>
      <w:jc w:val="center"/>
      <w:rPr>
        <w:rFonts w:ascii="Arial" w:hAnsi="Arial"/>
        <w:sz w:val="18"/>
      </w:rPr>
    </w:pPr>
    <w:r>
      <w:rPr>
        <w:rFonts w:ascii="Arial" w:hAnsi="Arial"/>
        <w:sz w:val="18"/>
      </w:rPr>
      <w:t>Egypt and the Classical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B4FEA62" w:rsidR="00EB41D1" w:rsidRDefault="00EB41D1" w:rsidP="00EB41D1">
        <w:pPr>
          <w:pStyle w:val="Footer"/>
          <w:jc w:val="center"/>
        </w:pPr>
        <w:r>
          <w:fldChar w:fldCharType="begin"/>
        </w:r>
        <w:r>
          <w:instrText xml:space="preserve"> PAGE   \* MERGEFORMAT </w:instrText>
        </w:r>
        <w:r>
          <w:fldChar w:fldCharType="separate"/>
        </w:r>
        <w:r w:rsidR="00E632F5">
          <w:rPr>
            <w:noProof/>
          </w:rPr>
          <w:t>1</w:t>
        </w:r>
        <w:r>
          <w:rPr>
            <w:noProof/>
          </w:rPr>
          <w:fldChar w:fldCharType="end"/>
        </w:r>
      </w:p>
    </w:sdtContent>
  </w:sdt>
  <w:p w14:paraId="62F26118" w14:textId="77777777" w:rsidR="008915D5" w:rsidRPr="007B7724" w:rsidRDefault="008915D5" w:rsidP="008915D5">
    <w:pPr>
      <w:pStyle w:val="Footer"/>
      <w:spacing w:after="120"/>
      <w:ind w:right="-330"/>
      <w:jc w:val="center"/>
      <w:rPr>
        <w:rFonts w:ascii="Arial" w:hAnsi="Arial"/>
        <w:sz w:val="18"/>
      </w:rPr>
    </w:pPr>
    <w:r>
      <w:rPr>
        <w:rFonts w:ascii="Arial" w:hAnsi="Arial"/>
        <w:sz w:val="18"/>
      </w:rPr>
      <w:t>Egypt and the Classical World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80DF" w14:textId="77777777" w:rsidR="00FC37C2" w:rsidRDefault="00FC37C2" w:rsidP="009A2D37">
      <w:pPr>
        <w:spacing w:after="0" w:line="240" w:lineRule="auto"/>
      </w:pPr>
      <w:r>
        <w:separator/>
      </w:r>
    </w:p>
  </w:footnote>
  <w:footnote w:type="continuationSeparator" w:id="0">
    <w:p w14:paraId="61118452" w14:textId="77777777" w:rsidR="00FC37C2" w:rsidRDefault="00FC37C2" w:rsidP="009A2D37">
      <w:pPr>
        <w:spacing w:after="0" w:line="240" w:lineRule="auto"/>
      </w:pPr>
      <w:r>
        <w:continuationSeparator/>
      </w:r>
    </w:p>
  </w:footnote>
  <w:footnote w:type="continuationNotice" w:id="1">
    <w:p w14:paraId="52F1C787" w14:textId="77777777" w:rsidR="00FC37C2" w:rsidRDefault="00FC3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370F"/>
    <w:rsid w:val="000F6C56"/>
    <w:rsid w:val="000F7FBF"/>
    <w:rsid w:val="00106BE5"/>
    <w:rsid w:val="00110947"/>
    <w:rsid w:val="00111906"/>
    <w:rsid w:val="00111CB3"/>
    <w:rsid w:val="00117577"/>
    <w:rsid w:val="00117793"/>
    <w:rsid w:val="001206E4"/>
    <w:rsid w:val="001214D3"/>
    <w:rsid w:val="00121BFC"/>
    <w:rsid w:val="00135534"/>
    <w:rsid w:val="001402AD"/>
    <w:rsid w:val="001540CE"/>
    <w:rsid w:val="0015717B"/>
    <w:rsid w:val="00157ACA"/>
    <w:rsid w:val="00160427"/>
    <w:rsid w:val="00160CFD"/>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70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846"/>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3C7E"/>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A9C"/>
    <w:rsid w:val="00856EB3"/>
    <w:rsid w:val="00863C96"/>
    <w:rsid w:val="00864A72"/>
    <w:rsid w:val="00873E9F"/>
    <w:rsid w:val="00874047"/>
    <w:rsid w:val="008778CB"/>
    <w:rsid w:val="00881545"/>
    <w:rsid w:val="00883204"/>
    <w:rsid w:val="00883A3E"/>
    <w:rsid w:val="0088498E"/>
    <w:rsid w:val="0089148D"/>
    <w:rsid w:val="008915D5"/>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D8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C2AD8"/>
    <w:rsid w:val="00DD02E6"/>
    <w:rsid w:val="00DD0739"/>
    <w:rsid w:val="00DD2E74"/>
    <w:rsid w:val="00DF665B"/>
    <w:rsid w:val="00E0152A"/>
    <w:rsid w:val="00E03394"/>
    <w:rsid w:val="00E066E5"/>
    <w:rsid w:val="00E21923"/>
    <w:rsid w:val="00E22F03"/>
    <w:rsid w:val="00E233C1"/>
    <w:rsid w:val="00E51404"/>
    <w:rsid w:val="00E574C9"/>
    <w:rsid w:val="00E610DE"/>
    <w:rsid w:val="00E632F5"/>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2808"/>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1E0F-52F5-4384-A39C-DBF953D3DEC3}">
  <ds:schemaRefs>
    <ds:schemaRef ds:uri="http://schemas.openxmlformats.org/officeDocument/2006/bibliography"/>
  </ds:schemaRefs>
</ds:datastoreItem>
</file>

<file path=customXml/itemProps2.xml><?xml version="1.0" encoding="utf-8"?>
<ds:datastoreItem xmlns:ds="http://schemas.openxmlformats.org/officeDocument/2006/customXml" ds:itemID="{D9AD72EB-991E-42D5-AA18-008EBF4F38F2}"/>
</file>

<file path=customXml/itemProps3.xml><?xml version="1.0" encoding="utf-8"?>
<ds:datastoreItem xmlns:ds="http://schemas.openxmlformats.org/officeDocument/2006/customXml" ds:itemID="{61DFFF9A-5520-4B4E-A0B2-27C133810D63}"/>
</file>

<file path=customXml/itemProps4.xml><?xml version="1.0" encoding="utf-8"?>
<ds:datastoreItem xmlns:ds="http://schemas.openxmlformats.org/officeDocument/2006/customXml" ds:itemID="{64016FD1-6E64-4ACF-929E-A023C7645A2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2021-01-18T19:50:00Z</dcterms:created>
  <dcterms:modified xsi:type="dcterms:W3CDTF">2021-03-01T14:16:00Z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