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FD90" w14:textId="485EF4D3"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Title of the module</w:t>
      </w:r>
    </w:p>
    <w:p w14:paraId="50AE54CA" w14:textId="76317DCF" w:rsidR="009A2D37" w:rsidRPr="00480FBB" w:rsidRDefault="00EF3D88"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BUSN</w:t>
      </w:r>
      <w:r w:rsidR="00476F6C">
        <w:rPr>
          <w:rFonts w:ascii="Arial" w:hAnsi="Arial" w:cs="Arial"/>
          <w:iCs/>
          <w:color w:val="000000" w:themeColor="text1"/>
        </w:rPr>
        <w:t>9176</w:t>
      </w:r>
      <w:r w:rsidR="00BE2852">
        <w:rPr>
          <w:rFonts w:ascii="Arial" w:hAnsi="Arial" w:cs="Arial"/>
          <w:iCs/>
          <w:color w:val="000000" w:themeColor="text1"/>
        </w:rPr>
        <w:t>:</w:t>
      </w:r>
      <w:r w:rsidR="00170A5D">
        <w:rPr>
          <w:rFonts w:ascii="Arial" w:hAnsi="Arial" w:cs="Arial"/>
          <w:iCs/>
          <w:color w:val="000000" w:themeColor="text1"/>
        </w:rPr>
        <w:t xml:space="preserve"> (CB</w:t>
      </w:r>
      <w:r w:rsidR="00476F6C">
        <w:rPr>
          <w:rFonts w:ascii="Arial" w:hAnsi="Arial" w:cs="Arial"/>
          <w:iCs/>
          <w:color w:val="000000" w:themeColor="text1"/>
        </w:rPr>
        <w:t>9176</w:t>
      </w:r>
      <w:r w:rsidR="00170A5D">
        <w:rPr>
          <w:rFonts w:ascii="Arial" w:hAnsi="Arial" w:cs="Arial"/>
          <w:iCs/>
          <w:color w:val="000000" w:themeColor="text1"/>
        </w:rPr>
        <w:t>)</w:t>
      </w:r>
      <w:r w:rsidR="00BE2852">
        <w:rPr>
          <w:rFonts w:ascii="Arial" w:hAnsi="Arial" w:cs="Arial"/>
          <w:iCs/>
          <w:color w:val="000000" w:themeColor="text1"/>
        </w:rPr>
        <w:t xml:space="preserve"> </w:t>
      </w:r>
      <w:r w:rsidR="00BE2852" w:rsidRPr="00BE2852">
        <w:rPr>
          <w:rFonts w:ascii="Arial" w:hAnsi="Arial" w:cs="Arial"/>
          <w:iCs/>
          <w:color w:val="000000" w:themeColor="text1"/>
        </w:rPr>
        <w:t>Industrial Placement Report</w:t>
      </w:r>
    </w:p>
    <w:p w14:paraId="4AF7B8E0"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School or partner institution which will be responsible for management of the module</w:t>
      </w:r>
    </w:p>
    <w:p w14:paraId="1C7C4E02" w14:textId="77777777" w:rsidR="009A2D37" w:rsidRPr="00480FBB" w:rsidRDefault="00780DD7" w:rsidP="00155985">
      <w:pPr>
        <w:spacing w:after="120" w:line="240" w:lineRule="auto"/>
        <w:ind w:left="567" w:right="260"/>
        <w:rPr>
          <w:rFonts w:ascii="Arial" w:hAnsi="Arial" w:cs="Arial"/>
          <w:iCs/>
          <w:color w:val="000000" w:themeColor="text1"/>
        </w:rPr>
      </w:pPr>
      <w:r w:rsidRPr="00480FBB">
        <w:rPr>
          <w:rFonts w:ascii="Arial" w:hAnsi="Arial" w:cs="Arial"/>
          <w:iCs/>
          <w:color w:val="000000" w:themeColor="text1"/>
        </w:rPr>
        <w:t>Kent Business School</w:t>
      </w:r>
    </w:p>
    <w:p w14:paraId="67C95407"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level of the module (e.g. </w:t>
      </w:r>
      <w:r w:rsidR="00D83563" w:rsidRPr="00480FBB">
        <w:rPr>
          <w:rFonts w:ascii="Arial" w:hAnsi="Arial" w:cs="Arial"/>
          <w:b/>
          <w:color w:val="000000" w:themeColor="text1"/>
        </w:rPr>
        <w:t>Level</w:t>
      </w:r>
      <w:r w:rsidR="00441E76" w:rsidRPr="00480FBB">
        <w:rPr>
          <w:rFonts w:ascii="Arial" w:hAnsi="Arial" w:cs="Arial"/>
          <w:b/>
          <w:color w:val="000000" w:themeColor="text1"/>
        </w:rPr>
        <w:t xml:space="preserve"> 4</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5</w:t>
      </w:r>
      <w:r w:rsidR="001D0C7D" w:rsidRPr="00480FBB">
        <w:rPr>
          <w:rFonts w:ascii="Arial" w:hAnsi="Arial" w:cs="Arial"/>
          <w:b/>
          <w:color w:val="000000" w:themeColor="text1"/>
        </w:rPr>
        <w:t xml:space="preserve">, </w:t>
      </w:r>
      <w:r w:rsidR="00441E76" w:rsidRPr="00480FBB">
        <w:rPr>
          <w:rFonts w:ascii="Arial" w:hAnsi="Arial" w:cs="Arial"/>
          <w:b/>
          <w:color w:val="000000" w:themeColor="text1"/>
        </w:rPr>
        <w:t>Level 6</w:t>
      </w:r>
      <w:r w:rsidR="001D0C7D" w:rsidRPr="00480FBB">
        <w:rPr>
          <w:rFonts w:ascii="Arial" w:hAnsi="Arial" w:cs="Arial"/>
          <w:b/>
          <w:color w:val="000000" w:themeColor="text1"/>
        </w:rPr>
        <w:t xml:space="preserve"> or </w:t>
      </w:r>
      <w:r w:rsidR="00C612A8" w:rsidRPr="00480FBB">
        <w:rPr>
          <w:rFonts w:ascii="Arial" w:hAnsi="Arial" w:cs="Arial"/>
          <w:b/>
          <w:color w:val="000000" w:themeColor="text1"/>
        </w:rPr>
        <w:t>L</w:t>
      </w:r>
      <w:r w:rsidR="00441E76" w:rsidRPr="00480FBB">
        <w:rPr>
          <w:rFonts w:ascii="Arial" w:hAnsi="Arial" w:cs="Arial"/>
          <w:b/>
          <w:color w:val="000000" w:themeColor="text1"/>
        </w:rPr>
        <w:t>evel 7</w:t>
      </w:r>
      <w:r w:rsidRPr="00480FBB">
        <w:rPr>
          <w:rFonts w:ascii="Arial" w:hAnsi="Arial" w:cs="Arial"/>
          <w:b/>
          <w:color w:val="000000" w:themeColor="text1"/>
        </w:rPr>
        <w:t>)</w:t>
      </w:r>
    </w:p>
    <w:p w14:paraId="31A97E50" w14:textId="77777777" w:rsidR="009A2D37" w:rsidRPr="00480FBB" w:rsidRDefault="00260F53" w:rsidP="00155985">
      <w:pPr>
        <w:spacing w:after="120" w:line="240" w:lineRule="auto"/>
        <w:ind w:left="567" w:right="260"/>
        <w:jc w:val="both"/>
        <w:rPr>
          <w:rFonts w:ascii="Arial" w:hAnsi="Arial" w:cs="Arial"/>
          <w:iCs/>
          <w:color w:val="000000" w:themeColor="text1"/>
        </w:rPr>
      </w:pPr>
      <w:r w:rsidRPr="00480FBB">
        <w:rPr>
          <w:rFonts w:ascii="Arial" w:hAnsi="Arial" w:cs="Arial"/>
          <w:iCs/>
          <w:color w:val="000000" w:themeColor="text1"/>
        </w:rPr>
        <w:t>Level 7</w:t>
      </w:r>
      <w:bookmarkStart w:id="0" w:name="_GoBack"/>
      <w:bookmarkEnd w:id="0"/>
    </w:p>
    <w:p w14:paraId="4E5FA0DF"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The number of credits and the ECTS value which the module represents </w:t>
      </w:r>
    </w:p>
    <w:p w14:paraId="383FB2F9" w14:textId="59966EE5" w:rsidR="00B04841" w:rsidRPr="00480FBB" w:rsidRDefault="00BE2852" w:rsidP="00155985">
      <w:pPr>
        <w:spacing w:after="120" w:line="240" w:lineRule="auto"/>
        <w:ind w:left="567" w:right="260"/>
        <w:jc w:val="both"/>
        <w:rPr>
          <w:rFonts w:ascii="Arial" w:hAnsi="Arial" w:cs="Arial"/>
          <w:iCs/>
          <w:color w:val="000000" w:themeColor="text1"/>
        </w:rPr>
      </w:pPr>
      <w:r>
        <w:rPr>
          <w:rFonts w:ascii="Arial" w:hAnsi="Arial" w:cs="Arial"/>
          <w:iCs/>
          <w:color w:val="000000" w:themeColor="text1"/>
        </w:rPr>
        <w:t>1</w:t>
      </w:r>
      <w:r w:rsidR="00017532" w:rsidRPr="00480FBB">
        <w:rPr>
          <w:rFonts w:ascii="Arial" w:hAnsi="Arial" w:cs="Arial"/>
          <w:iCs/>
          <w:color w:val="000000" w:themeColor="text1"/>
        </w:rPr>
        <w:t>5 credits (7.5 ECTs)</w:t>
      </w:r>
    </w:p>
    <w:p w14:paraId="5DAA3573" w14:textId="7EC1D3D8"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Which term(s) the module is to be taught in (or other teaching pattern)</w:t>
      </w:r>
    </w:p>
    <w:p w14:paraId="65D15EDB" w14:textId="17F7D65D" w:rsidR="00B2615F" w:rsidRPr="00480FBB" w:rsidRDefault="00BE2852" w:rsidP="00155985">
      <w:pPr>
        <w:spacing w:after="120" w:line="240" w:lineRule="auto"/>
        <w:ind w:left="567" w:right="260"/>
        <w:jc w:val="both"/>
        <w:rPr>
          <w:rFonts w:ascii="Arial" w:hAnsi="Arial" w:cs="Arial"/>
          <w:iCs/>
          <w:color w:val="000000" w:themeColor="text1"/>
        </w:rPr>
      </w:pPr>
      <w:r w:rsidRPr="00BE2852">
        <w:rPr>
          <w:rFonts w:ascii="Arial" w:hAnsi="Arial" w:cs="Arial"/>
          <w:iCs/>
          <w:color w:val="000000" w:themeColor="text1"/>
        </w:rPr>
        <w:t xml:space="preserve">Placements </w:t>
      </w:r>
      <w:r w:rsidR="00B55A4E">
        <w:rPr>
          <w:rFonts w:ascii="Arial" w:hAnsi="Arial" w:cs="Arial"/>
          <w:iCs/>
          <w:color w:val="000000" w:themeColor="text1"/>
        </w:rPr>
        <w:t xml:space="preserve">will </w:t>
      </w:r>
      <w:r w:rsidRPr="00BE2852">
        <w:rPr>
          <w:rFonts w:ascii="Arial" w:hAnsi="Arial" w:cs="Arial"/>
          <w:iCs/>
          <w:color w:val="000000" w:themeColor="text1"/>
        </w:rPr>
        <w:t xml:space="preserve">normally </w:t>
      </w:r>
      <w:r w:rsidR="00B55A4E">
        <w:rPr>
          <w:rFonts w:ascii="Arial" w:hAnsi="Arial" w:cs="Arial"/>
          <w:iCs/>
          <w:color w:val="000000" w:themeColor="text1"/>
        </w:rPr>
        <w:t>commence</w:t>
      </w:r>
      <w:r w:rsidRPr="00BE2852">
        <w:rPr>
          <w:rFonts w:ascii="Arial" w:hAnsi="Arial" w:cs="Arial"/>
          <w:iCs/>
          <w:color w:val="000000" w:themeColor="text1"/>
        </w:rPr>
        <w:t xml:space="preserve"> after </w:t>
      </w:r>
      <w:r w:rsidR="00B55A4E">
        <w:rPr>
          <w:rFonts w:ascii="Arial" w:hAnsi="Arial" w:cs="Arial"/>
          <w:iCs/>
          <w:color w:val="000000" w:themeColor="text1"/>
        </w:rPr>
        <w:t xml:space="preserve">completing </w:t>
      </w:r>
      <w:r w:rsidR="00B55A4E" w:rsidRPr="00480FBB">
        <w:rPr>
          <w:rFonts w:ascii="Arial" w:hAnsi="Arial" w:cs="Arial"/>
          <w:iCs/>
          <w:color w:val="000000" w:themeColor="text1"/>
        </w:rPr>
        <w:t xml:space="preserve">the </w:t>
      </w:r>
      <w:r w:rsidR="00B55A4E">
        <w:rPr>
          <w:rFonts w:ascii="Arial" w:hAnsi="Arial" w:cs="Arial"/>
          <w:iCs/>
          <w:color w:val="000000" w:themeColor="text1"/>
        </w:rPr>
        <w:t>Dissertation</w:t>
      </w:r>
      <w:r w:rsidR="00B55A4E" w:rsidRPr="00480FBB">
        <w:rPr>
          <w:rFonts w:ascii="Arial" w:hAnsi="Arial" w:cs="Arial"/>
          <w:iCs/>
          <w:color w:val="000000" w:themeColor="text1"/>
        </w:rPr>
        <w:t xml:space="preserve"> </w:t>
      </w:r>
      <w:r w:rsidRPr="00BE2852">
        <w:rPr>
          <w:rFonts w:ascii="Arial" w:hAnsi="Arial" w:cs="Arial"/>
          <w:iCs/>
          <w:color w:val="000000" w:themeColor="text1"/>
        </w:rPr>
        <w:t>(</w:t>
      </w:r>
      <w:r w:rsidR="00B55A4E">
        <w:rPr>
          <w:rFonts w:ascii="Arial" w:hAnsi="Arial" w:cs="Arial"/>
          <w:iCs/>
          <w:color w:val="000000" w:themeColor="text1"/>
        </w:rPr>
        <w:t xml:space="preserve">i.e. in </w:t>
      </w:r>
      <w:r w:rsidRPr="00BE2852">
        <w:rPr>
          <w:rFonts w:ascii="Arial" w:hAnsi="Arial" w:cs="Arial"/>
          <w:iCs/>
          <w:color w:val="000000" w:themeColor="text1"/>
        </w:rPr>
        <w:t>September). See the module specification for</w:t>
      </w:r>
      <w:r w:rsidR="00B55A4E">
        <w:rPr>
          <w:rFonts w:ascii="Arial" w:hAnsi="Arial" w:cs="Arial"/>
          <w:iCs/>
          <w:color w:val="000000" w:themeColor="text1"/>
        </w:rPr>
        <w:t xml:space="preserve"> </w:t>
      </w:r>
      <w:r w:rsidRPr="00BE2852">
        <w:rPr>
          <w:rFonts w:ascii="Arial" w:hAnsi="Arial" w:cs="Arial"/>
          <w:iCs/>
          <w:color w:val="000000" w:themeColor="text1"/>
        </w:rPr>
        <w:t>Industrial Placement Experience (3, 6, 9</w:t>
      </w:r>
      <w:r w:rsidR="00B55A4E">
        <w:rPr>
          <w:rFonts w:ascii="Arial" w:hAnsi="Arial" w:cs="Arial"/>
          <w:iCs/>
          <w:color w:val="000000" w:themeColor="text1"/>
        </w:rPr>
        <w:t>,</w:t>
      </w:r>
      <w:r w:rsidRPr="00BE2852">
        <w:rPr>
          <w:rFonts w:ascii="Arial" w:hAnsi="Arial" w:cs="Arial"/>
          <w:iCs/>
          <w:color w:val="000000" w:themeColor="text1"/>
        </w:rPr>
        <w:t xml:space="preserve"> and 12 months) for details.</w:t>
      </w:r>
    </w:p>
    <w:p w14:paraId="2C30EED9" w14:textId="77777777" w:rsidR="00B2615F" w:rsidRPr="00480FBB" w:rsidRDefault="00B2615F"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Prerequisite and co-requisite modules</w:t>
      </w:r>
    </w:p>
    <w:p w14:paraId="020529BA" w14:textId="0F7B701C" w:rsidR="00BE2852" w:rsidRDefault="00BE2852" w:rsidP="00155985">
      <w:pPr>
        <w:spacing w:after="120" w:line="240" w:lineRule="auto"/>
        <w:ind w:left="567" w:right="260"/>
        <w:rPr>
          <w:rFonts w:ascii="Arial" w:hAnsi="Arial" w:cs="Arial"/>
          <w:iCs/>
          <w:color w:val="000000" w:themeColor="text1"/>
        </w:rPr>
      </w:pPr>
      <w:r w:rsidRPr="00BE2852">
        <w:rPr>
          <w:rFonts w:ascii="Arial" w:hAnsi="Arial" w:cs="Arial"/>
          <w:iCs/>
          <w:color w:val="000000" w:themeColor="text1"/>
        </w:rPr>
        <w:t>Co-requisites:</w:t>
      </w:r>
      <w:r w:rsidR="00B55A4E">
        <w:rPr>
          <w:rFonts w:ascii="Arial" w:hAnsi="Arial" w:cs="Arial"/>
          <w:iCs/>
          <w:color w:val="000000" w:themeColor="text1"/>
        </w:rPr>
        <w:t xml:space="preserve"> one of the following</w:t>
      </w:r>
      <w:r w:rsidRPr="00BE2852">
        <w:rPr>
          <w:rFonts w:ascii="Arial" w:hAnsi="Arial" w:cs="Arial"/>
          <w:iCs/>
          <w:color w:val="000000" w:themeColor="text1"/>
        </w:rPr>
        <w:t xml:space="preserve"> </w:t>
      </w:r>
    </w:p>
    <w:p w14:paraId="4583FB07"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BUSN9168 (CB9168): Industrial Placement Experience (3 months)</w:t>
      </w:r>
    </w:p>
    <w:p w14:paraId="73421BF9"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BUSN9169 (CB9169): Industrial Placement Experience (6 months)</w:t>
      </w:r>
    </w:p>
    <w:p w14:paraId="4A3816E4"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BUSN9171 (CB9171): Industrial Placement Experience (9 months)</w:t>
      </w:r>
    </w:p>
    <w:p w14:paraId="64D31758" w14:textId="77777777" w:rsidR="00476F6C" w:rsidRPr="00476F6C" w:rsidRDefault="00476F6C" w:rsidP="00476F6C">
      <w:pPr>
        <w:spacing w:after="120" w:line="240" w:lineRule="auto"/>
        <w:ind w:left="567" w:right="260"/>
        <w:jc w:val="both"/>
        <w:rPr>
          <w:rFonts w:ascii="Arial" w:hAnsi="Arial" w:cs="Arial"/>
          <w:iCs/>
          <w:color w:val="000000" w:themeColor="text1"/>
        </w:rPr>
      </w:pPr>
      <w:r w:rsidRPr="00476F6C">
        <w:rPr>
          <w:rFonts w:ascii="Arial" w:hAnsi="Arial" w:cs="Arial"/>
          <w:iCs/>
          <w:color w:val="000000" w:themeColor="text1"/>
        </w:rPr>
        <w:t>BUSN9172 (CB9172): Industrial Placement Experience (12 months)</w:t>
      </w:r>
    </w:p>
    <w:p w14:paraId="15F3D2FE" w14:textId="77777777" w:rsidR="009A2D37" w:rsidRPr="00480FBB" w:rsidRDefault="009A2D37" w:rsidP="00155985">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The programmes of study to which the module contributes</w:t>
      </w:r>
    </w:p>
    <w:p w14:paraId="45F2226E" w14:textId="566D9CA0" w:rsidR="004E5577" w:rsidRPr="00480FBB" w:rsidRDefault="00E648EE" w:rsidP="00155985">
      <w:pPr>
        <w:spacing w:after="120" w:line="240" w:lineRule="auto"/>
        <w:ind w:left="567" w:right="260"/>
        <w:jc w:val="both"/>
        <w:rPr>
          <w:rFonts w:ascii="Arial" w:hAnsi="Arial" w:cs="Arial"/>
        </w:rPr>
      </w:pPr>
      <w:r w:rsidRPr="00E648EE">
        <w:rPr>
          <w:rFonts w:ascii="Arial" w:hAnsi="Arial" w:cs="Arial"/>
        </w:rPr>
        <w:t>Portfolio of taught MSc programmes in Business and Management with an industrial placement</w:t>
      </w:r>
    </w:p>
    <w:p w14:paraId="5B324272" w14:textId="77777777" w:rsidR="009A2D37" w:rsidRPr="00480FBB" w:rsidRDefault="009A2D37" w:rsidP="00155985">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subject specific learning outcomes</w:t>
      </w:r>
      <w:r w:rsidR="00640710" w:rsidRPr="00480FBB">
        <w:rPr>
          <w:rFonts w:ascii="Arial" w:hAnsi="Arial" w:cs="Arial"/>
          <w:b/>
          <w:color w:val="000000" w:themeColor="text1"/>
        </w:rPr>
        <w:t xml:space="preserve"> (SLO)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040C4" w14:textId="7777777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8.1</w:t>
      </w:r>
      <w:r w:rsidRPr="00B55A4E">
        <w:rPr>
          <w:rFonts w:ascii="Arial" w:hAnsi="Arial" w:cs="Arial"/>
          <w:color w:val="000000" w:themeColor="text1"/>
        </w:rPr>
        <w:tab/>
        <w:t>Enhance subject-specific skills developed earlier within the programme.</w:t>
      </w:r>
    </w:p>
    <w:p w14:paraId="40319271" w14:textId="3EBB7750" w:rsidR="00B55A4E" w:rsidRPr="00B55A4E" w:rsidRDefault="00AC04CA" w:rsidP="00B55A4E">
      <w:pPr>
        <w:spacing w:after="120" w:line="240" w:lineRule="auto"/>
        <w:ind w:left="1134" w:right="260" w:hanging="567"/>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t>Utilise programme specific</w:t>
      </w:r>
      <w:r w:rsidR="00B55A4E" w:rsidRPr="00B55A4E">
        <w:rPr>
          <w:rFonts w:ascii="Arial" w:hAnsi="Arial" w:cs="Arial"/>
          <w:color w:val="000000" w:themeColor="text1"/>
        </w:rPr>
        <w:t xml:space="preserve"> </w:t>
      </w:r>
      <w:r>
        <w:rPr>
          <w:rFonts w:ascii="Arial" w:hAnsi="Arial" w:cs="Arial"/>
          <w:color w:val="000000" w:themeColor="text1"/>
        </w:rPr>
        <w:t xml:space="preserve">skills </w:t>
      </w:r>
      <w:r w:rsidR="00B55A4E" w:rsidRPr="00B55A4E">
        <w:rPr>
          <w:rFonts w:ascii="Arial" w:hAnsi="Arial" w:cs="Arial"/>
          <w:color w:val="000000" w:themeColor="text1"/>
        </w:rPr>
        <w:t>techniques within an industrial context.</w:t>
      </w:r>
    </w:p>
    <w:p w14:paraId="17323BEB" w14:textId="482ECA17" w:rsidR="00B55A4E" w:rsidRPr="00B55A4E" w:rsidRDefault="00B55A4E" w:rsidP="00B55A4E">
      <w:pPr>
        <w:spacing w:after="120" w:line="240" w:lineRule="auto"/>
        <w:ind w:left="1134" w:right="260" w:hanging="567"/>
        <w:rPr>
          <w:rFonts w:ascii="Arial" w:hAnsi="Arial" w:cs="Arial"/>
          <w:color w:val="000000" w:themeColor="text1"/>
        </w:rPr>
      </w:pPr>
      <w:r w:rsidRPr="00B55A4E">
        <w:rPr>
          <w:rFonts w:ascii="Arial" w:hAnsi="Arial" w:cs="Arial"/>
          <w:color w:val="000000" w:themeColor="text1"/>
        </w:rPr>
        <w:t>8.3</w:t>
      </w:r>
      <w:r w:rsidRPr="00B55A4E">
        <w:rPr>
          <w:rFonts w:ascii="Arial" w:hAnsi="Arial" w:cs="Arial"/>
          <w:color w:val="000000" w:themeColor="text1"/>
        </w:rPr>
        <w:tab/>
      </w:r>
      <w:r w:rsidR="00AC04CA">
        <w:rPr>
          <w:rFonts w:ascii="Arial" w:hAnsi="Arial" w:cs="Arial"/>
          <w:color w:val="000000" w:themeColor="text1"/>
        </w:rPr>
        <w:t>Demonstrate an in-depth understanding of</w:t>
      </w:r>
      <w:r w:rsidRPr="00B55A4E">
        <w:rPr>
          <w:rFonts w:ascii="Arial" w:hAnsi="Arial" w:cs="Arial"/>
          <w:color w:val="000000" w:themeColor="text1"/>
        </w:rPr>
        <w:t xml:space="preserve"> the challenges involved with working on real-world problems</w:t>
      </w:r>
      <w:r w:rsidR="00AC04CA">
        <w:rPr>
          <w:rFonts w:ascii="Arial" w:hAnsi="Arial" w:cs="Arial"/>
          <w:color w:val="000000" w:themeColor="text1"/>
        </w:rPr>
        <w:t>.</w:t>
      </w:r>
    </w:p>
    <w:p w14:paraId="787451FE" w14:textId="427ED806" w:rsidR="00C729D7" w:rsidRPr="00480FBB" w:rsidRDefault="009A2D37" w:rsidP="00B55A4E">
      <w:pPr>
        <w:numPr>
          <w:ilvl w:val="0"/>
          <w:numId w:val="1"/>
        </w:numPr>
        <w:spacing w:after="120" w:line="240" w:lineRule="auto"/>
        <w:ind w:left="567" w:right="260" w:hanging="567"/>
        <w:rPr>
          <w:rFonts w:ascii="Arial" w:hAnsi="Arial" w:cs="Arial"/>
          <w:b/>
          <w:color w:val="000000" w:themeColor="text1"/>
        </w:rPr>
      </w:pPr>
      <w:r w:rsidRPr="00480FBB">
        <w:rPr>
          <w:rFonts w:ascii="Arial" w:hAnsi="Arial" w:cs="Arial"/>
          <w:b/>
          <w:color w:val="000000" w:themeColor="text1"/>
        </w:rPr>
        <w:t>The intended generic learning outcomes</w:t>
      </w:r>
      <w:r w:rsidR="00640710" w:rsidRPr="00480FBB">
        <w:rPr>
          <w:rFonts w:ascii="Arial" w:hAnsi="Arial" w:cs="Arial"/>
          <w:b/>
          <w:color w:val="000000" w:themeColor="text1"/>
        </w:rPr>
        <w:t xml:space="preserve"> (GLO)</w:t>
      </w:r>
      <w:r w:rsidR="00C729D7" w:rsidRPr="00480FBB">
        <w:rPr>
          <w:rFonts w:ascii="Arial" w:hAnsi="Arial" w:cs="Arial"/>
          <w:b/>
          <w:color w:val="000000" w:themeColor="text1"/>
        </w:rPr>
        <w:t>.</w:t>
      </w:r>
      <w:r w:rsidR="00C729D7" w:rsidRPr="00480FBB">
        <w:rPr>
          <w:rFonts w:ascii="Arial" w:hAnsi="Arial" w:cs="Arial"/>
          <w:b/>
          <w:color w:val="000000" w:themeColor="text1"/>
        </w:rPr>
        <w:br/>
        <w:t>On successfully completing the module students will be able to:</w:t>
      </w:r>
    </w:p>
    <w:p w14:paraId="723967E9"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9.1</w:t>
      </w:r>
      <w:r w:rsidRPr="00FF7E47">
        <w:rPr>
          <w:color w:val="000000" w:themeColor="text1"/>
          <w:sz w:val="22"/>
          <w:szCs w:val="22"/>
        </w:rPr>
        <w:tab/>
        <w:t>Deal with complex issues both systematically and creatively.</w:t>
      </w:r>
    </w:p>
    <w:p w14:paraId="1F543734"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9.2</w:t>
      </w:r>
      <w:r w:rsidRPr="00FF7E47">
        <w:rPr>
          <w:color w:val="000000" w:themeColor="text1"/>
          <w:sz w:val="22"/>
          <w:szCs w:val="22"/>
        </w:rPr>
        <w:tab/>
        <w:t>Plan, work</w:t>
      </w:r>
      <w:r>
        <w:rPr>
          <w:color w:val="000000" w:themeColor="text1"/>
          <w:sz w:val="22"/>
          <w:szCs w:val="22"/>
        </w:rPr>
        <w:t>,</w:t>
      </w:r>
      <w:r w:rsidRPr="00FF7E47">
        <w:rPr>
          <w:color w:val="000000" w:themeColor="text1"/>
          <w:sz w:val="22"/>
          <w:szCs w:val="22"/>
        </w:rPr>
        <w:t xml:space="preserve"> and study independently and use relevant resources in a manner that reflects good practice.</w:t>
      </w:r>
    </w:p>
    <w:p w14:paraId="7CD68C8B" w14:textId="77777777" w:rsidR="00B55A4E" w:rsidRPr="00FF7E47"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9.3</w:t>
      </w:r>
      <w:r w:rsidRPr="00FF7E47">
        <w:rPr>
          <w:color w:val="000000" w:themeColor="text1"/>
          <w:sz w:val="22"/>
          <w:szCs w:val="22"/>
        </w:rPr>
        <w:tab/>
        <w:t>Manage their own learning and development, including time management and organisational skills.</w:t>
      </w:r>
    </w:p>
    <w:p w14:paraId="358D8262" w14:textId="43A079E1" w:rsidR="00B55A4E" w:rsidRPr="00B55A4E" w:rsidRDefault="00B55A4E" w:rsidP="00B55A4E">
      <w:pPr>
        <w:pStyle w:val="Default"/>
        <w:spacing w:after="120"/>
        <w:ind w:left="1134" w:right="260" w:hanging="567"/>
        <w:rPr>
          <w:color w:val="000000" w:themeColor="text1"/>
          <w:sz w:val="22"/>
          <w:szCs w:val="22"/>
        </w:rPr>
      </w:pPr>
      <w:r w:rsidRPr="00FF7E47">
        <w:rPr>
          <w:color w:val="000000" w:themeColor="text1"/>
          <w:sz w:val="22"/>
          <w:szCs w:val="22"/>
        </w:rPr>
        <w:t>9.4</w:t>
      </w:r>
      <w:r w:rsidRPr="00FF7E47">
        <w:rPr>
          <w:color w:val="000000" w:themeColor="text1"/>
          <w:sz w:val="22"/>
          <w:szCs w:val="22"/>
        </w:rPr>
        <w:tab/>
        <w:t xml:space="preserve">Apply knowledge and skills gained through academic study </w:t>
      </w:r>
      <w:r>
        <w:rPr>
          <w:color w:val="000000" w:themeColor="text1"/>
          <w:sz w:val="22"/>
          <w:szCs w:val="22"/>
        </w:rPr>
        <w:t>within</w:t>
      </w:r>
      <w:r w:rsidRPr="00FF7E47">
        <w:rPr>
          <w:color w:val="000000" w:themeColor="text1"/>
          <w:sz w:val="22"/>
          <w:szCs w:val="22"/>
        </w:rPr>
        <w:t xml:space="preserve"> a working environment.</w:t>
      </w:r>
    </w:p>
    <w:p w14:paraId="1ECF8CC5" w14:textId="5071B730"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A synopsis of the curriculum</w:t>
      </w:r>
    </w:p>
    <w:p w14:paraId="13E83CF3" w14:textId="06006D18" w:rsidR="00B55A4E" w:rsidRPr="00B55A4E" w:rsidRDefault="00B55A4E" w:rsidP="00B55A4E">
      <w:pPr>
        <w:spacing w:after="120" w:line="240" w:lineRule="auto"/>
        <w:ind w:left="567" w:right="260"/>
        <w:rPr>
          <w:rFonts w:ascii="Arial" w:hAnsi="Arial" w:cs="Arial"/>
          <w:iCs/>
          <w:color w:val="000000" w:themeColor="text1"/>
        </w:rPr>
      </w:pPr>
      <w:r w:rsidRPr="00B55A4E">
        <w:rPr>
          <w:rFonts w:ascii="Arial" w:hAnsi="Arial" w:cs="Arial"/>
          <w:sz w:val="23"/>
          <w:szCs w:val="23"/>
        </w:rPr>
        <w:t>Students will spend a period of time working in an industrial or organisational setting, applying and enhancing the skills and techniques they have learned on the programme. Work will be carried out under the direction of a</w:t>
      </w:r>
      <w:r w:rsidR="00AC04CA">
        <w:rPr>
          <w:rFonts w:ascii="Arial" w:hAnsi="Arial" w:cs="Arial"/>
          <w:sz w:val="23"/>
          <w:szCs w:val="23"/>
        </w:rPr>
        <w:t xml:space="preserve"> placement</w:t>
      </w:r>
      <w:r w:rsidRPr="00B55A4E">
        <w:rPr>
          <w:rFonts w:ascii="Arial" w:hAnsi="Arial" w:cs="Arial"/>
          <w:sz w:val="23"/>
          <w:szCs w:val="23"/>
        </w:rPr>
        <w:t xml:space="preserve"> supervisor. This support will include ensuring that the work they are expected to do within the placement company/organisation meets the learning outcomes of the module.</w:t>
      </w:r>
    </w:p>
    <w:p w14:paraId="04D4ECEE" w14:textId="210690A8" w:rsidR="00780DD7" w:rsidRPr="00480FBB" w:rsidRDefault="00780DD7" w:rsidP="00480FBB">
      <w:pPr>
        <w:spacing w:after="120" w:line="240" w:lineRule="auto"/>
        <w:ind w:left="426" w:right="260"/>
        <w:rPr>
          <w:rFonts w:ascii="Arial" w:hAnsi="Arial" w:cs="Arial"/>
          <w:iCs/>
          <w:color w:val="000000" w:themeColor="text1"/>
        </w:rPr>
      </w:pPr>
    </w:p>
    <w:p w14:paraId="3BEE49DC" w14:textId="77777777" w:rsidR="009A2D37" w:rsidRPr="00480FBB" w:rsidRDefault="009A2D37" w:rsidP="00B55A4E">
      <w:pPr>
        <w:numPr>
          <w:ilvl w:val="0"/>
          <w:numId w:val="1"/>
        </w:numPr>
        <w:spacing w:after="120" w:line="240" w:lineRule="auto"/>
        <w:ind w:left="567" w:right="260" w:hanging="567"/>
        <w:jc w:val="both"/>
        <w:rPr>
          <w:rFonts w:ascii="Arial" w:hAnsi="Arial" w:cs="Arial"/>
          <w:b/>
          <w:color w:val="000000" w:themeColor="text1"/>
        </w:rPr>
      </w:pPr>
      <w:r w:rsidRPr="00480FBB">
        <w:rPr>
          <w:rFonts w:ascii="Arial" w:hAnsi="Arial" w:cs="Arial"/>
          <w:b/>
          <w:color w:val="000000" w:themeColor="text1"/>
        </w:rPr>
        <w:t xml:space="preserve">Reading List </w:t>
      </w:r>
      <w:r w:rsidR="00274ED7" w:rsidRPr="00480FBB">
        <w:rPr>
          <w:rFonts w:ascii="Arial" w:hAnsi="Arial" w:cs="Arial"/>
          <w:b/>
          <w:color w:val="000000" w:themeColor="text1"/>
        </w:rPr>
        <w:t>(Indicative list, current at time of publication. Reading lists will be published annually)</w:t>
      </w:r>
    </w:p>
    <w:p w14:paraId="503A9142" w14:textId="5EDD3B64" w:rsidR="00AC04CA" w:rsidRDefault="00AC04CA" w:rsidP="00AC04CA">
      <w:pPr>
        <w:spacing w:after="0" w:line="240" w:lineRule="auto"/>
        <w:ind w:left="567"/>
        <w:jc w:val="both"/>
        <w:rPr>
          <w:rFonts w:ascii="Arial" w:hAnsi="Arial" w:cs="Arial"/>
          <w:lang w:val="en"/>
        </w:rPr>
      </w:pPr>
      <w:r w:rsidRPr="00AC04CA">
        <w:rPr>
          <w:rFonts w:ascii="Arial" w:hAnsi="Arial" w:cs="Arial"/>
          <w:lang w:val="en"/>
        </w:rPr>
        <w:lastRenderedPageBreak/>
        <w:t xml:space="preserve">Cottrell, S. (2015), </w:t>
      </w:r>
      <w:r w:rsidRPr="00AC04CA">
        <w:rPr>
          <w:rFonts w:ascii="Arial" w:hAnsi="Arial" w:cs="Arial"/>
          <w:i/>
          <w:lang w:val="en"/>
        </w:rPr>
        <w:t xml:space="preserve">Skills for success: the personal </w:t>
      </w:r>
      <w:proofErr w:type="gramStart"/>
      <w:r w:rsidRPr="00AC04CA">
        <w:rPr>
          <w:rFonts w:ascii="Arial" w:hAnsi="Arial" w:cs="Arial"/>
          <w:i/>
          <w:lang w:val="en"/>
        </w:rPr>
        <w:t>development planning</w:t>
      </w:r>
      <w:proofErr w:type="gramEnd"/>
      <w:r w:rsidRPr="00AC04CA">
        <w:rPr>
          <w:rFonts w:ascii="Arial" w:hAnsi="Arial" w:cs="Arial"/>
          <w:i/>
          <w:lang w:val="en"/>
        </w:rPr>
        <w:t xml:space="preserve"> handbook</w:t>
      </w:r>
      <w:r w:rsidRPr="00AC04CA">
        <w:rPr>
          <w:rFonts w:ascii="Arial" w:hAnsi="Arial" w:cs="Arial"/>
          <w:lang w:val="en"/>
        </w:rPr>
        <w:t>, 2nd edition, Basingstoke: Palgrave Macmillan.</w:t>
      </w:r>
    </w:p>
    <w:p w14:paraId="683C5C51" w14:textId="77777777" w:rsidR="008B650F" w:rsidRPr="00AC04CA" w:rsidRDefault="008B650F" w:rsidP="00AC04CA">
      <w:pPr>
        <w:spacing w:after="0" w:line="240" w:lineRule="auto"/>
        <w:ind w:left="567"/>
        <w:jc w:val="both"/>
        <w:rPr>
          <w:rFonts w:ascii="Arial" w:hAnsi="Arial" w:cs="Arial"/>
          <w:lang w:val="en"/>
        </w:rPr>
      </w:pPr>
    </w:p>
    <w:p w14:paraId="17E5696D" w14:textId="77777777" w:rsidR="009A2D37" w:rsidRPr="00480FBB" w:rsidRDefault="009A2D37" w:rsidP="00B55A4E">
      <w:pPr>
        <w:numPr>
          <w:ilvl w:val="0"/>
          <w:numId w:val="1"/>
        </w:numPr>
        <w:spacing w:after="120" w:line="240" w:lineRule="auto"/>
        <w:ind w:left="567" w:right="260" w:hanging="567"/>
        <w:rPr>
          <w:rFonts w:ascii="Arial" w:hAnsi="Arial" w:cs="Arial"/>
          <w:i/>
          <w:iCs/>
          <w:color w:val="000000" w:themeColor="text1"/>
        </w:rPr>
      </w:pPr>
      <w:r w:rsidRPr="00480FBB">
        <w:rPr>
          <w:rFonts w:ascii="Arial" w:hAnsi="Arial" w:cs="Arial"/>
          <w:b/>
          <w:color w:val="000000" w:themeColor="text1"/>
        </w:rPr>
        <w:t>Learning</w:t>
      </w:r>
      <w:r w:rsidR="006F3F8B" w:rsidRPr="00480FBB">
        <w:rPr>
          <w:rFonts w:ascii="Arial" w:hAnsi="Arial" w:cs="Arial"/>
          <w:b/>
          <w:color w:val="000000" w:themeColor="text1"/>
        </w:rPr>
        <w:t xml:space="preserve"> and Teaching m</w:t>
      </w:r>
      <w:r w:rsidRPr="00480FBB">
        <w:rPr>
          <w:rFonts w:ascii="Arial" w:hAnsi="Arial" w:cs="Arial"/>
          <w:b/>
          <w:color w:val="000000" w:themeColor="text1"/>
        </w:rPr>
        <w:t>ethods</w:t>
      </w:r>
    </w:p>
    <w:p w14:paraId="603BADCE"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contact hours: 0</w:t>
      </w:r>
    </w:p>
    <w:p w14:paraId="072202A6" w14:textId="77777777" w:rsid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Private study hours: 150</w:t>
      </w:r>
    </w:p>
    <w:p w14:paraId="27582DE2" w14:textId="531FD457" w:rsidR="00D332E2" w:rsidRPr="00EC52C2" w:rsidRDefault="00BE2852" w:rsidP="00EC52C2">
      <w:pPr>
        <w:keepNext/>
        <w:keepLines/>
        <w:spacing w:after="120" w:line="240" w:lineRule="auto"/>
        <w:ind w:left="567"/>
        <w:jc w:val="both"/>
        <w:rPr>
          <w:rFonts w:ascii="Arial" w:hAnsi="Arial" w:cs="Arial"/>
          <w:color w:val="000000" w:themeColor="text1"/>
        </w:rPr>
      </w:pPr>
      <w:r w:rsidRPr="00EC52C2">
        <w:rPr>
          <w:rFonts w:ascii="Arial" w:hAnsi="Arial" w:cs="Arial"/>
          <w:color w:val="000000" w:themeColor="text1"/>
        </w:rPr>
        <w:t>Total study hours: 150</w:t>
      </w:r>
    </w:p>
    <w:p w14:paraId="5ED27560" w14:textId="1CF064A0" w:rsidR="005D4D0A" w:rsidRPr="005D4D0A" w:rsidRDefault="00780DD7" w:rsidP="005D4D0A">
      <w:pPr>
        <w:numPr>
          <w:ilvl w:val="0"/>
          <w:numId w:val="1"/>
        </w:numPr>
        <w:spacing w:after="120" w:line="240" w:lineRule="auto"/>
        <w:ind w:left="426" w:right="260" w:hanging="426"/>
        <w:rPr>
          <w:rStyle w:val="Strong"/>
          <w:rFonts w:ascii="Arial" w:hAnsi="Arial" w:cs="Arial"/>
          <w:b w:val="0"/>
          <w:i/>
          <w:iCs/>
          <w:color w:val="000000" w:themeColor="text1"/>
        </w:rPr>
      </w:pPr>
      <w:r w:rsidRPr="00480FBB">
        <w:rPr>
          <w:rFonts w:ascii="Arial" w:hAnsi="Arial" w:cs="Arial"/>
          <w:b/>
          <w:color w:val="000000" w:themeColor="text1"/>
        </w:rPr>
        <w:t>Assessment methods</w:t>
      </w:r>
    </w:p>
    <w:p w14:paraId="4F06FED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13.1</w:t>
      </w:r>
      <w:r>
        <w:rPr>
          <w:rStyle w:val="Strong"/>
          <w:rFonts w:ascii="Arial" w:hAnsi="Arial" w:cs="Arial"/>
          <w:b w:val="0"/>
          <w:color w:val="000000"/>
        </w:rPr>
        <w:tab/>
      </w:r>
      <w:r w:rsidRPr="007E2089">
        <w:rPr>
          <w:rStyle w:val="Strong"/>
          <w:rFonts w:ascii="Arial" w:hAnsi="Arial" w:cs="Arial"/>
          <w:b w:val="0"/>
          <w:color w:val="000000"/>
        </w:rPr>
        <w:t>Main assessment methods</w:t>
      </w:r>
    </w:p>
    <w:p w14:paraId="64D4DD44" w14:textId="10EE7E62" w:rsidR="005D4D0A" w:rsidRPr="00B55A4E" w:rsidRDefault="005D4D0A" w:rsidP="005D4D0A">
      <w:pPr>
        <w:pStyle w:val="ListParagraph"/>
        <w:numPr>
          <w:ilvl w:val="0"/>
          <w:numId w:val="40"/>
        </w:numPr>
        <w:spacing w:line="240" w:lineRule="auto"/>
        <w:ind w:right="260"/>
        <w:rPr>
          <w:rStyle w:val="Strong"/>
          <w:rFonts w:ascii="Arial" w:hAnsi="Arial" w:cs="Arial"/>
          <w:b w:val="0"/>
          <w:color w:val="000000"/>
        </w:rPr>
      </w:pPr>
      <w:r w:rsidRPr="00B55A4E">
        <w:rPr>
          <w:rStyle w:val="Strong"/>
          <w:rFonts w:ascii="Arial" w:hAnsi="Arial" w:cs="Arial"/>
          <w:b w:val="0"/>
          <w:color w:val="000000"/>
        </w:rPr>
        <w:t xml:space="preserve">Reflective report </w:t>
      </w:r>
      <w:r w:rsidR="008B650F">
        <w:rPr>
          <w:rStyle w:val="Strong"/>
          <w:rFonts w:ascii="Arial" w:hAnsi="Arial" w:cs="Arial"/>
          <w:b w:val="0"/>
          <w:color w:val="000000"/>
        </w:rPr>
        <w:t xml:space="preserve">(3000 words) </w:t>
      </w:r>
      <w:r w:rsidRPr="00B55A4E">
        <w:rPr>
          <w:rStyle w:val="Strong"/>
          <w:rFonts w:ascii="Arial" w:hAnsi="Arial" w:cs="Arial"/>
          <w:b w:val="0"/>
          <w:color w:val="000000"/>
        </w:rPr>
        <w:t>(100%)</w:t>
      </w:r>
    </w:p>
    <w:p w14:paraId="2B372192" w14:textId="77777777" w:rsidR="005D4D0A" w:rsidRPr="007E2089" w:rsidRDefault="005D4D0A" w:rsidP="005D4D0A">
      <w:pPr>
        <w:spacing w:after="120" w:line="240" w:lineRule="auto"/>
        <w:ind w:left="567" w:right="260" w:hanging="567"/>
        <w:rPr>
          <w:rStyle w:val="Strong"/>
          <w:rFonts w:ascii="Arial" w:hAnsi="Arial" w:cs="Arial"/>
          <w:b w:val="0"/>
          <w:color w:val="000000"/>
        </w:rPr>
      </w:pPr>
      <w:r>
        <w:rPr>
          <w:rStyle w:val="Strong"/>
          <w:rFonts w:ascii="Arial" w:hAnsi="Arial" w:cs="Arial"/>
          <w:b w:val="0"/>
          <w:color w:val="000000"/>
        </w:rPr>
        <w:t>13.2</w:t>
      </w:r>
      <w:r>
        <w:rPr>
          <w:rStyle w:val="Strong"/>
          <w:rFonts w:ascii="Arial" w:hAnsi="Arial" w:cs="Arial"/>
          <w:b w:val="0"/>
          <w:color w:val="000000"/>
        </w:rPr>
        <w:tab/>
      </w:r>
      <w:r w:rsidRPr="00383BEC">
        <w:rPr>
          <w:rStyle w:val="Strong"/>
          <w:rFonts w:ascii="Arial" w:hAnsi="Arial" w:cs="Arial"/>
          <w:b w:val="0"/>
          <w:color w:val="000000"/>
        </w:rPr>
        <w:t>Reassessment methods</w:t>
      </w:r>
    </w:p>
    <w:p w14:paraId="606B9BB9" w14:textId="77777777" w:rsidR="005D4D0A" w:rsidRDefault="005D4D0A" w:rsidP="005D4D0A">
      <w:pPr>
        <w:pStyle w:val="ListParagraph"/>
        <w:numPr>
          <w:ilvl w:val="0"/>
          <w:numId w:val="42"/>
        </w:numPr>
        <w:spacing w:line="240" w:lineRule="auto"/>
        <w:rPr>
          <w:rStyle w:val="Strong"/>
          <w:rFonts w:ascii="Arial" w:hAnsi="Arial" w:cs="Arial"/>
          <w:b w:val="0"/>
          <w:color w:val="000000"/>
        </w:rPr>
      </w:pPr>
      <w:r w:rsidRPr="00383BEC">
        <w:rPr>
          <w:rStyle w:val="Strong"/>
          <w:rFonts w:ascii="Arial" w:hAnsi="Arial" w:cs="Arial"/>
          <w:b w:val="0"/>
          <w:color w:val="000000"/>
        </w:rPr>
        <w:t>Like-for-like</w:t>
      </w:r>
    </w:p>
    <w:p w14:paraId="4F6E6350" w14:textId="7AA66659" w:rsidR="006A2011" w:rsidRPr="005D4D0A" w:rsidRDefault="006F3F8B" w:rsidP="005D4D0A">
      <w:pPr>
        <w:numPr>
          <w:ilvl w:val="0"/>
          <w:numId w:val="1"/>
        </w:numPr>
        <w:spacing w:after="120" w:line="240" w:lineRule="auto"/>
        <w:ind w:left="426" w:right="260" w:hanging="426"/>
        <w:rPr>
          <w:rFonts w:ascii="Arial" w:hAnsi="Arial" w:cs="Arial"/>
          <w:b/>
          <w:iCs/>
          <w:color w:val="000000" w:themeColor="text1"/>
        </w:rPr>
      </w:pPr>
      <w:r w:rsidRPr="004D16E9">
        <w:rPr>
          <w:rFonts w:ascii="Arial" w:hAnsi="Arial" w:cs="Arial"/>
          <w:b/>
          <w:iCs/>
          <w:color w:val="000000" w:themeColor="text1"/>
        </w:rPr>
        <w:t>Map of Module Learning Outcomes</w:t>
      </w:r>
      <w:r w:rsidR="00B30E07" w:rsidRPr="004D16E9">
        <w:rPr>
          <w:rFonts w:ascii="Arial" w:hAnsi="Arial" w:cs="Arial"/>
          <w:b/>
          <w:iCs/>
          <w:color w:val="000000" w:themeColor="text1"/>
        </w:rPr>
        <w:t xml:space="preserve"> (sections 8 &amp; 9)</w:t>
      </w:r>
      <w:r w:rsidRPr="004D16E9">
        <w:rPr>
          <w:rFonts w:ascii="Arial" w:hAnsi="Arial" w:cs="Arial"/>
          <w:b/>
          <w:iCs/>
          <w:color w:val="000000" w:themeColor="text1"/>
        </w:rPr>
        <w:t xml:space="preserve"> to Learning</w:t>
      </w:r>
      <w:r w:rsidR="00B30E07" w:rsidRPr="004D16E9">
        <w:rPr>
          <w:rFonts w:ascii="Arial" w:hAnsi="Arial" w:cs="Arial"/>
          <w:b/>
          <w:iCs/>
          <w:color w:val="000000" w:themeColor="text1"/>
        </w:rPr>
        <w:t xml:space="preserve"> and Teaching Methods (section12</w:t>
      </w:r>
      <w:r w:rsidRPr="004D16E9">
        <w:rPr>
          <w:rFonts w:ascii="Arial" w:hAnsi="Arial" w:cs="Arial"/>
          <w:b/>
          <w:iCs/>
          <w:color w:val="000000" w:themeColor="text1"/>
        </w:rPr>
        <w:t>) and m</w:t>
      </w:r>
      <w:r w:rsidR="00B30E07" w:rsidRPr="004D16E9">
        <w:rPr>
          <w:rFonts w:ascii="Arial" w:hAnsi="Arial" w:cs="Arial"/>
          <w:b/>
          <w:iCs/>
          <w:color w:val="000000" w:themeColor="text1"/>
        </w:rPr>
        <w:t>ethods of Assessment (section 13</w:t>
      </w:r>
      <w:r w:rsidR="00EF4933" w:rsidRPr="004D16E9">
        <w:rPr>
          <w:rFonts w:ascii="Arial" w:hAnsi="Arial" w:cs="Arial"/>
          <w:b/>
          <w:iCs/>
          <w:color w:val="000000" w:themeColor="text1"/>
        </w:rPr>
        <w:t>)</w:t>
      </w:r>
    </w:p>
    <w:tbl>
      <w:tblPr>
        <w:tblStyle w:val="TableGrid"/>
        <w:tblW w:w="5000" w:type="pct"/>
        <w:tblLook w:val="04A0" w:firstRow="1" w:lastRow="0" w:firstColumn="1" w:lastColumn="0" w:noHBand="0" w:noVBand="1"/>
      </w:tblPr>
      <w:tblGrid>
        <w:gridCol w:w="2080"/>
        <w:gridCol w:w="1196"/>
        <w:gridCol w:w="1196"/>
        <w:gridCol w:w="1198"/>
        <w:gridCol w:w="1196"/>
        <w:gridCol w:w="1198"/>
        <w:gridCol w:w="1196"/>
        <w:gridCol w:w="1196"/>
      </w:tblGrid>
      <w:tr w:rsidR="007D3381" w:rsidRPr="00302082" w14:paraId="0FCADD73" w14:textId="77777777" w:rsidTr="007D3381">
        <w:tc>
          <w:tcPr>
            <w:tcW w:w="994" w:type="pct"/>
            <w:shd w:val="clear" w:color="auto" w:fill="D9D9D9" w:themeFill="background1" w:themeFillShade="D9"/>
          </w:tcPr>
          <w:p w14:paraId="0379D458" w14:textId="77777777" w:rsidR="007D3381" w:rsidRPr="00302082" w:rsidRDefault="007D3381" w:rsidP="005F79C2">
            <w:pPr>
              <w:spacing w:after="120"/>
              <w:ind w:left="33"/>
              <w:rPr>
                <w:rFonts w:ascii="Arial" w:hAnsi="Arial" w:cs="Arial"/>
                <w:b/>
              </w:rPr>
            </w:pPr>
            <w:r w:rsidRPr="00302082">
              <w:rPr>
                <w:rFonts w:ascii="Arial" w:hAnsi="Arial" w:cs="Arial"/>
                <w:b/>
              </w:rPr>
              <w:t>Module learning outcome</w:t>
            </w:r>
          </w:p>
        </w:tc>
        <w:tc>
          <w:tcPr>
            <w:tcW w:w="572" w:type="pct"/>
          </w:tcPr>
          <w:p w14:paraId="21B3A57D" w14:textId="77777777" w:rsidR="007D3381" w:rsidRPr="00302082" w:rsidRDefault="007D3381" w:rsidP="005F79C2">
            <w:pPr>
              <w:spacing w:after="120"/>
              <w:jc w:val="center"/>
              <w:rPr>
                <w:rFonts w:ascii="Arial" w:hAnsi="Arial" w:cs="Arial"/>
                <w:i/>
              </w:rPr>
            </w:pPr>
            <w:r w:rsidRPr="00302082">
              <w:rPr>
                <w:rFonts w:ascii="Arial" w:hAnsi="Arial" w:cs="Arial"/>
                <w:i/>
              </w:rPr>
              <w:t>8.1</w:t>
            </w:r>
          </w:p>
        </w:tc>
        <w:tc>
          <w:tcPr>
            <w:tcW w:w="572" w:type="pct"/>
          </w:tcPr>
          <w:p w14:paraId="03E063C9" w14:textId="77777777" w:rsidR="007D3381" w:rsidRPr="00302082" w:rsidRDefault="007D3381" w:rsidP="005F79C2">
            <w:pPr>
              <w:spacing w:after="120"/>
              <w:jc w:val="center"/>
              <w:rPr>
                <w:rFonts w:ascii="Arial" w:hAnsi="Arial" w:cs="Arial"/>
                <w:i/>
              </w:rPr>
            </w:pPr>
            <w:r w:rsidRPr="00302082">
              <w:rPr>
                <w:rFonts w:ascii="Arial" w:hAnsi="Arial" w:cs="Arial"/>
                <w:i/>
              </w:rPr>
              <w:t>8.2</w:t>
            </w:r>
          </w:p>
        </w:tc>
        <w:tc>
          <w:tcPr>
            <w:tcW w:w="573" w:type="pct"/>
          </w:tcPr>
          <w:p w14:paraId="5260D269" w14:textId="77777777" w:rsidR="007D3381" w:rsidRPr="00302082" w:rsidRDefault="007D3381" w:rsidP="005F79C2">
            <w:pPr>
              <w:spacing w:after="120"/>
              <w:jc w:val="center"/>
              <w:rPr>
                <w:rFonts w:ascii="Arial" w:hAnsi="Arial" w:cs="Arial"/>
                <w:i/>
              </w:rPr>
            </w:pPr>
            <w:r w:rsidRPr="00302082">
              <w:rPr>
                <w:rFonts w:ascii="Arial" w:hAnsi="Arial" w:cs="Arial"/>
                <w:i/>
              </w:rPr>
              <w:t>8.3</w:t>
            </w:r>
          </w:p>
        </w:tc>
        <w:tc>
          <w:tcPr>
            <w:tcW w:w="572" w:type="pct"/>
          </w:tcPr>
          <w:p w14:paraId="6774EF6B" w14:textId="77777777" w:rsidR="007D3381" w:rsidRPr="00302082" w:rsidRDefault="007D3381" w:rsidP="005F79C2">
            <w:pPr>
              <w:spacing w:after="120"/>
              <w:jc w:val="center"/>
              <w:rPr>
                <w:rFonts w:ascii="Arial" w:hAnsi="Arial" w:cs="Arial"/>
                <w:i/>
              </w:rPr>
            </w:pPr>
            <w:r w:rsidRPr="00302082">
              <w:rPr>
                <w:rFonts w:ascii="Arial" w:hAnsi="Arial" w:cs="Arial"/>
                <w:i/>
              </w:rPr>
              <w:t>9.1</w:t>
            </w:r>
          </w:p>
        </w:tc>
        <w:tc>
          <w:tcPr>
            <w:tcW w:w="573" w:type="pct"/>
          </w:tcPr>
          <w:p w14:paraId="0C11BD95" w14:textId="77777777" w:rsidR="007D3381" w:rsidRPr="00302082" w:rsidRDefault="007D3381" w:rsidP="005F79C2">
            <w:pPr>
              <w:spacing w:after="120"/>
              <w:jc w:val="center"/>
              <w:rPr>
                <w:rFonts w:ascii="Arial" w:hAnsi="Arial" w:cs="Arial"/>
                <w:i/>
              </w:rPr>
            </w:pPr>
            <w:r w:rsidRPr="00302082">
              <w:rPr>
                <w:rFonts w:ascii="Arial" w:hAnsi="Arial" w:cs="Arial"/>
                <w:i/>
              </w:rPr>
              <w:t>9.2</w:t>
            </w:r>
          </w:p>
        </w:tc>
        <w:tc>
          <w:tcPr>
            <w:tcW w:w="572" w:type="pct"/>
          </w:tcPr>
          <w:p w14:paraId="1FA2AB36" w14:textId="77777777" w:rsidR="007D3381" w:rsidRPr="00302082" w:rsidRDefault="007D3381" w:rsidP="005F79C2">
            <w:pPr>
              <w:spacing w:after="120"/>
              <w:jc w:val="center"/>
              <w:rPr>
                <w:rFonts w:ascii="Arial" w:hAnsi="Arial" w:cs="Arial"/>
                <w:i/>
              </w:rPr>
            </w:pPr>
            <w:r w:rsidRPr="00302082">
              <w:rPr>
                <w:rFonts w:ascii="Arial" w:hAnsi="Arial" w:cs="Arial"/>
                <w:i/>
              </w:rPr>
              <w:t>9.3</w:t>
            </w:r>
          </w:p>
        </w:tc>
        <w:tc>
          <w:tcPr>
            <w:tcW w:w="573" w:type="pct"/>
          </w:tcPr>
          <w:p w14:paraId="3E8F054B" w14:textId="77777777" w:rsidR="007D3381" w:rsidRPr="00302082" w:rsidRDefault="007D3381" w:rsidP="005F79C2">
            <w:pPr>
              <w:spacing w:after="120"/>
              <w:jc w:val="center"/>
              <w:rPr>
                <w:rFonts w:ascii="Arial" w:hAnsi="Arial" w:cs="Arial"/>
                <w:i/>
              </w:rPr>
            </w:pPr>
            <w:r>
              <w:rPr>
                <w:rFonts w:ascii="Arial" w:hAnsi="Arial" w:cs="Arial"/>
                <w:i/>
              </w:rPr>
              <w:t>9.4</w:t>
            </w:r>
          </w:p>
        </w:tc>
      </w:tr>
      <w:tr w:rsidR="007D3381" w:rsidRPr="00302082" w14:paraId="7FE26C10" w14:textId="77777777" w:rsidTr="007D3381">
        <w:tc>
          <w:tcPr>
            <w:tcW w:w="994" w:type="pct"/>
            <w:shd w:val="clear" w:color="auto" w:fill="D9D9D9" w:themeFill="background1" w:themeFillShade="D9"/>
          </w:tcPr>
          <w:p w14:paraId="749E3807" w14:textId="77777777" w:rsidR="007D3381" w:rsidRPr="00302082" w:rsidRDefault="007D3381" w:rsidP="005F79C2">
            <w:pPr>
              <w:spacing w:after="120"/>
              <w:rPr>
                <w:rFonts w:ascii="Arial" w:hAnsi="Arial" w:cs="Arial"/>
                <w:b/>
              </w:rPr>
            </w:pPr>
            <w:r w:rsidRPr="00302082">
              <w:rPr>
                <w:rFonts w:ascii="Arial" w:hAnsi="Arial" w:cs="Arial"/>
                <w:b/>
              </w:rPr>
              <w:t>Learning/ teaching method</w:t>
            </w:r>
          </w:p>
        </w:tc>
        <w:tc>
          <w:tcPr>
            <w:tcW w:w="572" w:type="pct"/>
          </w:tcPr>
          <w:p w14:paraId="28427750" w14:textId="77777777" w:rsidR="007D3381" w:rsidRPr="00302082" w:rsidRDefault="007D3381" w:rsidP="005F79C2">
            <w:pPr>
              <w:spacing w:after="120"/>
              <w:jc w:val="center"/>
              <w:rPr>
                <w:rFonts w:ascii="Arial" w:hAnsi="Arial" w:cs="Arial"/>
                <w:b/>
              </w:rPr>
            </w:pPr>
          </w:p>
        </w:tc>
        <w:tc>
          <w:tcPr>
            <w:tcW w:w="572" w:type="pct"/>
          </w:tcPr>
          <w:p w14:paraId="18E80C36" w14:textId="77777777" w:rsidR="007D3381" w:rsidRPr="00302082" w:rsidRDefault="007D3381" w:rsidP="005F79C2">
            <w:pPr>
              <w:spacing w:after="120"/>
              <w:jc w:val="center"/>
              <w:rPr>
                <w:rFonts w:ascii="Arial" w:hAnsi="Arial" w:cs="Arial"/>
                <w:b/>
              </w:rPr>
            </w:pPr>
          </w:p>
        </w:tc>
        <w:tc>
          <w:tcPr>
            <w:tcW w:w="573" w:type="pct"/>
          </w:tcPr>
          <w:p w14:paraId="1929266C" w14:textId="77777777" w:rsidR="007D3381" w:rsidRPr="00302082" w:rsidRDefault="007D3381" w:rsidP="005F79C2">
            <w:pPr>
              <w:spacing w:after="120"/>
              <w:jc w:val="center"/>
              <w:rPr>
                <w:rFonts w:ascii="Arial" w:hAnsi="Arial" w:cs="Arial"/>
                <w:b/>
              </w:rPr>
            </w:pPr>
          </w:p>
        </w:tc>
        <w:tc>
          <w:tcPr>
            <w:tcW w:w="572" w:type="pct"/>
          </w:tcPr>
          <w:p w14:paraId="5AB3B68E" w14:textId="77777777" w:rsidR="007D3381" w:rsidRPr="00302082" w:rsidRDefault="007D3381" w:rsidP="005F79C2">
            <w:pPr>
              <w:spacing w:after="120"/>
              <w:jc w:val="center"/>
              <w:rPr>
                <w:rFonts w:ascii="Arial" w:hAnsi="Arial" w:cs="Arial"/>
                <w:b/>
              </w:rPr>
            </w:pPr>
          </w:p>
        </w:tc>
        <w:tc>
          <w:tcPr>
            <w:tcW w:w="573" w:type="pct"/>
          </w:tcPr>
          <w:p w14:paraId="3B6F3DB4" w14:textId="77777777" w:rsidR="007D3381" w:rsidRPr="00302082" w:rsidRDefault="007D3381" w:rsidP="005F79C2">
            <w:pPr>
              <w:spacing w:after="120"/>
              <w:jc w:val="center"/>
              <w:rPr>
                <w:rFonts w:ascii="Arial" w:hAnsi="Arial" w:cs="Arial"/>
                <w:b/>
              </w:rPr>
            </w:pPr>
          </w:p>
        </w:tc>
        <w:tc>
          <w:tcPr>
            <w:tcW w:w="572" w:type="pct"/>
          </w:tcPr>
          <w:p w14:paraId="359EED3F" w14:textId="77777777" w:rsidR="007D3381" w:rsidRPr="00302082" w:rsidRDefault="007D3381" w:rsidP="005F79C2">
            <w:pPr>
              <w:spacing w:after="120"/>
              <w:jc w:val="center"/>
              <w:rPr>
                <w:rFonts w:ascii="Arial" w:hAnsi="Arial" w:cs="Arial"/>
                <w:b/>
              </w:rPr>
            </w:pPr>
          </w:p>
        </w:tc>
        <w:tc>
          <w:tcPr>
            <w:tcW w:w="573" w:type="pct"/>
          </w:tcPr>
          <w:p w14:paraId="2D004EF9" w14:textId="77777777" w:rsidR="007D3381" w:rsidRPr="00302082" w:rsidRDefault="007D3381" w:rsidP="005F79C2">
            <w:pPr>
              <w:spacing w:after="120"/>
              <w:jc w:val="center"/>
              <w:rPr>
                <w:rFonts w:ascii="Arial" w:hAnsi="Arial" w:cs="Arial"/>
                <w:b/>
              </w:rPr>
            </w:pPr>
          </w:p>
        </w:tc>
      </w:tr>
      <w:tr w:rsidR="007D3381" w:rsidRPr="00302082" w14:paraId="794A2E59" w14:textId="77777777" w:rsidTr="007D3381">
        <w:tc>
          <w:tcPr>
            <w:tcW w:w="994" w:type="pct"/>
          </w:tcPr>
          <w:p w14:paraId="2C589833" w14:textId="77777777" w:rsidR="007D3381" w:rsidRPr="00302082" w:rsidRDefault="007D3381" w:rsidP="005F79C2">
            <w:pPr>
              <w:spacing w:after="120"/>
              <w:rPr>
                <w:rFonts w:ascii="Arial" w:hAnsi="Arial" w:cs="Arial"/>
                <w:i/>
              </w:rPr>
            </w:pPr>
            <w:r w:rsidRPr="006A2011">
              <w:rPr>
                <w:rFonts w:ascii="Arial" w:eastAsia="Times New Roman" w:hAnsi="Arial" w:cs="Arial"/>
                <w:color w:val="000000"/>
                <w:lang w:eastAsia="zh-CN"/>
              </w:rPr>
              <w:t>Industrial</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placement and</w:t>
            </w:r>
            <w:r>
              <w:rPr>
                <w:rFonts w:ascii="Arial" w:eastAsia="Times New Roman" w:hAnsi="Arial" w:cs="Arial"/>
                <w:color w:val="000000"/>
                <w:lang w:eastAsia="zh-CN"/>
              </w:rPr>
              <w:t xml:space="preserve"> </w:t>
            </w:r>
            <w:r w:rsidRPr="006A2011">
              <w:rPr>
                <w:rFonts w:ascii="Arial" w:eastAsia="Times New Roman" w:hAnsi="Arial" w:cs="Arial"/>
                <w:color w:val="000000"/>
                <w:lang w:eastAsia="zh-CN"/>
              </w:rPr>
              <w:t>private study</w:t>
            </w:r>
          </w:p>
        </w:tc>
        <w:tc>
          <w:tcPr>
            <w:tcW w:w="572" w:type="pct"/>
            <w:vAlign w:val="center"/>
          </w:tcPr>
          <w:p w14:paraId="1DFC8657"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7BBA7B1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3C11FAA0"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8C8A5F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6493C667"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142F36CF"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256716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r w:rsidR="007D3381" w:rsidRPr="00302082" w14:paraId="7877C55B" w14:textId="77777777" w:rsidTr="007D3381">
        <w:tc>
          <w:tcPr>
            <w:tcW w:w="994" w:type="pct"/>
            <w:shd w:val="clear" w:color="auto" w:fill="D9D9D9" w:themeFill="background1" w:themeFillShade="D9"/>
          </w:tcPr>
          <w:p w14:paraId="2DE0FEC0" w14:textId="77777777" w:rsidR="007D3381" w:rsidRPr="00302082" w:rsidRDefault="007D3381" w:rsidP="005F79C2">
            <w:pPr>
              <w:spacing w:after="120"/>
              <w:rPr>
                <w:rFonts w:ascii="Arial" w:hAnsi="Arial" w:cs="Arial"/>
                <w:b/>
              </w:rPr>
            </w:pPr>
            <w:r w:rsidRPr="00302082">
              <w:rPr>
                <w:rFonts w:ascii="Arial" w:hAnsi="Arial" w:cs="Arial"/>
                <w:b/>
              </w:rPr>
              <w:t>Assessment method</w:t>
            </w:r>
          </w:p>
        </w:tc>
        <w:tc>
          <w:tcPr>
            <w:tcW w:w="572" w:type="pct"/>
          </w:tcPr>
          <w:p w14:paraId="46664D6E" w14:textId="77777777" w:rsidR="007D3381" w:rsidRPr="00302082" w:rsidRDefault="007D3381" w:rsidP="005F79C2">
            <w:pPr>
              <w:spacing w:after="120"/>
              <w:jc w:val="center"/>
              <w:rPr>
                <w:rFonts w:ascii="Arial" w:hAnsi="Arial" w:cs="Arial"/>
                <w:b/>
              </w:rPr>
            </w:pPr>
          </w:p>
        </w:tc>
        <w:tc>
          <w:tcPr>
            <w:tcW w:w="572" w:type="pct"/>
          </w:tcPr>
          <w:p w14:paraId="5DB546DB" w14:textId="77777777" w:rsidR="007D3381" w:rsidRPr="00302082" w:rsidRDefault="007D3381" w:rsidP="005F79C2">
            <w:pPr>
              <w:spacing w:after="120"/>
              <w:jc w:val="center"/>
              <w:rPr>
                <w:rFonts w:ascii="Arial" w:hAnsi="Arial" w:cs="Arial"/>
                <w:b/>
              </w:rPr>
            </w:pPr>
          </w:p>
        </w:tc>
        <w:tc>
          <w:tcPr>
            <w:tcW w:w="573" w:type="pct"/>
          </w:tcPr>
          <w:p w14:paraId="0E6C2DDB" w14:textId="77777777" w:rsidR="007D3381" w:rsidRPr="00302082" w:rsidRDefault="007D3381" w:rsidP="005F79C2">
            <w:pPr>
              <w:spacing w:after="120"/>
              <w:jc w:val="center"/>
              <w:rPr>
                <w:rFonts w:ascii="Arial" w:hAnsi="Arial" w:cs="Arial"/>
                <w:b/>
              </w:rPr>
            </w:pPr>
          </w:p>
        </w:tc>
        <w:tc>
          <w:tcPr>
            <w:tcW w:w="572" w:type="pct"/>
          </w:tcPr>
          <w:p w14:paraId="6727EC6B" w14:textId="77777777" w:rsidR="007D3381" w:rsidRPr="00302082" w:rsidRDefault="007D3381" w:rsidP="005F79C2">
            <w:pPr>
              <w:spacing w:after="120"/>
              <w:jc w:val="center"/>
              <w:rPr>
                <w:rFonts w:ascii="Arial" w:hAnsi="Arial" w:cs="Arial"/>
                <w:b/>
              </w:rPr>
            </w:pPr>
          </w:p>
        </w:tc>
        <w:tc>
          <w:tcPr>
            <w:tcW w:w="573" w:type="pct"/>
          </w:tcPr>
          <w:p w14:paraId="01A5B81D" w14:textId="77777777" w:rsidR="007D3381" w:rsidRPr="00302082" w:rsidRDefault="007D3381" w:rsidP="005F79C2">
            <w:pPr>
              <w:spacing w:after="120"/>
              <w:jc w:val="center"/>
              <w:rPr>
                <w:rFonts w:ascii="Arial" w:hAnsi="Arial" w:cs="Arial"/>
                <w:b/>
              </w:rPr>
            </w:pPr>
          </w:p>
        </w:tc>
        <w:tc>
          <w:tcPr>
            <w:tcW w:w="572" w:type="pct"/>
          </w:tcPr>
          <w:p w14:paraId="4D94F1F2" w14:textId="77777777" w:rsidR="007D3381" w:rsidRPr="00302082" w:rsidRDefault="007D3381" w:rsidP="005F79C2">
            <w:pPr>
              <w:spacing w:after="120"/>
              <w:jc w:val="center"/>
              <w:rPr>
                <w:rFonts w:ascii="Arial" w:hAnsi="Arial" w:cs="Arial"/>
                <w:b/>
              </w:rPr>
            </w:pPr>
          </w:p>
        </w:tc>
        <w:tc>
          <w:tcPr>
            <w:tcW w:w="573" w:type="pct"/>
          </w:tcPr>
          <w:p w14:paraId="6612C0B5" w14:textId="77777777" w:rsidR="007D3381" w:rsidRPr="00302082" w:rsidRDefault="007D3381" w:rsidP="005F79C2">
            <w:pPr>
              <w:spacing w:after="120"/>
              <w:jc w:val="center"/>
              <w:rPr>
                <w:rFonts w:ascii="Arial" w:hAnsi="Arial" w:cs="Arial"/>
                <w:b/>
              </w:rPr>
            </w:pPr>
          </w:p>
        </w:tc>
      </w:tr>
      <w:tr w:rsidR="007D3381" w:rsidRPr="00302082" w14:paraId="6B507E25" w14:textId="77777777" w:rsidTr="007D3381">
        <w:tc>
          <w:tcPr>
            <w:tcW w:w="994" w:type="pct"/>
            <w:vAlign w:val="center"/>
          </w:tcPr>
          <w:p w14:paraId="25DB1997" w14:textId="589FC29C" w:rsidR="007D3381" w:rsidRPr="00302082" w:rsidRDefault="007D3381" w:rsidP="005F79C2">
            <w:pPr>
              <w:spacing w:after="120"/>
              <w:rPr>
                <w:rFonts w:ascii="Arial" w:hAnsi="Arial" w:cs="Arial"/>
                <w:i/>
              </w:rPr>
            </w:pPr>
            <w:r>
              <w:rPr>
                <w:rFonts w:ascii="Arial" w:eastAsia="Times New Roman" w:hAnsi="Arial" w:cs="Arial"/>
                <w:color w:val="000000"/>
                <w:lang w:eastAsia="zh-CN"/>
              </w:rPr>
              <w:t>Reflective report</w:t>
            </w:r>
            <w:r w:rsidRPr="006A2011">
              <w:rPr>
                <w:rFonts w:ascii="Arial" w:eastAsia="Times New Roman" w:hAnsi="Arial" w:cs="Arial"/>
                <w:color w:val="000000"/>
                <w:lang w:eastAsia="zh-CN"/>
              </w:rPr>
              <w:t xml:space="preserve"> </w:t>
            </w:r>
          </w:p>
        </w:tc>
        <w:tc>
          <w:tcPr>
            <w:tcW w:w="572" w:type="pct"/>
            <w:vAlign w:val="center"/>
          </w:tcPr>
          <w:p w14:paraId="579AAB46" w14:textId="77777777" w:rsidR="007D3381" w:rsidRPr="00302082" w:rsidRDefault="007D3381" w:rsidP="005F79C2">
            <w:pPr>
              <w:spacing w:after="120"/>
              <w:jc w:val="center"/>
              <w:rPr>
                <w:rFonts w:ascii="Arial" w:hAnsi="Arial" w:cs="Arial"/>
                <w:b/>
              </w:rPr>
            </w:pPr>
            <w:r>
              <w:rPr>
                <w:rFonts w:ascii="Arial" w:eastAsia="Times New Roman" w:hAnsi="Arial" w:cs="Arial"/>
                <w:color w:val="000000"/>
                <w:lang w:eastAsia="zh-CN"/>
              </w:rPr>
              <w:sym w:font="Wingdings" w:char="F0FC"/>
            </w:r>
          </w:p>
        </w:tc>
        <w:tc>
          <w:tcPr>
            <w:tcW w:w="572" w:type="pct"/>
            <w:vAlign w:val="center"/>
          </w:tcPr>
          <w:p w14:paraId="63A97A9D"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77D1BF3C"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44A257B5"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230B9EC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2" w:type="pct"/>
            <w:vAlign w:val="center"/>
          </w:tcPr>
          <w:p w14:paraId="0FD74B4E"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c>
          <w:tcPr>
            <w:tcW w:w="573" w:type="pct"/>
            <w:vAlign w:val="center"/>
          </w:tcPr>
          <w:p w14:paraId="5170B159" w14:textId="77777777" w:rsidR="007D3381" w:rsidRPr="00302082" w:rsidRDefault="007D3381" w:rsidP="005F79C2">
            <w:pPr>
              <w:spacing w:after="120"/>
              <w:jc w:val="center"/>
              <w:rPr>
                <w:rFonts w:ascii="Arial" w:hAnsi="Arial" w:cs="Arial"/>
                <w:b/>
              </w:rPr>
            </w:pPr>
            <w:r w:rsidRPr="00E042A8">
              <w:rPr>
                <w:rFonts w:ascii="Arial" w:eastAsia="Times New Roman" w:hAnsi="Arial" w:cs="Arial"/>
                <w:color w:val="000000"/>
                <w:lang w:eastAsia="zh-CN"/>
              </w:rPr>
              <w:sym w:font="Wingdings" w:char="F0FC"/>
            </w:r>
          </w:p>
        </w:tc>
      </w:tr>
    </w:tbl>
    <w:p w14:paraId="4CA281B4" w14:textId="4AB2AF97" w:rsidR="00727780" w:rsidRPr="00480FBB" w:rsidRDefault="00727780" w:rsidP="00A6126E">
      <w:pPr>
        <w:spacing w:after="120" w:line="240" w:lineRule="auto"/>
        <w:ind w:left="426" w:right="260"/>
        <w:rPr>
          <w:rFonts w:ascii="Arial" w:hAnsi="Arial" w:cs="Arial"/>
          <w:b/>
          <w:iCs/>
          <w:color w:val="000000" w:themeColor="text1"/>
          <w:lang w:eastAsia="zh-CN"/>
        </w:rPr>
      </w:pPr>
    </w:p>
    <w:p w14:paraId="63E90E07" w14:textId="77777777" w:rsidR="00AC04CA" w:rsidRPr="00D50113" w:rsidRDefault="00AC04CA" w:rsidP="00AC04CA">
      <w:pPr>
        <w:numPr>
          <w:ilvl w:val="0"/>
          <w:numId w:val="4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ECC0A3D" w14:textId="77777777" w:rsidR="00AC04CA" w:rsidRPr="005141D0" w:rsidRDefault="00AC04CA" w:rsidP="00AC04CA">
      <w:pPr>
        <w:spacing w:after="120" w:line="240" w:lineRule="auto"/>
        <w:ind w:left="426" w:right="260"/>
        <w:jc w:val="both"/>
        <w:rPr>
          <w:rFonts w:ascii="Arial" w:hAnsi="Arial" w:cs="Arial"/>
          <w:iCs/>
        </w:rPr>
      </w:pPr>
      <w:proofErr w:type="gramStart"/>
      <w:r w:rsidRPr="005141D0">
        <w:rPr>
          <w:rFonts w:ascii="Arial" w:hAnsi="Arial" w:cs="Arial"/>
          <w:iCs/>
        </w:rPr>
        <w:t>The School</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w:t>
      </w:r>
      <w:proofErr w:type="gramEnd"/>
      <w:r w:rsidRPr="005141D0">
        <w:rPr>
          <w:rFonts w:ascii="Arial" w:hAnsi="Arial" w:cs="Arial"/>
          <w:iCs/>
        </w:rPr>
        <w:t xml:space="preserve"> Additional alternative arrangements for students with Inclusive Learning Plans (ILPs)/declared disabilities will be made on an individual basis, in consultation with the relevant policies and support services.</w:t>
      </w:r>
    </w:p>
    <w:p w14:paraId="74B1D558"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The inclusive practices in the guidance (see Annex B Appendix A) have been considered in order to support all students in the following areas:</w:t>
      </w:r>
    </w:p>
    <w:p w14:paraId="655295AA" w14:textId="77777777" w:rsidR="00AC04CA" w:rsidRPr="005141D0" w:rsidRDefault="00AC04CA" w:rsidP="00AC04CA">
      <w:pPr>
        <w:spacing w:after="120" w:line="240" w:lineRule="auto"/>
        <w:ind w:left="426" w:right="260"/>
        <w:rPr>
          <w:rFonts w:ascii="Arial" w:hAnsi="Arial" w:cs="Arial"/>
          <w:iCs/>
        </w:rPr>
      </w:pPr>
      <w:r w:rsidRPr="005141D0">
        <w:rPr>
          <w:rFonts w:ascii="Arial" w:hAnsi="Arial" w:cs="Arial"/>
          <w:iCs/>
        </w:rPr>
        <w:t>a) Accessible resources and curriculum</w:t>
      </w:r>
    </w:p>
    <w:p w14:paraId="2C448EF9" w14:textId="77777777" w:rsidR="00AC04CA" w:rsidRPr="0036174D" w:rsidRDefault="00AC04CA" w:rsidP="00AC04CA">
      <w:pPr>
        <w:spacing w:after="120" w:line="240" w:lineRule="auto"/>
        <w:ind w:left="426" w:right="260"/>
        <w:rPr>
          <w:rFonts w:ascii="Arial" w:hAnsi="Arial" w:cs="Arial"/>
          <w:iCs/>
        </w:rPr>
      </w:pPr>
      <w:r w:rsidRPr="005141D0">
        <w:rPr>
          <w:rFonts w:ascii="Arial" w:hAnsi="Arial" w:cs="Arial"/>
          <w:iCs/>
        </w:rPr>
        <w:t>b) Learning, teaching and assessment methods</w:t>
      </w:r>
    </w:p>
    <w:p w14:paraId="3CE91739" w14:textId="77777777" w:rsidR="009A2D37" w:rsidRPr="00480FBB" w:rsidRDefault="009A2D37" w:rsidP="00AC04CA">
      <w:pPr>
        <w:numPr>
          <w:ilvl w:val="0"/>
          <w:numId w:val="45"/>
        </w:numPr>
        <w:spacing w:after="120" w:line="240" w:lineRule="auto"/>
        <w:ind w:right="260"/>
        <w:jc w:val="both"/>
        <w:rPr>
          <w:rFonts w:ascii="Arial" w:hAnsi="Arial" w:cs="Arial"/>
          <w:b/>
          <w:color w:val="000000" w:themeColor="text1"/>
        </w:rPr>
      </w:pPr>
      <w:r w:rsidRPr="00480FBB">
        <w:rPr>
          <w:rFonts w:ascii="Arial" w:hAnsi="Arial" w:cs="Arial"/>
          <w:b/>
          <w:color w:val="000000" w:themeColor="text1"/>
        </w:rPr>
        <w:t>Campus(</w:t>
      </w:r>
      <w:proofErr w:type="spellStart"/>
      <w:r w:rsidRPr="00480FBB">
        <w:rPr>
          <w:rFonts w:ascii="Arial" w:hAnsi="Arial" w:cs="Arial"/>
          <w:b/>
          <w:color w:val="000000" w:themeColor="text1"/>
        </w:rPr>
        <w:t>es</w:t>
      </w:r>
      <w:proofErr w:type="spellEnd"/>
      <w:r w:rsidRPr="00480FBB">
        <w:rPr>
          <w:rFonts w:ascii="Arial" w:hAnsi="Arial" w:cs="Arial"/>
          <w:b/>
          <w:color w:val="000000" w:themeColor="text1"/>
        </w:rPr>
        <w:t>) or Centre(s) where module will be delivered:</w:t>
      </w:r>
    </w:p>
    <w:p w14:paraId="552CCA7C" w14:textId="66D541A5" w:rsidR="009A2D37" w:rsidRDefault="00780DD7" w:rsidP="00302082">
      <w:pPr>
        <w:spacing w:after="120" w:line="240" w:lineRule="auto"/>
        <w:ind w:left="426" w:right="260"/>
        <w:rPr>
          <w:rFonts w:ascii="Arial" w:hAnsi="Arial" w:cs="Arial"/>
          <w:iCs/>
          <w:color w:val="000000" w:themeColor="text1"/>
        </w:rPr>
      </w:pPr>
      <w:r w:rsidRPr="00480FBB">
        <w:rPr>
          <w:rFonts w:ascii="Arial" w:hAnsi="Arial" w:cs="Arial"/>
          <w:iCs/>
          <w:color w:val="000000" w:themeColor="text1"/>
        </w:rPr>
        <w:t>Canterbury</w:t>
      </w:r>
      <w:r w:rsidR="009C66D3">
        <w:rPr>
          <w:rFonts w:ascii="Arial" w:hAnsi="Arial" w:cs="Arial"/>
          <w:iCs/>
          <w:color w:val="000000" w:themeColor="text1"/>
        </w:rPr>
        <w:t xml:space="preserve"> </w:t>
      </w:r>
      <w:r w:rsidR="009C66D3" w:rsidRPr="009C66D3">
        <w:rPr>
          <w:rFonts w:ascii="Arial" w:hAnsi="Arial" w:cs="Arial"/>
          <w:iCs/>
          <w:color w:val="000000" w:themeColor="text1"/>
        </w:rPr>
        <w:t>and placement location(s)</w:t>
      </w:r>
      <w:r w:rsidRPr="00480FBB">
        <w:rPr>
          <w:rFonts w:ascii="Arial" w:hAnsi="Arial" w:cs="Arial"/>
          <w:iCs/>
          <w:color w:val="000000" w:themeColor="text1"/>
        </w:rPr>
        <w:t>.</w:t>
      </w:r>
    </w:p>
    <w:p w14:paraId="37E9B8E5" w14:textId="77777777" w:rsidR="00AC04CA" w:rsidRPr="002A7F48" w:rsidRDefault="00AC04CA" w:rsidP="00AC04CA">
      <w:pPr>
        <w:numPr>
          <w:ilvl w:val="0"/>
          <w:numId w:val="46"/>
        </w:numPr>
        <w:spacing w:after="120" w:line="240" w:lineRule="auto"/>
        <w:ind w:right="261"/>
        <w:jc w:val="both"/>
        <w:rPr>
          <w:rFonts w:ascii="Arial" w:hAnsi="Arial" w:cs="Arial"/>
          <w:b/>
        </w:rPr>
      </w:pPr>
      <w:r w:rsidRPr="002A7F48">
        <w:rPr>
          <w:rFonts w:ascii="Arial" w:hAnsi="Arial" w:cs="Arial"/>
          <w:b/>
        </w:rPr>
        <w:t xml:space="preserve">Internationalisation </w:t>
      </w:r>
    </w:p>
    <w:p w14:paraId="1C67020F" w14:textId="77777777" w:rsidR="00AC04CA" w:rsidRDefault="00AC04CA" w:rsidP="00AC04CA">
      <w:pPr>
        <w:spacing w:after="120" w:line="240" w:lineRule="auto"/>
        <w:ind w:left="425" w:right="260"/>
        <w:jc w:val="both"/>
        <w:rPr>
          <w:rFonts w:ascii="Arial" w:hAnsi="Arial" w:cs="Arial"/>
          <w:iCs/>
        </w:rPr>
      </w:pPr>
      <w:r w:rsidRPr="0071654C">
        <w:rPr>
          <w:rFonts w:ascii="Arial" w:hAnsi="Arial" w:cs="Arial"/>
        </w:rPr>
        <w:t>Students</w:t>
      </w:r>
      <w:r>
        <w:rPr>
          <w:rFonts w:ascii="Arial" w:hAnsi="Arial" w:cs="Arial"/>
        </w:rPr>
        <w:t xml:space="preserve"> will be encouraged to review internship/consultancy projects and graduate career opportunities in international businesses as well as local opportunities. They will have insights into a range of careers in multi-national companies through guest lectures and business networking opportunities.</w:t>
      </w:r>
    </w:p>
    <w:p w14:paraId="1E444683" w14:textId="77777777" w:rsidR="00AC04CA" w:rsidRPr="00480FBB" w:rsidRDefault="00AC04CA" w:rsidP="00302082">
      <w:pPr>
        <w:spacing w:after="120" w:line="240" w:lineRule="auto"/>
        <w:ind w:left="426" w:right="260"/>
        <w:rPr>
          <w:rFonts w:ascii="Arial" w:hAnsi="Arial" w:cs="Arial"/>
          <w:iCs/>
          <w:color w:val="000000" w:themeColor="text1"/>
        </w:rPr>
      </w:pPr>
    </w:p>
    <w:p w14:paraId="3260DCA7" w14:textId="77777777" w:rsidR="00641D6D" w:rsidRPr="00480FBB" w:rsidRDefault="00641D6D" w:rsidP="00302082">
      <w:pPr>
        <w:pBdr>
          <w:bottom w:val="single" w:sz="6" w:space="1" w:color="auto"/>
        </w:pBdr>
        <w:spacing w:after="120" w:line="240" w:lineRule="auto"/>
        <w:ind w:right="260"/>
        <w:rPr>
          <w:rFonts w:ascii="Arial" w:hAnsi="Arial" w:cs="Arial"/>
          <w:color w:val="000000" w:themeColor="text1"/>
        </w:rPr>
      </w:pPr>
    </w:p>
    <w:p w14:paraId="48FDB1D5" w14:textId="77777777" w:rsidR="00441E76" w:rsidRPr="00480FBB" w:rsidRDefault="00422B69"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FACULTIES SUPPORT OFFICE</w:t>
      </w:r>
      <w:r w:rsidR="00441E76" w:rsidRPr="00480FBB">
        <w:rPr>
          <w:rFonts w:ascii="Arial" w:hAnsi="Arial" w:cs="Arial"/>
          <w:b/>
          <w:color w:val="000000" w:themeColor="text1"/>
          <w:sz w:val="20"/>
        </w:rPr>
        <w:t xml:space="preserve"> USE ONLY</w:t>
      </w:r>
      <w:r w:rsidR="00C612A8" w:rsidRPr="00480FBB">
        <w:rPr>
          <w:rFonts w:ascii="Arial" w:hAnsi="Arial" w:cs="Arial"/>
          <w:b/>
          <w:color w:val="000000" w:themeColor="text1"/>
          <w:sz w:val="20"/>
        </w:rPr>
        <w:t xml:space="preserve"> </w:t>
      </w:r>
    </w:p>
    <w:p w14:paraId="479C16F0" w14:textId="77777777" w:rsidR="00D83563" w:rsidRPr="00480FBB" w:rsidRDefault="00D83563" w:rsidP="00302082">
      <w:pPr>
        <w:spacing w:after="120" w:line="240" w:lineRule="auto"/>
        <w:ind w:right="260"/>
        <w:rPr>
          <w:rFonts w:ascii="Arial" w:hAnsi="Arial" w:cs="Arial"/>
          <w:b/>
          <w:color w:val="000000" w:themeColor="text1"/>
          <w:sz w:val="20"/>
        </w:rPr>
      </w:pPr>
      <w:r w:rsidRPr="00480FBB">
        <w:rPr>
          <w:rFonts w:ascii="Arial" w:hAnsi="Arial" w:cs="Arial"/>
          <w:b/>
          <w:color w:val="000000" w:themeColor="text1"/>
          <w:sz w:val="20"/>
        </w:rPr>
        <w:t>Revision record – all revisions must be recorded in the grid and full details of the change retained in the appropriate committee records.</w:t>
      </w:r>
    </w:p>
    <w:p w14:paraId="4A28D7DE" w14:textId="77777777" w:rsidR="00422B69" w:rsidRPr="00480FBB"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559"/>
        <w:gridCol w:w="2342"/>
        <w:gridCol w:w="2658"/>
        <w:gridCol w:w="2597"/>
      </w:tblGrid>
      <w:tr w:rsidR="00F54CD8" w:rsidRPr="00480FBB" w14:paraId="70388227" w14:textId="77777777" w:rsidTr="00334A02">
        <w:trPr>
          <w:trHeight w:val="317"/>
        </w:trPr>
        <w:tc>
          <w:tcPr>
            <w:tcW w:w="1526" w:type="dxa"/>
          </w:tcPr>
          <w:p w14:paraId="1BEE41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Date approved</w:t>
            </w:r>
          </w:p>
        </w:tc>
        <w:tc>
          <w:tcPr>
            <w:tcW w:w="1559" w:type="dxa"/>
          </w:tcPr>
          <w:p w14:paraId="1E651378" w14:textId="77777777" w:rsidR="00422B69" w:rsidRPr="00480FBB" w:rsidRDefault="00422B69" w:rsidP="00302082">
            <w:pPr>
              <w:spacing w:after="120"/>
              <w:rPr>
                <w:rFonts w:ascii="Arial" w:hAnsi="Arial" w:cs="Arial"/>
                <w:color w:val="000000" w:themeColor="text1"/>
                <w:sz w:val="18"/>
              </w:rPr>
            </w:pPr>
            <w:r w:rsidRPr="00480FBB">
              <w:rPr>
                <w:rFonts w:ascii="Arial" w:hAnsi="Arial" w:cs="Arial"/>
                <w:color w:val="000000" w:themeColor="text1"/>
                <w:sz w:val="18"/>
              </w:rPr>
              <w:t>Major/minor revision</w:t>
            </w:r>
          </w:p>
        </w:tc>
        <w:tc>
          <w:tcPr>
            <w:tcW w:w="2342" w:type="dxa"/>
          </w:tcPr>
          <w:p w14:paraId="26A8B6AA" w14:textId="77777777" w:rsidR="00422B69" w:rsidRPr="00480FBB" w:rsidRDefault="00422B69" w:rsidP="00302082">
            <w:pPr>
              <w:spacing w:after="120"/>
              <w:ind w:right="-34"/>
              <w:rPr>
                <w:rFonts w:ascii="Arial" w:hAnsi="Arial" w:cs="Arial"/>
                <w:color w:val="000000" w:themeColor="text1"/>
                <w:sz w:val="18"/>
              </w:rPr>
            </w:pPr>
            <w:r w:rsidRPr="00480FBB">
              <w:rPr>
                <w:rFonts w:ascii="Arial" w:hAnsi="Arial" w:cs="Arial"/>
                <w:color w:val="000000" w:themeColor="text1"/>
                <w:sz w:val="18"/>
              </w:rPr>
              <w:t>Start date of the delivery of  revised version</w:t>
            </w:r>
          </w:p>
        </w:tc>
        <w:tc>
          <w:tcPr>
            <w:tcW w:w="2658" w:type="dxa"/>
          </w:tcPr>
          <w:p w14:paraId="317469F5"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Section revised</w:t>
            </w:r>
          </w:p>
        </w:tc>
        <w:tc>
          <w:tcPr>
            <w:tcW w:w="2597" w:type="dxa"/>
          </w:tcPr>
          <w:p w14:paraId="5A119972" w14:textId="77777777" w:rsidR="00422B69" w:rsidRPr="00480FBB" w:rsidRDefault="00422B69" w:rsidP="00302082">
            <w:pPr>
              <w:spacing w:after="120"/>
              <w:ind w:right="-330"/>
              <w:rPr>
                <w:rFonts w:ascii="Arial" w:hAnsi="Arial" w:cs="Arial"/>
                <w:color w:val="000000" w:themeColor="text1"/>
                <w:sz w:val="18"/>
              </w:rPr>
            </w:pPr>
            <w:r w:rsidRPr="00480FBB">
              <w:rPr>
                <w:rFonts w:ascii="Arial" w:hAnsi="Arial" w:cs="Arial"/>
                <w:color w:val="000000" w:themeColor="text1"/>
                <w:sz w:val="18"/>
              </w:rPr>
              <w:t>Impacts PLOs</w:t>
            </w:r>
            <w:r w:rsidR="001A425B" w:rsidRPr="00480FBB">
              <w:rPr>
                <w:rFonts w:ascii="Arial" w:hAnsi="Arial" w:cs="Arial"/>
                <w:color w:val="000000" w:themeColor="text1"/>
                <w:sz w:val="18"/>
              </w:rPr>
              <w:t>( Q6&amp;7 cover sheet)</w:t>
            </w:r>
          </w:p>
        </w:tc>
      </w:tr>
      <w:tr w:rsidR="00F54CD8" w:rsidRPr="00480FBB" w14:paraId="258E6D02" w14:textId="77777777" w:rsidTr="00334A02">
        <w:trPr>
          <w:trHeight w:val="305"/>
        </w:trPr>
        <w:tc>
          <w:tcPr>
            <w:tcW w:w="1526" w:type="dxa"/>
          </w:tcPr>
          <w:p w14:paraId="42E606E8" w14:textId="77777777" w:rsidR="00422B69" w:rsidRPr="00480FBB" w:rsidRDefault="00422B69" w:rsidP="00302082">
            <w:pPr>
              <w:spacing w:after="120"/>
              <w:ind w:right="-330"/>
              <w:rPr>
                <w:rFonts w:ascii="Arial" w:hAnsi="Arial" w:cs="Arial"/>
                <w:color w:val="000000" w:themeColor="text1"/>
              </w:rPr>
            </w:pPr>
          </w:p>
        </w:tc>
        <w:tc>
          <w:tcPr>
            <w:tcW w:w="1559" w:type="dxa"/>
          </w:tcPr>
          <w:p w14:paraId="0DA3CC20" w14:textId="77777777" w:rsidR="00422B69" w:rsidRPr="00480FBB" w:rsidRDefault="00422B69" w:rsidP="00302082">
            <w:pPr>
              <w:spacing w:after="120"/>
              <w:ind w:right="-330"/>
              <w:rPr>
                <w:rFonts w:ascii="Arial" w:hAnsi="Arial" w:cs="Arial"/>
                <w:color w:val="000000" w:themeColor="text1"/>
              </w:rPr>
            </w:pPr>
          </w:p>
        </w:tc>
        <w:tc>
          <w:tcPr>
            <w:tcW w:w="2342" w:type="dxa"/>
          </w:tcPr>
          <w:p w14:paraId="5FDA92EF" w14:textId="77777777" w:rsidR="00422B69" w:rsidRPr="00480FBB" w:rsidRDefault="00422B69" w:rsidP="00302082">
            <w:pPr>
              <w:spacing w:after="120"/>
              <w:ind w:right="-330"/>
              <w:rPr>
                <w:rFonts w:ascii="Arial" w:hAnsi="Arial" w:cs="Arial"/>
                <w:color w:val="000000" w:themeColor="text1"/>
              </w:rPr>
            </w:pPr>
          </w:p>
        </w:tc>
        <w:tc>
          <w:tcPr>
            <w:tcW w:w="2658" w:type="dxa"/>
          </w:tcPr>
          <w:p w14:paraId="5F43B436" w14:textId="77777777" w:rsidR="00422B69" w:rsidRPr="00480FBB" w:rsidRDefault="00422B69" w:rsidP="00302082">
            <w:pPr>
              <w:spacing w:after="120"/>
              <w:ind w:right="-330"/>
              <w:rPr>
                <w:rFonts w:ascii="Arial" w:hAnsi="Arial" w:cs="Arial"/>
                <w:color w:val="000000" w:themeColor="text1"/>
              </w:rPr>
            </w:pPr>
          </w:p>
        </w:tc>
        <w:tc>
          <w:tcPr>
            <w:tcW w:w="2597" w:type="dxa"/>
          </w:tcPr>
          <w:p w14:paraId="43657035" w14:textId="77777777" w:rsidR="00422B69" w:rsidRPr="00480FBB" w:rsidRDefault="00422B69" w:rsidP="00302082">
            <w:pPr>
              <w:spacing w:after="120"/>
              <w:ind w:right="-330"/>
              <w:rPr>
                <w:rFonts w:ascii="Arial" w:hAnsi="Arial" w:cs="Arial"/>
                <w:color w:val="000000" w:themeColor="text1"/>
              </w:rPr>
            </w:pPr>
          </w:p>
        </w:tc>
      </w:tr>
      <w:tr w:rsidR="00302082" w:rsidRPr="00480FBB" w14:paraId="4AFB70B3" w14:textId="77777777" w:rsidTr="00334A02">
        <w:trPr>
          <w:trHeight w:val="305"/>
        </w:trPr>
        <w:tc>
          <w:tcPr>
            <w:tcW w:w="1526" w:type="dxa"/>
          </w:tcPr>
          <w:p w14:paraId="63F8B1B4" w14:textId="77777777" w:rsidR="00422B69" w:rsidRPr="00480FBB" w:rsidRDefault="00422B69" w:rsidP="00302082">
            <w:pPr>
              <w:spacing w:after="120"/>
              <w:ind w:right="-330"/>
              <w:rPr>
                <w:rFonts w:ascii="Arial" w:hAnsi="Arial" w:cs="Arial"/>
                <w:color w:val="000000" w:themeColor="text1"/>
              </w:rPr>
            </w:pPr>
          </w:p>
        </w:tc>
        <w:tc>
          <w:tcPr>
            <w:tcW w:w="1559" w:type="dxa"/>
          </w:tcPr>
          <w:p w14:paraId="56C62746" w14:textId="77777777" w:rsidR="00422B69" w:rsidRPr="00480FBB" w:rsidRDefault="00422B69" w:rsidP="00302082">
            <w:pPr>
              <w:spacing w:after="120"/>
              <w:ind w:right="-330"/>
              <w:rPr>
                <w:rFonts w:ascii="Arial" w:hAnsi="Arial" w:cs="Arial"/>
                <w:color w:val="000000" w:themeColor="text1"/>
              </w:rPr>
            </w:pPr>
          </w:p>
        </w:tc>
        <w:tc>
          <w:tcPr>
            <w:tcW w:w="2342" w:type="dxa"/>
          </w:tcPr>
          <w:p w14:paraId="0ADD7CF4" w14:textId="77777777" w:rsidR="00422B69" w:rsidRPr="00480FBB" w:rsidRDefault="00422B69" w:rsidP="00302082">
            <w:pPr>
              <w:spacing w:after="120"/>
              <w:ind w:right="-330"/>
              <w:rPr>
                <w:rFonts w:ascii="Arial" w:hAnsi="Arial" w:cs="Arial"/>
                <w:color w:val="000000" w:themeColor="text1"/>
              </w:rPr>
            </w:pPr>
          </w:p>
        </w:tc>
        <w:tc>
          <w:tcPr>
            <w:tcW w:w="2658" w:type="dxa"/>
          </w:tcPr>
          <w:p w14:paraId="6E0F4BEB" w14:textId="77777777" w:rsidR="00422B69" w:rsidRPr="00480FBB" w:rsidRDefault="00422B69" w:rsidP="00302082">
            <w:pPr>
              <w:spacing w:after="120"/>
              <w:ind w:right="-330"/>
              <w:rPr>
                <w:rFonts w:ascii="Arial" w:hAnsi="Arial" w:cs="Arial"/>
                <w:color w:val="000000" w:themeColor="text1"/>
              </w:rPr>
            </w:pPr>
          </w:p>
        </w:tc>
        <w:tc>
          <w:tcPr>
            <w:tcW w:w="2597" w:type="dxa"/>
          </w:tcPr>
          <w:p w14:paraId="5BE067D0" w14:textId="77777777" w:rsidR="00422B69" w:rsidRPr="00480FBB" w:rsidRDefault="00422B69" w:rsidP="00302082">
            <w:pPr>
              <w:spacing w:after="120"/>
              <w:ind w:right="-330"/>
              <w:rPr>
                <w:rFonts w:ascii="Arial" w:hAnsi="Arial" w:cs="Arial"/>
                <w:color w:val="000000" w:themeColor="text1"/>
              </w:rPr>
            </w:pPr>
          </w:p>
        </w:tc>
      </w:tr>
    </w:tbl>
    <w:p w14:paraId="2B1F7093" w14:textId="77777777" w:rsidR="00D83563" w:rsidRPr="00480FBB" w:rsidRDefault="00D83563" w:rsidP="00302082">
      <w:pPr>
        <w:spacing w:after="120" w:line="240" w:lineRule="auto"/>
        <w:ind w:right="-330"/>
        <w:rPr>
          <w:rFonts w:ascii="Arial" w:hAnsi="Arial" w:cs="Arial"/>
          <w:color w:val="000000" w:themeColor="text1"/>
        </w:rPr>
      </w:pPr>
    </w:p>
    <w:sectPr w:rsidR="00D83563" w:rsidRPr="00480FB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683F" w14:textId="77777777" w:rsidR="005923C2" w:rsidRDefault="005923C2" w:rsidP="009A2D37">
      <w:pPr>
        <w:spacing w:after="0" w:line="240" w:lineRule="auto"/>
      </w:pPr>
      <w:r>
        <w:separator/>
      </w:r>
    </w:p>
  </w:endnote>
  <w:endnote w:type="continuationSeparator" w:id="0">
    <w:p w14:paraId="1856F3EF" w14:textId="77777777" w:rsidR="005923C2" w:rsidRDefault="005923C2" w:rsidP="009A2D37">
      <w:pPr>
        <w:spacing w:after="0" w:line="240" w:lineRule="auto"/>
      </w:pPr>
      <w:r>
        <w:continuationSeparator/>
      </w:r>
    </w:p>
  </w:endnote>
  <w:endnote w:type="continuationNotice" w:id="1">
    <w:p w14:paraId="4941430D" w14:textId="77777777" w:rsidR="005923C2" w:rsidRDefault="0059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596B1A" w14:textId="7C57AA89" w:rsidR="0025178B" w:rsidRDefault="0025178B" w:rsidP="009A2D37">
        <w:pPr>
          <w:pStyle w:val="Footer"/>
          <w:jc w:val="center"/>
        </w:pPr>
        <w:r>
          <w:fldChar w:fldCharType="begin"/>
        </w:r>
        <w:r>
          <w:instrText xml:space="preserve"> PAGE   \* MERGEFORMAT </w:instrText>
        </w:r>
        <w:r>
          <w:fldChar w:fldCharType="separate"/>
        </w:r>
        <w:r w:rsidR="00156D8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39B5" w14:textId="77777777" w:rsidR="005923C2" w:rsidRDefault="005923C2" w:rsidP="009A2D37">
      <w:pPr>
        <w:spacing w:after="0" w:line="240" w:lineRule="auto"/>
      </w:pPr>
      <w:r>
        <w:separator/>
      </w:r>
    </w:p>
  </w:footnote>
  <w:footnote w:type="continuationSeparator" w:id="0">
    <w:p w14:paraId="02AE43EB" w14:textId="77777777" w:rsidR="005923C2" w:rsidRDefault="005923C2" w:rsidP="009A2D37">
      <w:pPr>
        <w:spacing w:after="0" w:line="240" w:lineRule="auto"/>
      </w:pPr>
      <w:r>
        <w:continuationSeparator/>
      </w:r>
    </w:p>
  </w:footnote>
  <w:footnote w:type="continuationNotice" w:id="1">
    <w:p w14:paraId="57C8F170" w14:textId="77777777" w:rsidR="005923C2" w:rsidRDefault="0059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6A72" w14:textId="77777777" w:rsidR="0025178B" w:rsidRPr="0075408A" w:rsidRDefault="0025178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261370" wp14:editId="21C4B1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CD7FCA" w14:textId="77777777" w:rsidR="0025178B" w:rsidRPr="008C00F8" w:rsidRDefault="0025178B" w:rsidP="005E6D38">
    <w:pPr>
      <w:pStyle w:val="Heading1"/>
      <w:spacing w:before="60" w:after="60"/>
      <w:rPr>
        <w:rFonts w:ascii="Arial" w:hAnsi="Arial" w:cs="Arial"/>
      </w:rPr>
    </w:pPr>
  </w:p>
  <w:p w14:paraId="46AC4345" w14:textId="77777777" w:rsidR="0025178B" w:rsidRDefault="00251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1566" w14:textId="0C2498AF" w:rsidR="0025178B" w:rsidRPr="0075408A" w:rsidRDefault="0025178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CD6D4E" wp14:editId="10E703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CCC877" w14:textId="77777777" w:rsidR="0025178B" w:rsidRPr="000F7FBF" w:rsidRDefault="0025178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4311"/>
    <w:multiLevelType w:val="hybridMultilevel"/>
    <w:tmpl w:val="2800D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B13251"/>
    <w:multiLevelType w:val="hybridMultilevel"/>
    <w:tmpl w:val="03C02CEC"/>
    <w:lvl w:ilvl="0" w:tplc="4A286B08">
      <w:start w:val="1"/>
      <w:numFmt w:val="decimal"/>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AA40E4"/>
    <w:multiLevelType w:val="hybridMultilevel"/>
    <w:tmpl w:val="360CC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AD24C7"/>
    <w:multiLevelType w:val="hybridMultilevel"/>
    <w:tmpl w:val="3D1A7966"/>
    <w:lvl w:ilvl="0" w:tplc="95766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DF0DB5"/>
    <w:multiLevelType w:val="hybridMultilevel"/>
    <w:tmpl w:val="38ACADB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E242388"/>
    <w:multiLevelType w:val="hybridMultilevel"/>
    <w:tmpl w:val="C3B8E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F96E1A"/>
    <w:multiLevelType w:val="hybridMultilevel"/>
    <w:tmpl w:val="7AC8BA4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11F0D48"/>
    <w:multiLevelType w:val="hybridMultilevel"/>
    <w:tmpl w:val="7C88E69C"/>
    <w:lvl w:ilvl="0" w:tplc="A268F978">
      <w:start w:val="1"/>
      <w:numFmt w:val="decimal"/>
      <w:lvlText w:val="B%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441340F"/>
    <w:multiLevelType w:val="hybridMultilevel"/>
    <w:tmpl w:val="A86818F6"/>
    <w:lvl w:ilvl="0" w:tplc="6ABC4BAA">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A0231"/>
    <w:multiLevelType w:val="multilevel"/>
    <w:tmpl w:val="4F0008C8"/>
    <w:lvl w:ilvl="0">
      <w:start w:val="17"/>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730FE8"/>
    <w:multiLevelType w:val="hybridMultilevel"/>
    <w:tmpl w:val="BCBC2100"/>
    <w:lvl w:ilvl="0" w:tplc="22265A20">
      <w:start w:val="1"/>
      <w:numFmt w:val="decimal"/>
      <w:lvlText w:val="%1."/>
      <w:lvlJc w:val="left"/>
      <w:pPr>
        <w:ind w:left="720" w:hanging="360"/>
      </w:pPr>
      <w:rPr>
        <w:b w:val="0"/>
        <w:i w:val="0"/>
      </w:rPr>
    </w:lvl>
    <w:lvl w:ilvl="1" w:tplc="7B5E2A30">
      <w:numFmt w:val="bullet"/>
      <w:lvlText w:val="•"/>
      <w:lvlJc w:val="left"/>
      <w:pPr>
        <w:ind w:left="1440" w:hanging="360"/>
      </w:pPr>
      <w:rPr>
        <w:rFonts w:ascii="SimSun" w:eastAsia="SimSun" w:hAnsi="SimSun" w:cs="Arial"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0F0528"/>
    <w:multiLevelType w:val="hybridMultilevel"/>
    <w:tmpl w:val="EB3AB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8111DC"/>
    <w:multiLevelType w:val="hybridMultilevel"/>
    <w:tmpl w:val="909666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3FA4DA2"/>
    <w:multiLevelType w:val="hybridMultilevel"/>
    <w:tmpl w:val="10AE39E6"/>
    <w:lvl w:ilvl="0" w:tplc="F236AD4A">
      <w:start w:val="1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C397A"/>
    <w:multiLevelType w:val="hybridMultilevel"/>
    <w:tmpl w:val="95A43B4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0827472"/>
    <w:multiLevelType w:val="hybridMultilevel"/>
    <w:tmpl w:val="2AD8F9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47511F86"/>
    <w:multiLevelType w:val="multilevel"/>
    <w:tmpl w:val="369429C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860B0"/>
    <w:multiLevelType w:val="hybridMultilevel"/>
    <w:tmpl w:val="83E0C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BD1D5D"/>
    <w:multiLevelType w:val="hybridMultilevel"/>
    <w:tmpl w:val="9372E3C6"/>
    <w:lvl w:ilvl="0" w:tplc="08090001">
      <w:start w:val="1"/>
      <w:numFmt w:val="bullet"/>
      <w:lvlText w:val=""/>
      <w:lvlJc w:val="left"/>
      <w:pPr>
        <w:ind w:left="928" w:hanging="360"/>
      </w:pPr>
      <w:rPr>
        <w:rFonts w:ascii="Symbol" w:hAnsi="Symbol" w:hint="default"/>
      </w:rPr>
    </w:lvl>
    <w:lvl w:ilvl="1" w:tplc="04090001">
      <w:start w:val="1"/>
      <w:numFmt w:val="bullet"/>
      <w:lvlText w:val=""/>
      <w:lvlJc w:val="left"/>
      <w:pPr>
        <w:tabs>
          <w:tab w:val="num" w:pos="2226"/>
        </w:tabs>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0D5689"/>
    <w:multiLevelType w:val="hybridMultilevel"/>
    <w:tmpl w:val="1BB8C1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C5A3852"/>
    <w:multiLevelType w:val="hybridMultilevel"/>
    <w:tmpl w:val="D8F255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4612C9B"/>
    <w:multiLevelType w:val="hybridMultilevel"/>
    <w:tmpl w:val="C832B3A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5CE54E1"/>
    <w:multiLevelType w:val="hybridMultilevel"/>
    <w:tmpl w:val="F7842C1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15:restartNumberingAfterBreak="0">
    <w:nsid w:val="673B0354"/>
    <w:multiLevelType w:val="hybridMultilevel"/>
    <w:tmpl w:val="B8B469B0"/>
    <w:lvl w:ilvl="0" w:tplc="4A286B0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F1EE5"/>
    <w:multiLevelType w:val="hybridMultilevel"/>
    <w:tmpl w:val="F6A0EA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BED330B"/>
    <w:multiLevelType w:val="hybridMultilevel"/>
    <w:tmpl w:val="C40822A8"/>
    <w:lvl w:ilvl="0" w:tplc="A268F978">
      <w:start w:val="1"/>
      <w:numFmt w:val="decimal"/>
      <w:lvlText w:val="B%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0138F"/>
    <w:multiLevelType w:val="hybridMultilevel"/>
    <w:tmpl w:val="2A3CAA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6F7F3638"/>
    <w:multiLevelType w:val="multilevel"/>
    <w:tmpl w:val="31D4FDD4"/>
    <w:lvl w:ilvl="0">
      <w:start w:val="15"/>
      <w:numFmt w:val="decimal"/>
      <w:lvlText w:val="%1."/>
      <w:lvlJc w:val="left"/>
      <w:pPr>
        <w:ind w:left="360" w:hanging="360"/>
      </w:pPr>
      <w:rPr>
        <w:rFonts w:hint="default"/>
        <w:b w:val="0"/>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732642F0"/>
    <w:multiLevelType w:val="hybridMultilevel"/>
    <w:tmpl w:val="43AC81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543469"/>
    <w:multiLevelType w:val="hybridMultilevel"/>
    <w:tmpl w:val="BF1E716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5701146"/>
    <w:multiLevelType w:val="hybridMultilevel"/>
    <w:tmpl w:val="CA5A60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5B72BED"/>
    <w:multiLevelType w:val="hybridMultilevel"/>
    <w:tmpl w:val="7FB4A410"/>
    <w:lvl w:ilvl="0" w:tplc="4E80EFC2">
      <w:numFmt w:val="bullet"/>
      <w:lvlText w:val="-"/>
      <w:lvlJc w:val="left"/>
      <w:pPr>
        <w:ind w:left="1080" w:hanging="360"/>
      </w:pPr>
      <w:rPr>
        <w:rFonts w:ascii="Gill Alt One MT" w:eastAsia="Times New Roman" w:hAnsi="Gill Alt One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320820"/>
    <w:multiLevelType w:val="hybridMultilevel"/>
    <w:tmpl w:val="BBFC68E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1" w15:restartNumberingAfterBreak="0">
    <w:nsid w:val="77D038E2"/>
    <w:multiLevelType w:val="hybridMultilevel"/>
    <w:tmpl w:val="DD12A9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012CE"/>
    <w:multiLevelType w:val="hybridMultilevel"/>
    <w:tmpl w:val="3FB45870"/>
    <w:lvl w:ilvl="0" w:tplc="A268F978">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0623F"/>
    <w:multiLevelType w:val="multilevel"/>
    <w:tmpl w:val="BAD036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D207F"/>
    <w:multiLevelType w:val="hybridMultilevel"/>
    <w:tmpl w:val="B73AA24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26"/>
  </w:num>
  <w:num w:numId="6">
    <w:abstractNumId w:val="23"/>
  </w:num>
  <w:num w:numId="7">
    <w:abstractNumId w:val="42"/>
  </w:num>
  <w:num w:numId="8">
    <w:abstractNumId w:val="25"/>
  </w:num>
  <w:num w:numId="9">
    <w:abstractNumId w:val="19"/>
  </w:num>
  <w:num w:numId="10">
    <w:abstractNumId w:val="3"/>
  </w:num>
  <w:num w:numId="11">
    <w:abstractNumId w:val="7"/>
  </w:num>
  <w:num w:numId="12">
    <w:abstractNumId w:val="28"/>
  </w:num>
  <w:num w:numId="13">
    <w:abstractNumId w:val="27"/>
  </w:num>
  <w:num w:numId="14">
    <w:abstractNumId w:val="37"/>
  </w:num>
  <w:num w:numId="15">
    <w:abstractNumId w:val="30"/>
  </w:num>
  <w:num w:numId="16">
    <w:abstractNumId w:val="22"/>
  </w:num>
  <w:num w:numId="17">
    <w:abstractNumId w:val="6"/>
  </w:num>
  <w:num w:numId="18">
    <w:abstractNumId w:val="8"/>
  </w:num>
  <w:num w:numId="19">
    <w:abstractNumId w:val="45"/>
  </w:num>
  <w:num w:numId="20">
    <w:abstractNumId w:val="29"/>
  </w:num>
  <w:num w:numId="21">
    <w:abstractNumId w:val="40"/>
  </w:num>
  <w:num w:numId="22">
    <w:abstractNumId w:val="24"/>
  </w:num>
  <w:num w:numId="23">
    <w:abstractNumId w:val="41"/>
  </w:num>
  <w:num w:numId="24">
    <w:abstractNumId w:val="13"/>
  </w:num>
  <w:num w:numId="25">
    <w:abstractNumId w:val="38"/>
  </w:num>
  <w:num w:numId="26">
    <w:abstractNumId w:val="36"/>
  </w:num>
  <w:num w:numId="27">
    <w:abstractNumId w:val="4"/>
  </w:num>
  <w:num w:numId="28">
    <w:abstractNumId w:val="2"/>
  </w:num>
  <w:num w:numId="29">
    <w:abstractNumId w:val="9"/>
  </w:num>
  <w:num w:numId="30">
    <w:abstractNumId w:val="18"/>
  </w:num>
  <w:num w:numId="31">
    <w:abstractNumId w:val="31"/>
  </w:num>
  <w:num w:numId="32">
    <w:abstractNumId w:val="43"/>
  </w:num>
  <w:num w:numId="33">
    <w:abstractNumId w:val="33"/>
  </w:num>
  <w:num w:numId="34">
    <w:abstractNumId w:val="10"/>
  </w:num>
  <w:num w:numId="35">
    <w:abstractNumId w:val="39"/>
  </w:num>
  <w:num w:numId="36">
    <w:abstractNumId w:val="21"/>
  </w:num>
  <w:num w:numId="37">
    <w:abstractNumId w:val="34"/>
  </w:num>
  <w:num w:numId="38">
    <w:abstractNumId w:val="32"/>
  </w:num>
  <w:num w:numId="39">
    <w:abstractNumId w:val="44"/>
  </w:num>
  <w:num w:numId="40">
    <w:abstractNumId w:val="1"/>
  </w:num>
  <w:num w:numId="41">
    <w:abstractNumId w:val="20"/>
  </w:num>
  <w:num w:numId="42">
    <w:abstractNumId w:val="16"/>
  </w:num>
  <w:num w:numId="43">
    <w:abstractNumId w:val="14"/>
  </w:num>
  <w:num w:numId="44">
    <w:abstractNumId w:val="35"/>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F5F"/>
    <w:rsid w:val="00017532"/>
    <w:rsid w:val="00021EA0"/>
    <w:rsid w:val="00025992"/>
    <w:rsid w:val="00027937"/>
    <w:rsid w:val="00030C9E"/>
    <w:rsid w:val="00031E67"/>
    <w:rsid w:val="000339F5"/>
    <w:rsid w:val="0003498E"/>
    <w:rsid w:val="000408CC"/>
    <w:rsid w:val="00045373"/>
    <w:rsid w:val="00056861"/>
    <w:rsid w:val="0006169A"/>
    <w:rsid w:val="00063A2F"/>
    <w:rsid w:val="000678D3"/>
    <w:rsid w:val="0007557C"/>
    <w:rsid w:val="00094810"/>
    <w:rsid w:val="00095AFD"/>
    <w:rsid w:val="000A6CD4"/>
    <w:rsid w:val="000C0294"/>
    <w:rsid w:val="000C3AB9"/>
    <w:rsid w:val="000C7A1C"/>
    <w:rsid w:val="000D05F1"/>
    <w:rsid w:val="000D1A40"/>
    <w:rsid w:val="000D2A8A"/>
    <w:rsid w:val="000D32AC"/>
    <w:rsid w:val="000E20C1"/>
    <w:rsid w:val="000E3B73"/>
    <w:rsid w:val="000F6C56"/>
    <w:rsid w:val="000F7FBF"/>
    <w:rsid w:val="00106BE5"/>
    <w:rsid w:val="00110947"/>
    <w:rsid w:val="00111906"/>
    <w:rsid w:val="00111CB3"/>
    <w:rsid w:val="001131F0"/>
    <w:rsid w:val="00117577"/>
    <w:rsid w:val="00117793"/>
    <w:rsid w:val="001206E4"/>
    <w:rsid w:val="001214D3"/>
    <w:rsid w:val="00121BFC"/>
    <w:rsid w:val="00131718"/>
    <w:rsid w:val="001402AD"/>
    <w:rsid w:val="001540CE"/>
    <w:rsid w:val="00155985"/>
    <w:rsid w:val="00156D8B"/>
    <w:rsid w:val="0015717B"/>
    <w:rsid w:val="00157ACA"/>
    <w:rsid w:val="00160427"/>
    <w:rsid w:val="00162D46"/>
    <w:rsid w:val="00170A5D"/>
    <w:rsid w:val="00172793"/>
    <w:rsid w:val="001801C5"/>
    <w:rsid w:val="00180558"/>
    <w:rsid w:val="001811E5"/>
    <w:rsid w:val="001822D6"/>
    <w:rsid w:val="00183B34"/>
    <w:rsid w:val="00185F36"/>
    <w:rsid w:val="00185F46"/>
    <w:rsid w:val="00196C6A"/>
    <w:rsid w:val="0019787E"/>
    <w:rsid w:val="001A31DF"/>
    <w:rsid w:val="001A425B"/>
    <w:rsid w:val="001B1B28"/>
    <w:rsid w:val="001B27FB"/>
    <w:rsid w:val="001B2A8E"/>
    <w:rsid w:val="001B456B"/>
    <w:rsid w:val="001B69E0"/>
    <w:rsid w:val="001C4A85"/>
    <w:rsid w:val="001C5443"/>
    <w:rsid w:val="001C6CE5"/>
    <w:rsid w:val="001D0C7D"/>
    <w:rsid w:val="001D1F2D"/>
    <w:rsid w:val="001D2314"/>
    <w:rsid w:val="001D6398"/>
    <w:rsid w:val="001E1F45"/>
    <w:rsid w:val="001E62C1"/>
    <w:rsid w:val="001F0779"/>
    <w:rsid w:val="001F3C3E"/>
    <w:rsid w:val="0020243A"/>
    <w:rsid w:val="0021578E"/>
    <w:rsid w:val="002268E4"/>
    <w:rsid w:val="00227582"/>
    <w:rsid w:val="002308BE"/>
    <w:rsid w:val="002407C0"/>
    <w:rsid w:val="00243955"/>
    <w:rsid w:val="002461AF"/>
    <w:rsid w:val="002465A1"/>
    <w:rsid w:val="0025178B"/>
    <w:rsid w:val="002558A4"/>
    <w:rsid w:val="00260F53"/>
    <w:rsid w:val="00264576"/>
    <w:rsid w:val="00265352"/>
    <w:rsid w:val="002653FE"/>
    <w:rsid w:val="0026585A"/>
    <w:rsid w:val="00266735"/>
    <w:rsid w:val="00267338"/>
    <w:rsid w:val="00267992"/>
    <w:rsid w:val="00273CF0"/>
    <w:rsid w:val="002748D4"/>
    <w:rsid w:val="00274ED7"/>
    <w:rsid w:val="0028461D"/>
    <w:rsid w:val="0028590C"/>
    <w:rsid w:val="00292C46"/>
    <w:rsid w:val="002938D6"/>
    <w:rsid w:val="00294B73"/>
    <w:rsid w:val="00296EE0"/>
    <w:rsid w:val="002A0C18"/>
    <w:rsid w:val="002A219B"/>
    <w:rsid w:val="002A22DB"/>
    <w:rsid w:val="002B1579"/>
    <w:rsid w:val="002B20F5"/>
    <w:rsid w:val="002B2A1A"/>
    <w:rsid w:val="002B71F2"/>
    <w:rsid w:val="002E0C4B"/>
    <w:rsid w:val="002E33B4"/>
    <w:rsid w:val="002E71C0"/>
    <w:rsid w:val="002F05F4"/>
    <w:rsid w:val="002F0CE4"/>
    <w:rsid w:val="002F23EF"/>
    <w:rsid w:val="002F24F4"/>
    <w:rsid w:val="002F2626"/>
    <w:rsid w:val="002F4785"/>
    <w:rsid w:val="00302082"/>
    <w:rsid w:val="00306620"/>
    <w:rsid w:val="00311C05"/>
    <w:rsid w:val="0031615D"/>
    <w:rsid w:val="003262B9"/>
    <w:rsid w:val="00334A02"/>
    <w:rsid w:val="00335875"/>
    <w:rsid w:val="00335FBE"/>
    <w:rsid w:val="00340AFE"/>
    <w:rsid w:val="00341340"/>
    <w:rsid w:val="00352D8E"/>
    <w:rsid w:val="00356B68"/>
    <w:rsid w:val="0035702D"/>
    <w:rsid w:val="003604D4"/>
    <w:rsid w:val="003627B0"/>
    <w:rsid w:val="00374DF6"/>
    <w:rsid w:val="003759B0"/>
    <w:rsid w:val="00375F84"/>
    <w:rsid w:val="00376E34"/>
    <w:rsid w:val="003804E7"/>
    <w:rsid w:val="003934D2"/>
    <w:rsid w:val="00396936"/>
    <w:rsid w:val="003973A1"/>
    <w:rsid w:val="003A4DCA"/>
    <w:rsid w:val="003A5DA0"/>
    <w:rsid w:val="003A5EEB"/>
    <w:rsid w:val="003A6143"/>
    <w:rsid w:val="003B35F4"/>
    <w:rsid w:val="003B7C76"/>
    <w:rsid w:val="003C3E0C"/>
    <w:rsid w:val="003C776B"/>
    <w:rsid w:val="003C79F3"/>
    <w:rsid w:val="003D1544"/>
    <w:rsid w:val="003D4A1C"/>
    <w:rsid w:val="003D7AA0"/>
    <w:rsid w:val="003E1B5E"/>
    <w:rsid w:val="003E1FF7"/>
    <w:rsid w:val="003E311D"/>
    <w:rsid w:val="003F4470"/>
    <w:rsid w:val="003F5A04"/>
    <w:rsid w:val="003F67CD"/>
    <w:rsid w:val="004024C2"/>
    <w:rsid w:val="00402ED7"/>
    <w:rsid w:val="00407287"/>
    <w:rsid w:val="004114F8"/>
    <w:rsid w:val="004123B0"/>
    <w:rsid w:val="00422B69"/>
    <w:rsid w:val="00423D86"/>
    <w:rsid w:val="00424C90"/>
    <w:rsid w:val="004304F1"/>
    <w:rsid w:val="00436BE9"/>
    <w:rsid w:val="00441E76"/>
    <w:rsid w:val="004443DA"/>
    <w:rsid w:val="004446C0"/>
    <w:rsid w:val="004474A2"/>
    <w:rsid w:val="00460925"/>
    <w:rsid w:val="00471C6C"/>
    <w:rsid w:val="00472023"/>
    <w:rsid w:val="00476F6C"/>
    <w:rsid w:val="00480FBB"/>
    <w:rsid w:val="00486993"/>
    <w:rsid w:val="00491250"/>
    <w:rsid w:val="00492DA4"/>
    <w:rsid w:val="00496AA3"/>
    <w:rsid w:val="00497C98"/>
    <w:rsid w:val="004A39D7"/>
    <w:rsid w:val="004A55FA"/>
    <w:rsid w:val="004B6CDB"/>
    <w:rsid w:val="004C1EC4"/>
    <w:rsid w:val="004D035C"/>
    <w:rsid w:val="004D16E9"/>
    <w:rsid w:val="004D24C7"/>
    <w:rsid w:val="004D2534"/>
    <w:rsid w:val="004D5C0C"/>
    <w:rsid w:val="004E5577"/>
    <w:rsid w:val="004F3C18"/>
    <w:rsid w:val="004F4328"/>
    <w:rsid w:val="005005E4"/>
    <w:rsid w:val="00501874"/>
    <w:rsid w:val="00513689"/>
    <w:rsid w:val="0051375A"/>
    <w:rsid w:val="00514009"/>
    <w:rsid w:val="005160FB"/>
    <w:rsid w:val="00521097"/>
    <w:rsid w:val="0052413E"/>
    <w:rsid w:val="00524262"/>
    <w:rsid w:val="0053059E"/>
    <w:rsid w:val="00532F6F"/>
    <w:rsid w:val="00533663"/>
    <w:rsid w:val="005460C2"/>
    <w:rsid w:val="005526FB"/>
    <w:rsid w:val="0055280A"/>
    <w:rsid w:val="005533EC"/>
    <w:rsid w:val="005548E1"/>
    <w:rsid w:val="0055585D"/>
    <w:rsid w:val="0056127B"/>
    <w:rsid w:val="00561D26"/>
    <w:rsid w:val="00567EC9"/>
    <w:rsid w:val="00571630"/>
    <w:rsid w:val="00574F7C"/>
    <w:rsid w:val="005759F4"/>
    <w:rsid w:val="005779D1"/>
    <w:rsid w:val="0058041A"/>
    <w:rsid w:val="00583E95"/>
    <w:rsid w:val="0058743D"/>
    <w:rsid w:val="00587B3D"/>
    <w:rsid w:val="00587BF7"/>
    <w:rsid w:val="005923C2"/>
    <w:rsid w:val="0059477B"/>
    <w:rsid w:val="00594BD5"/>
    <w:rsid w:val="005959FE"/>
    <w:rsid w:val="00596884"/>
    <w:rsid w:val="005A14B5"/>
    <w:rsid w:val="005B5A98"/>
    <w:rsid w:val="005C1A4F"/>
    <w:rsid w:val="005C269D"/>
    <w:rsid w:val="005C27D7"/>
    <w:rsid w:val="005D29C8"/>
    <w:rsid w:val="005D4D0A"/>
    <w:rsid w:val="005D6960"/>
    <w:rsid w:val="005D7208"/>
    <w:rsid w:val="005E1A3A"/>
    <w:rsid w:val="005E6ADC"/>
    <w:rsid w:val="005E6D10"/>
    <w:rsid w:val="005E6D38"/>
    <w:rsid w:val="005E7B3F"/>
    <w:rsid w:val="005E7F7F"/>
    <w:rsid w:val="005F040F"/>
    <w:rsid w:val="005F2C42"/>
    <w:rsid w:val="00600397"/>
    <w:rsid w:val="006050CF"/>
    <w:rsid w:val="006253AA"/>
    <w:rsid w:val="00626023"/>
    <w:rsid w:val="00633150"/>
    <w:rsid w:val="00635D8A"/>
    <w:rsid w:val="00637A50"/>
    <w:rsid w:val="00640710"/>
    <w:rsid w:val="00641D6D"/>
    <w:rsid w:val="006438F3"/>
    <w:rsid w:val="00647907"/>
    <w:rsid w:val="00651A82"/>
    <w:rsid w:val="006525E9"/>
    <w:rsid w:val="0066747B"/>
    <w:rsid w:val="006725EC"/>
    <w:rsid w:val="00674ED0"/>
    <w:rsid w:val="00682650"/>
    <w:rsid w:val="00684851"/>
    <w:rsid w:val="00684E43"/>
    <w:rsid w:val="006850C6"/>
    <w:rsid w:val="00692D5A"/>
    <w:rsid w:val="00695285"/>
    <w:rsid w:val="006A2011"/>
    <w:rsid w:val="006A3559"/>
    <w:rsid w:val="006A6BB4"/>
    <w:rsid w:val="006A7FB0"/>
    <w:rsid w:val="006C2A9A"/>
    <w:rsid w:val="006C423D"/>
    <w:rsid w:val="006C46EF"/>
    <w:rsid w:val="006C4C67"/>
    <w:rsid w:val="006D41AB"/>
    <w:rsid w:val="006D444F"/>
    <w:rsid w:val="006E0136"/>
    <w:rsid w:val="006E3D00"/>
    <w:rsid w:val="006F1A15"/>
    <w:rsid w:val="006F314D"/>
    <w:rsid w:val="006F3F8B"/>
    <w:rsid w:val="006F6B3A"/>
    <w:rsid w:val="006F7268"/>
    <w:rsid w:val="00700488"/>
    <w:rsid w:val="00701B95"/>
    <w:rsid w:val="00703404"/>
    <w:rsid w:val="00703F92"/>
    <w:rsid w:val="00704637"/>
    <w:rsid w:val="0070481F"/>
    <w:rsid w:val="007105E4"/>
    <w:rsid w:val="00714EE5"/>
    <w:rsid w:val="00720270"/>
    <w:rsid w:val="00724362"/>
    <w:rsid w:val="00727780"/>
    <w:rsid w:val="0073792C"/>
    <w:rsid w:val="00740BA8"/>
    <w:rsid w:val="00740F53"/>
    <w:rsid w:val="00754069"/>
    <w:rsid w:val="007667DF"/>
    <w:rsid w:val="0077080B"/>
    <w:rsid w:val="00780C40"/>
    <w:rsid w:val="00780DD7"/>
    <w:rsid w:val="00784B55"/>
    <w:rsid w:val="00787070"/>
    <w:rsid w:val="007906FD"/>
    <w:rsid w:val="00790850"/>
    <w:rsid w:val="007949E2"/>
    <w:rsid w:val="00797197"/>
    <w:rsid w:val="007972A7"/>
    <w:rsid w:val="007A0AA8"/>
    <w:rsid w:val="007A2BA2"/>
    <w:rsid w:val="007A6245"/>
    <w:rsid w:val="007A7376"/>
    <w:rsid w:val="007B1DB2"/>
    <w:rsid w:val="007B375B"/>
    <w:rsid w:val="007B412A"/>
    <w:rsid w:val="007B635E"/>
    <w:rsid w:val="007B7724"/>
    <w:rsid w:val="007B7CDC"/>
    <w:rsid w:val="007C2A14"/>
    <w:rsid w:val="007C6DE4"/>
    <w:rsid w:val="007C74B4"/>
    <w:rsid w:val="007D3381"/>
    <w:rsid w:val="007D4FB4"/>
    <w:rsid w:val="007E2089"/>
    <w:rsid w:val="007E3412"/>
    <w:rsid w:val="007F28FA"/>
    <w:rsid w:val="007F393D"/>
    <w:rsid w:val="008029AF"/>
    <w:rsid w:val="00802FFA"/>
    <w:rsid w:val="008102E5"/>
    <w:rsid w:val="008111B4"/>
    <w:rsid w:val="008133F0"/>
    <w:rsid w:val="00815880"/>
    <w:rsid w:val="00820672"/>
    <w:rsid w:val="00822B2C"/>
    <w:rsid w:val="0082322C"/>
    <w:rsid w:val="00823942"/>
    <w:rsid w:val="00827FFD"/>
    <w:rsid w:val="008359EF"/>
    <w:rsid w:val="00837425"/>
    <w:rsid w:val="00854535"/>
    <w:rsid w:val="00856EB3"/>
    <w:rsid w:val="008712DC"/>
    <w:rsid w:val="00873E9F"/>
    <w:rsid w:val="00874047"/>
    <w:rsid w:val="008778CB"/>
    <w:rsid w:val="008813E2"/>
    <w:rsid w:val="00881545"/>
    <w:rsid w:val="00883A3E"/>
    <w:rsid w:val="0089148D"/>
    <w:rsid w:val="00891E0D"/>
    <w:rsid w:val="0089795A"/>
    <w:rsid w:val="008A0F36"/>
    <w:rsid w:val="008A339A"/>
    <w:rsid w:val="008A655F"/>
    <w:rsid w:val="008B2543"/>
    <w:rsid w:val="008B4B6E"/>
    <w:rsid w:val="008B650F"/>
    <w:rsid w:val="008B7AC0"/>
    <w:rsid w:val="008B7D78"/>
    <w:rsid w:val="008D2C19"/>
    <w:rsid w:val="008D7401"/>
    <w:rsid w:val="008E7D06"/>
    <w:rsid w:val="008F1741"/>
    <w:rsid w:val="008F6848"/>
    <w:rsid w:val="00903DF6"/>
    <w:rsid w:val="0091254D"/>
    <w:rsid w:val="00913C64"/>
    <w:rsid w:val="00921CF6"/>
    <w:rsid w:val="009246F0"/>
    <w:rsid w:val="00924EF0"/>
    <w:rsid w:val="00934D7B"/>
    <w:rsid w:val="00943E33"/>
    <w:rsid w:val="00947180"/>
    <w:rsid w:val="009567BE"/>
    <w:rsid w:val="009676FA"/>
    <w:rsid w:val="009679E0"/>
    <w:rsid w:val="00977632"/>
    <w:rsid w:val="00982A8E"/>
    <w:rsid w:val="00987DB4"/>
    <w:rsid w:val="00992D99"/>
    <w:rsid w:val="00994BDF"/>
    <w:rsid w:val="00996204"/>
    <w:rsid w:val="009A26CB"/>
    <w:rsid w:val="009A2D37"/>
    <w:rsid w:val="009A7587"/>
    <w:rsid w:val="009B0A69"/>
    <w:rsid w:val="009C0DB6"/>
    <w:rsid w:val="009C2474"/>
    <w:rsid w:val="009C66D3"/>
    <w:rsid w:val="009C7082"/>
    <w:rsid w:val="009D0006"/>
    <w:rsid w:val="009D068C"/>
    <w:rsid w:val="009D67B5"/>
    <w:rsid w:val="009E2035"/>
    <w:rsid w:val="009E272D"/>
    <w:rsid w:val="009E443F"/>
    <w:rsid w:val="009E5ADD"/>
    <w:rsid w:val="009F39CD"/>
    <w:rsid w:val="009F3A2A"/>
    <w:rsid w:val="009F731F"/>
    <w:rsid w:val="00A021FE"/>
    <w:rsid w:val="00A1270E"/>
    <w:rsid w:val="00A15342"/>
    <w:rsid w:val="00A3007E"/>
    <w:rsid w:val="00A32048"/>
    <w:rsid w:val="00A41F06"/>
    <w:rsid w:val="00A50FD4"/>
    <w:rsid w:val="00A51147"/>
    <w:rsid w:val="00A52DB4"/>
    <w:rsid w:val="00A6126E"/>
    <w:rsid w:val="00A618E1"/>
    <w:rsid w:val="00A629B9"/>
    <w:rsid w:val="00A70C20"/>
    <w:rsid w:val="00A74292"/>
    <w:rsid w:val="00A776DE"/>
    <w:rsid w:val="00A80640"/>
    <w:rsid w:val="00A820C6"/>
    <w:rsid w:val="00A87AD6"/>
    <w:rsid w:val="00A87FFD"/>
    <w:rsid w:val="00A934D7"/>
    <w:rsid w:val="00A97038"/>
    <w:rsid w:val="00AA3C15"/>
    <w:rsid w:val="00AA5533"/>
    <w:rsid w:val="00AA6330"/>
    <w:rsid w:val="00AB1B43"/>
    <w:rsid w:val="00AC04CA"/>
    <w:rsid w:val="00AC7501"/>
    <w:rsid w:val="00AD748B"/>
    <w:rsid w:val="00AE4865"/>
    <w:rsid w:val="00AF50EE"/>
    <w:rsid w:val="00B04841"/>
    <w:rsid w:val="00B0591D"/>
    <w:rsid w:val="00B13402"/>
    <w:rsid w:val="00B14BC2"/>
    <w:rsid w:val="00B17024"/>
    <w:rsid w:val="00B17CD2"/>
    <w:rsid w:val="00B213D2"/>
    <w:rsid w:val="00B248BA"/>
    <w:rsid w:val="00B24B56"/>
    <w:rsid w:val="00B2615F"/>
    <w:rsid w:val="00B30E07"/>
    <w:rsid w:val="00B34ADD"/>
    <w:rsid w:val="00B367B2"/>
    <w:rsid w:val="00B52FF5"/>
    <w:rsid w:val="00B55A4E"/>
    <w:rsid w:val="00B56A2A"/>
    <w:rsid w:val="00B57219"/>
    <w:rsid w:val="00B61594"/>
    <w:rsid w:val="00B658A3"/>
    <w:rsid w:val="00B741CE"/>
    <w:rsid w:val="00B746A8"/>
    <w:rsid w:val="00B7664D"/>
    <w:rsid w:val="00B80989"/>
    <w:rsid w:val="00B91067"/>
    <w:rsid w:val="00B9109B"/>
    <w:rsid w:val="00B927AE"/>
    <w:rsid w:val="00B93721"/>
    <w:rsid w:val="00B937B1"/>
    <w:rsid w:val="00BA453C"/>
    <w:rsid w:val="00BA4E02"/>
    <w:rsid w:val="00BA7CBC"/>
    <w:rsid w:val="00BB2A6D"/>
    <w:rsid w:val="00BB4189"/>
    <w:rsid w:val="00BC19F7"/>
    <w:rsid w:val="00BC41ED"/>
    <w:rsid w:val="00BC7F38"/>
    <w:rsid w:val="00BD009E"/>
    <w:rsid w:val="00BD0EF8"/>
    <w:rsid w:val="00BD7A8C"/>
    <w:rsid w:val="00BE2126"/>
    <w:rsid w:val="00BE2852"/>
    <w:rsid w:val="00BE3B17"/>
    <w:rsid w:val="00BE796E"/>
    <w:rsid w:val="00BF1F00"/>
    <w:rsid w:val="00BF51AB"/>
    <w:rsid w:val="00BF716B"/>
    <w:rsid w:val="00BF7233"/>
    <w:rsid w:val="00C02AA2"/>
    <w:rsid w:val="00C04C95"/>
    <w:rsid w:val="00C12306"/>
    <w:rsid w:val="00C12613"/>
    <w:rsid w:val="00C14E16"/>
    <w:rsid w:val="00C162EC"/>
    <w:rsid w:val="00C16DEF"/>
    <w:rsid w:val="00C2492F"/>
    <w:rsid w:val="00C3744A"/>
    <w:rsid w:val="00C4002A"/>
    <w:rsid w:val="00C46912"/>
    <w:rsid w:val="00C612A8"/>
    <w:rsid w:val="00C64136"/>
    <w:rsid w:val="00C67631"/>
    <w:rsid w:val="00C729D7"/>
    <w:rsid w:val="00C83354"/>
    <w:rsid w:val="00C84004"/>
    <w:rsid w:val="00C843F6"/>
    <w:rsid w:val="00C84507"/>
    <w:rsid w:val="00C862C7"/>
    <w:rsid w:val="00C92019"/>
    <w:rsid w:val="00CA3254"/>
    <w:rsid w:val="00CB11CE"/>
    <w:rsid w:val="00CC25A2"/>
    <w:rsid w:val="00CD7F07"/>
    <w:rsid w:val="00CE04F3"/>
    <w:rsid w:val="00CE12D8"/>
    <w:rsid w:val="00CE4574"/>
    <w:rsid w:val="00CE70E6"/>
    <w:rsid w:val="00CF2E1E"/>
    <w:rsid w:val="00CF5AA7"/>
    <w:rsid w:val="00D02E99"/>
    <w:rsid w:val="00D13357"/>
    <w:rsid w:val="00D13A13"/>
    <w:rsid w:val="00D24F03"/>
    <w:rsid w:val="00D2689A"/>
    <w:rsid w:val="00D3010C"/>
    <w:rsid w:val="00D332E2"/>
    <w:rsid w:val="00D357AD"/>
    <w:rsid w:val="00D47A57"/>
    <w:rsid w:val="00D5366F"/>
    <w:rsid w:val="00D65506"/>
    <w:rsid w:val="00D72CFD"/>
    <w:rsid w:val="00D773CF"/>
    <w:rsid w:val="00D80F8B"/>
    <w:rsid w:val="00D817FC"/>
    <w:rsid w:val="00D83563"/>
    <w:rsid w:val="00D8448F"/>
    <w:rsid w:val="00DA4BA0"/>
    <w:rsid w:val="00DA64B6"/>
    <w:rsid w:val="00DB5C9D"/>
    <w:rsid w:val="00DD02E6"/>
    <w:rsid w:val="00DD2606"/>
    <w:rsid w:val="00DD4D77"/>
    <w:rsid w:val="00DE2151"/>
    <w:rsid w:val="00DF665B"/>
    <w:rsid w:val="00E0152A"/>
    <w:rsid w:val="00E03394"/>
    <w:rsid w:val="00E066E5"/>
    <w:rsid w:val="00E1353F"/>
    <w:rsid w:val="00E22F03"/>
    <w:rsid w:val="00E233C1"/>
    <w:rsid w:val="00E256CE"/>
    <w:rsid w:val="00E270D7"/>
    <w:rsid w:val="00E369F9"/>
    <w:rsid w:val="00E43DF5"/>
    <w:rsid w:val="00E51404"/>
    <w:rsid w:val="00E5538C"/>
    <w:rsid w:val="00E574C9"/>
    <w:rsid w:val="00E6069C"/>
    <w:rsid w:val="00E610DE"/>
    <w:rsid w:val="00E648EE"/>
    <w:rsid w:val="00E66167"/>
    <w:rsid w:val="00E71F2F"/>
    <w:rsid w:val="00E77786"/>
    <w:rsid w:val="00E806FB"/>
    <w:rsid w:val="00E80F2E"/>
    <w:rsid w:val="00EA6558"/>
    <w:rsid w:val="00EB1C2D"/>
    <w:rsid w:val="00EB7E9D"/>
    <w:rsid w:val="00EC0D4F"/>
    <w:rsid w:val="00EC1810"/>
    <w:rsid w:val="00EC3FCC"/>
    <w:rsid w:val="00EC52C2"/>
    <w:rsid w:val="00ED32FF"/>
    <w:rsid w:val="00EE4C88"/>
    <w:rsid w:val="00EF039B"/>
    <w:rsid w:val="00EF3D88"/>
    <w:rsid w:val="00EF4933"/>
    <w:rsid w:val="00EF5044"/>
    <w:rsid w:val="00F017C7"/>
    <w:rsid w:val="00F01956"/>
    <w:rsid w:val="00F03108"/>
    <w:rsid w:val="00F0514A"/>
    <w:rsid w:val="00F07FB0"/>
    <w:rsid w:val="00F116CE"/>
    <w:rsid w:val="00F127A3"/>
    <w:rsid w:val="00F176DE"/>
    <w:rsid w:val="00F21C47"/>
    <w:rsid w:val="00F244E2"/>
    <w:rsid w:val="00F24736"/>
    <w:rsid w:val="00F31A5B"/>
    <w:rsid w:val="00F340DE"/>
    <w:rsid w:val="00F34BE3"/>
    <w:rsid w:val="00F43542"/>
    <w:rsid w:val="00F527CB"/>
    <w:rsid w:val="00F54CD8"/>
    <w:rsid w:val="00F562AA"/>
    <w:rsid w:val="00F61A83"/>
    <w:rsid w:val="00F62BC0"/>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ABF"/>
    <w:rsid w:val="00FD689C"/>
    <w:rsid w:val="00FD705C"/>
    <w:rsid w:val="00FD777A"/>
    <w:rsid w:val="00FE260B"/>
    <w:rsid w:val="00FE32EB"/>
    <w:rsid w:val="00FE692E"/>
    <w:rsid w:val="00FF11F8"/>
    <w:rsid w:val="00FF2E7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63824"/>
  <w15:docId w15:val="{D1C63199-6383-4F19-874F-88641A0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D3ABF"/>
    <w:pPr>
      <w:spacing w:after="0" w:line="240" w:lineRule="auto"/>
    </w:pPr>
    <w:rPr>
      <w:rFonts w:eastAsiaTheme="minorEastAsia"/>
      <w:lang w:eastAsia="en-GB"/>
    </w:rPr>
  </w:style>
  <w:style w:type="paragraph" w:styleId="BodyText2">
    <w:name w:val="Body Text 2"/>
    <w:basedOn w:val="Normal"/>
    <w:link w:val="BodyText2Char"/>
    <w:rsid w:val="001B2A8E"/>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1B2A8E"/>
    <w:rPr>
      <w:rFonts w:ascii="Times New Roman" w:eastAsia="Times New Roman" w:hAnsi="Times New Roman" w:cs="Times New Roman"/>
      <w:sz w:val="20"/>
      <w:szCs w:val="20"/>
    </w:rPr>
  </w:style>
  <w:style w:type="character" w:styleId="Strong">
    <w:name w:val="Strong"/>
    <w:qFormat/>
    <w:rsid w:val="00D332E2"/>
    <w:rPr>
      <w:b/>
    </w:rPr>
  </w:style>
  <w:style w:type="character" w:customStyle="1" w:styleId="fontstyle01">
    <w:name w:val="fontstyle01"/>
    <w:basedOn w:val="DefaultParagraphFont"/>
    <w:rsid w:val="006A2011"/>
    <w:rPr>
      <w:rFonts w:ascii="Helvetica-Bold" w:hAnsi="Helvetica-Bold" w:hint="default"/>
      <w:b/>
      <w:bCs/>
      <w:i w:val="0"/>
      <w:iCs w:val="0"/>
      <w:color w:val="000000"/>
      <w:sz w:val="22"/>
      <w:szCs w:val="22"/>
    </w:rPr>
  </w:style>
  <w:style w:type="character" w:customStyle="1" w:styleId="fontstyle11">
    <w:name w:val="fontstyle11"/>
    <w:basedOn w:val="DefaultParagraphFont"/>
    <w:rsid w:val="006A2011"/>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7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1424488">
      <w:bodyDiv w:val="1"/>
      <w:marLeft w:val="0"/>
      <w:marRight w:val="0"/>
      <w:marTop w:val="0"/>
      <w:marBottom w:val="0"/>
      <w:divBdr>
        <w:top w:val="none" w:sz="0" w:space="0" w:color="auto"/>
        <w:left w:val="none" w:sz="0" w:space="0" w:color="auto"/>
        <w:bottom w:val="none" w:sz="0" w:space="0" w:color="auto"/>
        <w:right w:val="none" w:sz="0" w:space="0" w:color="auto"/>
      </w:divBdr>
      <w:divsChild>
        <w:div w:id="840970354">
          <w:marLeft w:val="0"/>
          <w:marRight w:val="300"/>
          <w:marTop w:val="225"/>
          <w:marBottom w:val="15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492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0B58C19310A4796BBC6B63A8CDED4" ma:contentTypeVersion="1" ma:contentTypeDescription="Create a new document." ma:contentTypeScope="" ma:versionID="e85c21abb99b85dfba51d50bfa069274">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E98D-4F8A-4BB6-AED5-643709D7C561}"/>
</file>

<file path=customXml/itemProps2.xml><?xml version="1.0" encoding="utf-8"?>
<ds:datastoreItem xmlns:ds="http://schemas.openxmlformats.org/officeDocument/2006/customXml" ds:itemID="{1E240499-8297-48D1-923E-190C764553CA}">
  <ds:schemaRefs>
    <ds:schemaRef ds:uri="http://schemas.microsoft.com/sharepoint/v3/contenttype/forms"/>
  </ds:schemaRefs>
</ds:datastoreItem>
</file>

<file path=customXml/itemProps3.xml><?xml version="1.0" encoding="utf-8"?>
<ds:datastoreItem xmlns:ds="http://schemas.openxmlformats.org/officeDocument/2006/customXml" ds:itemID="{E0B64228-C703-4386-AD31-E7D4715740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5EF97D-DFBE-4043-B9E1-2A550F1F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999EC0-BD24-4B94-A877-E551E8F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2015-09-09T08:37:00Z</cp:lastPrinted>
  <dcterms:created xsi:type="dcterms:W3CDTF">2019-02-28T12:28:00Z</dcterms:created>
  <dcterms:modified xsi:type="dcterms:W3CDTF">2019-02-28T12:32:00Z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cd1b524c-7874-4f84-ad56-e8a462e3152d</vt:lpwstr>
  </property>
</Properties>
</file>