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CAD8"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47FC0F9" w14:textId="03CD23BC" w:rsidR="00052340" w:rsidRDefault="0012541A" w:rsidP="00054FF8">
      <w:pPr>
        <w:spacing w:after="120" w:line="240" w:lineRule="auto"/>
        <w:ind w:left="1134" w:right="260" w:hanging="567"/>
        <w:jc w:val="both"/>
        <w:rPr>
          <w:rFonts w:ascii="Arial" w:hAnsi="Arial" w:cs="Arial"/>
        </w:rPr>
      </w:pPr>
      <w:r>
        <w:rPr>
          <w:rFonts w:ascii="Arial" w:hAnsi="Arial" w:cs="Arial"/>
        </w:rPr>
        <w:t xml:space="preserve">SOCI5440 (SO544) </w:t>
      </w:r>
      <w:r w:rsidR="00052340">
        <w:rPr>
          <w:rFonts w:ascii="Arial" w:hAnsi="Arial" w:cs="Arial"/>
        </w:rPr>
        <w:t>Gender, Work &amp; Equality</w:t>
      </w:r>
    </w:p>
    <w:p w14:paraId="241AD7B7" w14:textId="77777777" w:rsidR="00052340" w:rsidRPr="00302082" w:rsidRDefault="00052340" w:rsidP="00054FF8">
      <w:pPr>
        <w:spacing w:after="120" w:line="240" w:lineRule="auto"/>
        <w:ind w:left="1134" w:right="260" w:hanging="567"/>
        <w:jc w:val="both"/>
        <w:rPr>
          <w:rFonts w:ascii="Arial" w:hAnsi="Arial" w:cs="Arial"/>
        </w:rPr>
      </w:pPr>
    </w:p>
    <w:p w14:paraId="34D2575B" w14:textId="61859071" w:rsidR="00052340" w:rsidRPr="00302082" w:rsidRDefault="00054FF8" w:rsidP="00054FF8">
      <w:pPr>
        <w:numPr>
          <w:ilvl w:val="0"/>
          <w:numId w:val="1"/>
        </w:numPr>
        <w:spacing w:after="120" w:line="240" w:lineRule="auto"/>
        <w:ind w:left="567" w:right="260" w:hanging="567"/>
        <w:jc w:val="both"/>
        <w:rPr>
          <w:rFonts w:ascii="Arial" w:hAnsi="Arial" w:cs="Arial"/>
          <w:b/>
        </w:rPr>
      </w:pPr>
      <w:r>
        <w:rPr>
          <w:rFonts w:ascii="Arial" w:hAnsi="Arial" w:cs="Arial"/>
          <w:b/>
        </w:rPr>
        <w:t>Division</w:t>
      </w:r>
      <w:r w:rsidR="00052340" w:rsidRPr="00302082">
        <w:rPr>
          <w:rFonts w:ascii="Arial" w:hAnsi="Arial" w:cs="Arial"/>
          <w:b/>
        </w:rPr>
        <w:t xml:space="preserve"> or partner institution which will be responsible for management of the module</w:t>
      </w:r>
    </w:p>
    <w:p w14:paraId="046E09AA" w14:textId="4C90172D" w:rsidR="00052340" w:rsidRDefault="00054FF8" w:rsidP="00054FF8">
      <w:pPr>
        <w:spacing w:after="120" w:line="240" w:lineRule="auto"/>
        <w:ind w:left="1134" w:right="260" w:hanging="567"/>
        <w:jc w:val="both"/>
        <w:rPr>
          <w:rFonts w:ascii="Arial" w:hAnsi="Arial" w:cs="Arial"/>
          <w:iCs/>
        </w:rPr>
      </w:pPr>
      <w:r>
        <w:rPr>
          <w:rFonts w:ascii="Arial" w:hAnsi="Arial" w:cs="Arial"/>
          <w:iCs/>
        </w:rPr>
        <w:t xml:space="preserve">Law, Society and Social Justice: </w:t>
      </w:r>
      <w:r w:rsidR="00052340">
        <w:rPr>
          <w:rFonts w:ascii="Arial" w:hAnsi="Arial" w:cs="Arial"/>
          <w:iCs/>
        </w:rPr>
        <w:t>School of Social Policy, Sociology &amp; Social Research</w:t>
      </w:r>
    </w:p>
    <w:p w14:paraId="0C757CCD" w14:textId="77777777" w:rsidR="00052340" w:rsidRPr="0036174D" w:rsidRDefault="00052340" w:rsidP="00054FF8">
      <w:pPr>
        <w:spacing w:after="120" w:line="240" w:lineRule="auto"/>
        <w:ind w:left="1134" w:right="260" w:hanging="567"/>
        <w:jc w:val="both"/>
        <w:rPr>
          <w:rFonts w:ascii="Arial" w:hAnsi="Arial" w:cs="Arial"/>
          <w:iCs/>
        </w:rPr>
      </w:pPr>
    </w:p>
    <w:p w14:paraId="1241873D"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6EDDC90" w14:textId="77777777" w:rsidR="00052340" w:rsidRDefault="00052340" w:rsidP="00054FF8">
      <w:pPr>
        <w:spacing w:after="120" w:line="240" w:lineRule="auto"/>
        <w:ind w:left="1134" w:right="260" w:hanging="567"/>
        <w:jc w:val="both"/>
        <w:rPr>
          <w:rFonts w:ascii="Arial" w:hAnsi="Arial" w:cs="Arial"/>
          <w:iCs/>
        </w:rPr>
      </w:pPr>
      <w:r>
        <w:rPr>
          <w:rFonts w:ascii="Arial" w:hAnsi="Arial" w:cs="Arial"/>
          <w:iCs/>
        </w:rPr>
        <w:t>6</w:t>
      </w:r>
    </w:p>
    <w:p w14:paraId="1E33835D" w14:textId="77777777" w:rsidR="00052340" w:rsidRPr="0036174D" w:rsidRDefault="00052340" w:rsidP="00054FF8">
      <w:pPr>
        <w:spacing w:after="120" w:line="240" w:lineRule="auto"/>
        <w:ind w:left="1134" w:right="260" w:hanging="567"/>
        <w:jc w:val="both"/>
        <w:rPr>
          <w:rFonts w:ascii="Arial" w:hAnsi="Arial" w:cs="Arial"/>
          <w:iCs/>
        </w:rPr>
      </w:pPr>
    </w:p>
    <w:p w14:paraId="394354C9"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18803A" w14:textId="19B8E613" w:rsidR="00052340" w:rsidRDefault="00052340" w:rsidP="00054FF8">
      <w:pPr>
        <w:spacing w:after="120" w:line="240" w:lineRule="auto"/>
        <w:ind w:left="426" w:right="260" w:firstLine="141"/>
        <w:jc w:val="both"/>
        <w:rPr>
          <w:rFonts w:ascii="Arial" w:hAnsi="Arial" w:cs="Arial"/>
        </w:rPr>
      </w:pPr>
      <w:r>
        <w:rPr>
          <w:rFonts w:ascii="Arial" w:hAnsi="Arial" w:cs="Arial"/>
        </w:rPr>
        <w:t>15 Credits (7.5</w:t>
      </w:r>
      <w:r w:rsidR="00054FF8">
        <w:rPr>
          <w:rFonts w:ascii="Arial" w:hAnsi="Arial" w:cs="Arial"/>
        </w:rPr>
        <w:t xml:space="preserve"> </w:t>
      </w:r>
      <w:r>
        <w:rPr>
          <w:rFonts w:ascii="Arial" w:hAnsi="Arial" w:cs="Arial"/>
        </w:rPr>
        <w:t>ECTS)</w:t>
      </w:r>
    </w:p>
    <w:p w14:paraId="31FC2FC6" w14:textId="77777777" w:rsidR="00052340" w:rsidRPr="0036174D" w:rsidRDefault="00052340" w:rsidP="00054FF8">
      <w:pPr>
        <w:spacing w:after="120" w:line="240" w:lineRule="auto"/>
        <w:ind w:left="426" w:right="260" w:firstLine="141"/>
        <w:jc w:val="both"/>
        <w:rPr>
          <w:rFonts w:ascii="Arial" w:hAnsi="Arial" w:cs="Arial"/>
        </w:rPr>
      </w:pPr>
    </w:p>
    <w:p w14:paraId="32C19EB0"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8F1A505" w14:textId="7E454B55" w:rsidR="00052340" w:rsidRDefault="00F61DE1" w:rsidP="00054FF8">
      <w:pPr>
        <w:spacing w:after="120" w:line="240" w:lineRule="auto"/>
        <w:ind w:left="1134" w:right="260" w:hanging="567"/>
        <w:jc w:val="both"/>
        <w:rPr>
          <w:rFonts w:ascii="Arial" w:hAnsi="Arial" w:cs="Arial"/>
          <w:iCs/>
        </w:rPr>
      </w:pPr>
      <w:r>
        <w:rPr>
          <w:rFonts w:ascii="Arial" w:hAnsi="Arial" w:cs="Arial"/>
          <w:iCs/>
        </w:rPr>
        <w:t xml:space="preserve">Autumn term (term 1) or </w:t>
      </w:r>
      <w:r w:rsidR="0012541A">
        <w:rPr>
          <w:rFonts w:ascii="Arial" w:hAnsi="Arial" w:cs="Arial"/>
          <w:iCs/>
        </w:rPr>
        <w:t>S</w:t>
      </w:r>
      <w:r w:rsidR="00052340">
        <w:rPr>
          <w:rFonts w:ascii="Arial" w:hAnsi="Arial" w:cs="Arial"/>
          <w:iCs/>
        </w:rPr>
        <w:t>pring</w:t>
      </w:r>
      <w:r w:rsidR="00CD0AA4">
        <w:rPr>
          <w:rFonts w:ascii="Arial" w:hAnsi="Arial" w:cs="Arial"/>
          <w:iCs/>
        </w:rPr>
        <w:t xml:space="preserve"> </w:t>
      </w:r>
      <w:r w:rsidR="0012541A">
        <w:rPr>
          <w:rFonts w:ascii="Arial" w:hAnsi="Arial" w:cs="Arial"/>
          <w:iCs/>
        </w:rPr>
        <w:t>T</w:t>
      </w:r>
      <w:r w:rsidR="00052340">
        <w:rPr>
          <w:rFonts w:ascii="Arial" w:hAnsi="Arial" w:cs="Arial"/>
          <w:iCs/>
        </w:rPr>
        <w:t>erm</w:t>
      </w:r>
      <w:r w:rsidR="00117B51">
        <w:rPr>
          <w:rFonts w:ascii="Arial" w:hAnsi="Arial" w:cs="Arial"/>
          <w:iCs/>
        </w:rPr>
        <w:t xml:space="preserve"> (term 2)</w:t>
      </w:r>
    </w:p>
    <w:p w14:paraId="79549DE9" w14:textId="77777777" w:rsidR="00052340" w:rsidRPr="0036174D" w:rsidRDefault="00052340" w:rsidP="00054FF8">
      <w:pPr>
        <w:spacing w:after="120" w:line="240" w:lineRule="auto"/>
        <w:ind w:left="1134" w:right="260" w:hanging="567"/>
        <w:jc w:val="both"/>
        <w:rPr>
          <w:rFonts w:ascii="Arial" w:hAnsi="Arial" w:cs="Arial"/>
          <w:iCs/>
        </w:rPr>
      </w:pPr>
    </w:p>
    <w:p w14:paraId="3E3ADF77"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9BC0C1" w14:textId="29B2F86C" w:rsidR="00052340" w:rsidRPr="00FC0F13" w:rsidRDefault="00052340" w:rsidP="00054FF8">
      <w:pPr>
        <w:pStyle w:val="ListParagraph"/>
        <w:spacing w:after="120" w:line="240" w:lineRule="auto"/>
        <w:ind w:left="502" w:right="260" w:firstLine="65"/>
        <w:jc w:val="both"/>
        <w:rPr>
          <w:rFonts w:ascii="Arial" w:hAnsi="Arial" w:cs="Arial"/>
        </w:rPr>
      </w:pPr>
      <w:r w:rsidRPr="00FC0F13">
        <w:rPr>
          <w:rFonts w:ascii="Arial" w:hAnsi="Arial" w:cs="Arial"/>
        </w:rPr>
        <w:t>No</w:t>
      </w:r>
      <w:r w:rsidR="00F61DE1">
        <w:rPr>
          <w:rFonts w:ascii="Arial" w:hAnsi="Arial" w:cs="Arial"/>
        </w:rPr>
        <w:t>ne</w:t>
      </w:r>
      <w:r w:rsidRPr="00FC0F13">
        <w:rPr>
          <w:rFonts w:ascii="Arial" w:hAnsi="Arial" w:cs="Arial"/>
        </w:rPr>
        <w:t xml:space="preserve"> </w:t>
      </w:r>
    </w:p>
    <w:p w14:paraId="393E94DD" w14:textId="77777777" w:rsidR="00052340" w:rsidRPr="0036174D" w:rsidRDefault="00052340" w:rsidP="00054FF8">
      <w:pPr>
        <w:spacing w:after="120" w:line="240" w:lineRule="auto"/>
        <w:ind w:left="1134" w:right="260" w:hanging="567"/>
        <w:jc w:val="both"/>
        <w:rPr>
          <w:rFonts w:ascii="Arial" w:hAnsi="Arial" w:cs="Arial"/>
          <w:iCs/>
        </w:rPr>
      </w:pPr>
    </w:p>
    <w:p w14:paraId="30E1B9BA"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9EED6F" w14:textId="15A35536" w:rsidR="00052340" w:rsidRPr="00FC0F13" w:rsidRDefault="00052340" w:rsidP="00054FF8">
      <w:pPr>
        <w:pStyle w:val="ListParagraph"/>
        <w:spacing w:after="120" w:line="240" w:lineRule="auto"/>
        <w:ind w:left="567" w:right="260"/>
        <w:jc w:val="both"/>
        <w:rPr>
          <w:rFonts w:ascii="Arial" w:hAnsi="Arial" w:cs="Arial"/>
        </w:rPr>
      </w:pPr>
      <w:r w:rsidRPr="00FC0F13">
        <w:rPr>
          <w:rFonts w:ascii="Arial" w:hAnsi="Arial" w:cs="Arial"/>
        </w:rPr>
        <w:t>BA Sociology</w:t>
      </w:r>
      <w:r w:rsidR="00974554">
        <w:rPr>
          <w:rFonts w:ascii="Arial" w:hAnsi="Arial" w:cs="Arial"/>
        </w:rPr>
        <w:t xml:space="preserve"> – optional module</w:t>
      </w:r>
    </w:p>
    <w:p w14:paraId="1207A580" w14:textId="50E6AE77" w:rsidR="00052340" w:rsidRPr="00FC0F13" w:rsidRDefault="00052340" w:rsidP="00054FF8">
      <w:pPr>
        <w:pStyle w:val="ListParagraph"/>
        <w:spacing w:after="120" w:line="240" w:lineRule="auto"/>
        <w:ind w:left="567" w:right="260"/>
        <w:jc w:val="both"/>
        <w:rPr>
          <w:rFonts w:ascii="Arial" w:hAnsi="Arial" w:cs="Arial"/>
        </w:rPr>
      </w:pPr>
      <w:r w:rsidRPr="00FC0F13">
        <w:rPr>
          <w:rFonts w:ascii="Arial" w:hAnsi="Arial" w:cs="Arial"/>
        </w:rPr>
        <w:t>BA Social Policy</w:t>
      </w:r>
      <w:r w:rsidR="00974554">
        <w:rPr>
          <w:rFonts w:ascii="Arial" w:hAnsi="Arial" w:cs="Arial"/>
        </w:rPr>
        <w:t xml:space="preserve"> – optional module</w:t>
      </w:r>
    </w:p>
    <w:p w14:paraId="4A64E1BC" w14:textId="51F0FEE8" w:rsidR="00052340" w:rsidRPr="00FC0F13" w:rsidRDefault="00052340" w:rsidP="00054FF8">
      <w:pPr>
        <w:pStyle w:val="ListParagraph"/>
        <w:spacing w:after="120" w:line="240" w:lineRule="auto"/>
        <w:ind w:left="567" w:right="260"/>
        <w:jc w:val="both"/>
        <w:rPr>
          <w:rFonts w:ascii="Arial" w:hAnsi="Arial" w:cs="Arial"/>
        </w:rPr>
      </w:pPr>
      <w:r w:rsidRPr="00FC0F13">
        <w:rPr>
          <w:rFonts w:ascii="Arial" w:hAnsi="Arial" w:cs="Arial"/>
        </w:rPr>
        <w:t>Other relevant degrees offered by SSPSSR and as a</w:t>
      </w:r>
      <w:r w:rsidR="008B7FB6">
        <w:rPr>
          <w:rFonts w:ascii="Arial" w:hAnsi="Arial" w:cs="Arial"/>
        </w:rPr>
        <w:t>n</w:t>
      </w:r>
      <w:r w:rsidRPr="00FC0F13">
        <w:rPr>
          <w:rFonts w:ascii="Arial" w:hAnsi="Arial" w:cs="Arial"/>
        </w:rPr>
        <w:t xml:space="preserve"> </w:t>
      </w:r>
      <w:r w:rsidR="00117B51">
        <w:rPr>
          <w:rFonts w:ascii="Arial" w:hAnsi="Arial" w:cs="Arial"/>
        </w:rPr>
        <w:t xml:space="preserve">elective </w:t>
      </w:r>
      <w:r w:rsidRPr="00FC0F13">
        <w:rPr>
          <w:rFonts w:ascii="Arial" w:hAnsi="Arial" w:cs="Arial"/>
        </w:rPr>
        <w:t>module for students outside SSPSSR</w:t>
      </w:r>
    </w:p>
    <w:p w14:paraId="1B34D904" w14:textId="77777777" w:rsidR="00052340" w:rsidRPr="0036174D" w:rsidRDefault="00052340" w:rsidP="00054FF8">
      <w:pPr>
        <w:spacing w:after="120" w:line="240" w:lineRule="auto"/>
        <w:ind w:left="1134" w:right="260" w:hanging="567"/>
        <w:jc w:val="both"/>
        <w:rPr>
          <w:rFonts w:ascii="Arial" w:hAnsi="Arial" w:cs="Arial"/>
          <w:iCs/>
        </w:rPr>
      </w:pPr>
    </w:p>
    <w:p w14:paraId="5576419F" w14:textId="457361EE" w:rsidR="00052340" w:rsidRPr="00302082" w:rsidRDefault="00052340" w:rsidP="00054FF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4C0626E" w14:textId="256FE28C" w:rsidR="00052340" w:rsidRPr="00FC0F13" w:rsidRDefault="00AA296E"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E</w:t>
      </w:r>
      <w:r w:rsidR="00052340" w:rsidRPr="00FC0F13">
        <w:rPr>
          <w:rFonts w:ascii="Arial" w:hAnsi="Arial" w:cs="Arial"/>
        </w:rPr>
        <w:t>xpla</w:t>
      </w:r>
      <w:r>
        <w:rPr>
          <w:rFonts w:ascii="Arial" w:hAnsi="Arial" w:cs="Arial"/>
        </w:rPr>
        <w:t>in</w:t>
      </w:r>
      <w:r w:rsidR="00052340" w:rsidRPr="00FC0F13">
        <w:rPr>
          <w:rFonts w:ascii="Arial" w:hAnsi="Arial" w:cs="Arial"/>
        </w:rPr>
        <w:t xml:space="preserve"> </w:t>
      </w:r>
      <w:r w:rsidRPr="00FC0F13">
        <w:rPr>
          <w:rFonts w:ascii="Arial" w:hAnsi="Arial" w:cs="Arial"/>
        </w:rPr>
        <w:t>the nature of the relationship between ‘work’ and  ‘gender’</w:t>
      </w:r>
      <w:r>
        <w:rPr>
          <w:rFonts w:ascii="Arial" w:hAnsi="Arial" w:cs="Arial"/>
        </w:rPr>
        <w:t xml:space="preserve">, with a </w:t>
      </w:r>
      <w:r w:rsidR="001F6E14">
        <w:rPr>
          <w:rFonts w:ascii="Arial" w:hAnsi="Arial" w:cs="Arial"/>
        </w:rPr>
        <w:t>systematic</w:t>
      </w:r>
      <w:r>
        <w:rPr>
          <w:rFonts w:ascii="Arial" w:hAnsi="Arial" w:cs="Arial"/>
        </w:rPr>
        <w:t xml:space="preserve"> understanding of the current </w:t>
      </w:r>
      <w:r w:rsidR="00052340" w:rsidRPr="00FC0F13">
        <w:rPr>
          <w:rFonts w:ascii="Arial" w:hAnsi="Arial" w:cs="Arial"/>
        </w:rPr>
        <w:t xml:space="preserve">debates </w:t>
      </w:r>
      <w:r>
        <w:rPr>
          <w:rFonts w:ascii="Arial" w:hAnsi="Arial" w:cs="Arial"/>
        </w:rPr>
        <w:t>around these issues</w:t>
      </w:r>
    </w:p>
    <w:p w14:paraId="538CDE7E" w14:textId="1873DC83" w:rsidR="00052340" w:rsidRPr="00FC0F13" w:rsidRDefault="00906918"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 xml:space="preserve">Possess a systematic understanding of </w:t>
      </w:r>
      <w:r w:rsidR="00052340" w:rsidRPr="00FC0F13">
        <w:rPr>
          <w:rFonts w:ascii="Arial" w:hAnsi="Arial" w:cs="Arial"/>
        </w:rPr>
        <w:t>the nature of division of labour in modern day society</w:t>
      </w:r>
      <w:r w:rsidR="00AA296E">
        <w:rPr>
          <w:rFonts w:ascii="Arial" w:hAnsi="Arial" w:cs="Arial"/>
        </w:rPr>
        <w:t>, and the debates and trends in the division of labour</w:t>
      </w:r>
    </w:p>
    <w:p w14:paraId="5E405B04" w14:textId="2FDF53F3" w:rsidR="00052340" w:rsidRPr="00FC0F13" w:rsidRDefault="001F6E14"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 xml:space="preserve">Possess a systematic understanding of </w:t>
      </w:r>
      <w:r w:rsidR="00052340" w:rsidRPr="00FC0F13">
        <w:rPr>
          <w:rFonts w:ascii="Arial" w:hAnsi="Arial" w:cs="Arial"/>
        </w:rPr>
        <w:t>the role of social norms, social and national institutions in the way work is divided between men and women</w:t>
      </w:r>
    </w:p>
    <w:p w14:paraId="65F0A116" w14:textId="22F107C6" w:rsidR="00052340" w:rsidRPr="00FC0F13" w:rsidRDefault="00AA296E"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I</w:t>
      </w:r>
      <w:r w:rsidR="00052340" w:rsidRPr="00FC0F13">
        <w:rPr>
          <w:rFonts w:ascii="Arial" w:hAnsi="Arial" w:cs="Arial"/>
        </w:rPr>
        <w:t>dentify and critically evaluate the key factors influencing the division of labour both in the labour market and within the household</w:t>
      </w:r>
    </w:p>
    <w:p w14:paraId="5B60B3C3" w14:textId="6186C098" w:rsidR="00052340" w:rsidRPr="00FC0F13" w:rsidRDefault="00AA296E"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I</w:t>
      </w:r>
      <w:r w:rsidR="00052340" w:rsidRPr="00FC0F13">
        <w:rPr>
          <w:rFonts w:ascii="Arial" w:hAnsi="Arial" w:cs="Arial"/>
        </w:rPr>
        <w:t>dentify and critically evaluate the main policy developments in Britain and in Europe in the area of the work-life balance and family policies</w:t>
      </w:r>
    </w:p>
    <w:p w14:paraId="27DD39D3" w14:textId="25A45A42" w:rsidR="00052340" w:rsidRPr="00FC0F13" w:rsidRDefault="001F6E14"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Critically e</w:t>
      </w:r>
      <w:r w:rsidR="00052340" w:rsidRPr="00FC0F13">
        <w:rPr>
          <w:rFonts w:ascii="Arial" w:hAnsi="Arial" w:cs="Arial"/>
        </w:rPr>
        <w:t xml:space="preserve">valuate, </w:t>
      </w:r>
      <w:r w:rsidR="00AA296E">
        <w:rPr>
          <w:rFonts w:ascii="Arial" w:hAnsi="Arial" w:cs="Arial"/>
        </w:rPr>
        <w:t xml:space="preserve">and be aware of, </w:t>
      </w:r>
      <w:r w:rsidR="00052340" w:rsidRPr="00FC0F13">
        <w:rPr>
          <w:rFonts w:ascii="Arial" w:hAnsi="Arial" w:cs="Arial"/>
        </w:rPr>
        <w:t xml:space="preserve">the relevant social scientific literature and empirical evidence </w:t>
      </w:r>
      <w:r w:rsidR="00CD0AA4">
        <w:rPr>
          <w:rFonts w:ascii="Arial" w:hAnsi="Arial" w:cs="Arial"/>
        </w:rPr>
        <w:t xml:space="preserve">(including qualitative and quantitative evidence) </w:t>
      </w:r>
      <w:r w:rsidR="00052340" w:rsidRPr="00FC0F13">
        <w:rPr>
          <w:rFonts w:ascii="Arial" w:hAnsi="Arial" w:cs="Arial"/>
        </w:rPr>
        <w:t>in the field (in particular, major research  studies of recent years)</w:t>
      </w:r>
    </w:p>
    <w:p w14:paraId="6D002266" w14:textId="75A416AD" w:rsidR="00052340" w:rsidRPr="00FC0F13" w:rsidRDefault="00AA296E" w:rsidP="00054FF8">
      <w:pPr>
        <w:pStyle w:val="ListParagraph"/>
        <w:numPr>
          <w:ilvl w:val="0"/>
          <w:numId w:val="3"/>
        </w:numPr>
        <w:spacing w:after="0" w:line="240" w:lineRule="auto"/>
        <w:ind w:left="1134" w:right="260" w:hanging="567"/>
        <w:jc w:val="both"/>
        <w:rPr>
          <w:rFonts w:ascii="Arial" w:hAnsi="Arial" w:cs="Arial"/>
        </w:rPr>
      </w:pPr>
      <w:r>
        <w:rPr>
          <w:rFonts w:ascii="Arial" w:hAnsi="Arial" w:cs="Arial"/>
        </w:rPr>
        <w:t>D</w:t>
      </w:r>
      <w:r w:rsidR="00052340" w:rsidRPr="00FC0F13">
        <w:rPr>
          <w:rFonts w:ascii="Arial" w:hAnsi="Arial" w:cs="Arial"/>
        </w:rPr>
        <w:t xml:space="preserve">emonstrate an ability to assess </w:t>
      </w:r>
      <w:r w:rsidR="001F6E14">
        <w:rPr>
          <w:rFonts w:ascii="Arial" w:hAnsi="Arial" w:cs="Arial"/>
        </w:rPr>
        <w:t xml:space="preserve">and critically evaluate </w:t>
      </w:r>
      <w:r w:rsidR="00052340" w:rsidRPr="00FC0F13">
        <w:rPr>
          <w:rFonts w:ascii="Arial" w:hAnsi="Arial" w:cs="Arial"/>
        </w:rPr>
        <w:t>the validity of explanations given for the problem of the gender inequalities prevalent in our labour market and the relevance of difference policy responses</w:t>
      </w:r>
    </w:p>
    <w:p w14:paraId="39349F96" w14:textId="77777777" w:rsidR="00052340" w:rsidRPr="0036174D" w:rsidRDefault="00052340" w:rsidP="00054FF8">
      <w:pPr>
        <w:spacing w:after="120" w:line="240" w:lineRule="auto"/>
        <w:ind w:left="567" w:right="260" w:hanging="567"/>
        <w:jc w:val="both"/>
        <w:rPr>
          <w:rFonts w:ascii="Arial" w:hAnsi="Arial" w:cs="Arial"/>
        </w:rPr>
      </w:pPr>
    </w:p>
    <w:p w14:paraId="32DB1323" w14:textId="288CCE99" w:rsidR="00052340" w:rsidRPr="001F6E14" w:rsidRDefault="0012541A" w:rsidP="00054FF8">
      <w:pPr>
        <w:pStyle w:val="ListParagraph"/>
        <w:numPr>
          <w:ilvl w:val="0"/>
          <w:numId w:val="1"/>
        </w:numPr>
        <w:spacing w:after="0" w:line="259" w:lineRule="auto"/>
        <w:ind w:left="567" w:right="260" w:hanging="567"/>
        <w:rPr>
          <w:rFonts w:ascii="Arial" w:hAnsi="Arial" w:cs="Arial"/>
          <w:b/>
        </w:rPr>
      </w:pPr>
      <w:r w:rsidRPr="001F6E14">
        <w:rPr>
          <w:rFonts w:ascii="Arial" w:hAnsi="Arial" w:cs="Arial"/>
          <w:b/>
        </w:rPr>
        <w:br w:type="page"/>
      </w:r>
      <w:r w:rsidR="00052340" w:rsidRPr="001F6E14">
        <w:rPr>
          <w:rFonts w:ascii="Arial" w:hAnsi="Arial" w:cs="Arial"/>
          <w:b/>
        </w:rPr>
        <w:lastRenderedPageBreak/>
        <w:t>The intended generic learning outcomes.</w:t>
      </w:r>
      <w:r w:rsidR="00052340" w:rsidRPr="001F6E14">
        <w:rPr>
          <w:rFonts w:ascii="Arial" w:hAnsi="Arial" w:cs="Arial"/>
          <w:b/>
        </w:rPr>
        <w:br/>
        <w:t>On successfully completing the module students will be able to:</w:t>
      </w:r>
    </w:p>
    <w:p w14:paraId="1979F0CC" w14:textId="51BA4590" w:rsidR="00052340" w:rsidRPr="00FC0F13" w:rsidRDefault="001346C7" w:rsidP="00054FF8">
      <w:pPr>
        <w:pStyle w:val="ListParagraph"/>
        <w:numPr>
          <w:ilvl w:val="0"/>
          <w:numId w:val="4"/>
        </w:numPr>
        <w:spacing w:after="0" w:line="240" w:lineRule="auto"/>
        <w:ind w:left="1134" w:right="260" w:hanging="567"/>
        <w:jc w:val="both"/>
        <w:rPr>
          <w:rFonts w:ascii="Arial" w:hAnsi="Arial" w:cs="Arial"/>
        </w:rPr>
      </w:pPr>
      <w:r>
        <w:rPr>
          <w:rFonts w:ascii="Arial" w:hAnsi="Arial" w:cs="Arial"/>
        </w:rPr>
        <w:t>Demonstrate the ability t</w:t>
      </w:r>
      <w:r w:rsidR="001F6E14">
        <w:rPr>
          <w:rFonts w:ascii="Arial" w:hAnsi="Arial" w:cs="Arial"/>
        </w:rPr>
        <w:t xml:space="preserve">o undertake independent </w:t>
      </w:r>
      <w:r w:rsidR="00052340" w:rsidRPr="00FC0F13">
        <w:rPr>
          <w:rFonts w:ascii="Arial" w:hAnsi="Arial" w:cs="Arial"/>
        </w:rPr>
        <w:t xml:space="preserve">research using library and on-line resources </w:t>
      </w:r>
    </w:p>
    <w:p w14:paraId="761775BB" w14:textId="3FC059D4" w:rsidR="00052340" w:rsidRPr="00FC0F13" w:rsidRDefault="00F61DE1" w:rsidP="00054FF8">
      <w:pPr>
        <w:pStyle w:val="ListParagraph"/>
        <w:numPr>
          <w:ilvl w:val="0"/>
          <w:numId w:val="4"/>
        </w:numPr>
        <w:spacing w:after="0" w:line="240" w:lineRule="auto"/>
        <w:ind w:left="1134" w:right="260" w:hanging="567"/>
        <w:jc w:val="both"/>
        <w:rPr>
          <w:rFonts w:ascii="Arial" w:hAnsi="Arial" w:cs="Arial"/>
        </w:rPr>
      </w:pPr>
      <w:r>
        <w:rPr>
          <w:rFonts w:ascii="Arial" w:hAnsi="Arial" w:cs="Arial"/>
        </w:rPr>
        <w:t xml:space="preserve">Communicate using a range of methods to both specialist and generalist audiences </w:t>
      </w:r>
    </w:p>
    <w:p w14:paraId="7D0C8CE7" w14:textId="74E7CDBA" w:rsidR="00052340" w:rsidRPr="00FC0F13" w:rsidRDefault="00AA296E" w:rsidP="00054FF8">
      <w:pPr>
        <w:pStyle w:val="ListParagraph"/>
        <w:numPr>
          <w:ilvl w:val="0"/>
          <w:numId w:val="4"/>
        </w:numPr>
        <w:spacing w:after="0" w:line="240" w:lineRule="auto"/>
        <w:ind w:left="1134" w:right="260" w:hanging="567"/>
        <w:jc w:val="both"/>
        <w:rPr>
          <w:rFonts w:ascii="Arial" w:hAnsi="Arial" w:cs="Arial"/>
        </w:rPr>
      </w:pPr>
      <w:r>
        <w:rPr>
          <w:rFonts w:ascii="Arial" w:hAnsi="Arial" w:cs="Arial"/>
        </w:rPr>
        <w:t>D</w:t>
      </w:r>
      <w:r w:rsidR="00052340" w:rsidRPr="00FC0F13">
        <w:rPr>
          <w:rFonts w:ascii="Arial" w:hAnsi="Arial" w:cs="Arial"/>
        </w:rPr>
        <w:t>emonstrate an ability to use research method tools</w:t>
      </w:r>
      <w:r w:rsidR="009408FF">
        <w:rPr>
          <w:rFonts w:ascii="Arial" w:hAnsi="Arial" w:cs="Arial"/>
        </w:rPr>
        <w:t xml:space="preserve"> (quantitative or qualitative)</w:t>
      </w:r>
      <w:r w:rsidR="00052340" w:rsidRPr="00FC0F13">
        <w:rPr>
          <w:rFonts w:ascii="Arial" w:hAnsi="Arial" w:cs="Arial"/>
        </w:rPr>
        <w:t xml:space="preserve"> to explain a research question</w:t>
      </w:r>
    </w:p>
    <w:p w14:paraId="6586716D" w14:textId="7BCC46C9" w:rsidR="00052340" w:rsidRPr="00FC0F13" w:rsidRDefault="00AA296E" w:rsidP="00054FF8">
      <w:pPr>
        <w:pStyle w:val="ListParagraph"/>
        <w:numPr>
          <w:ilvl w:val="0"/>
          <w:numId w:val="4"/>
        </w:numPr>
        <w:spacing w:after="0" w:line="240" w:lineRule="auto"/>
        <w:ind w:left="1134" w:right="260" w:hanging="567"/>
        <w:jc w:val="both"/>
        <w:rPr>
          <w:rFonts w:ascii="Arial" w:hAnsi="Arial" w:cs="Arial"/>
        </w:rPr>
      </w:pPr>
      <w:r>
        <w:rPr>
          <w:rFonts w:ascii="Arial" w:hAnsi="Arial" w:cs="Arial"/>
        </w:rPr>
        <w:t>C</w:t>
      </w:r>
      <w:r w:rsidR="00052340" w:rsidRPr="00FC0F13">
        <w:rPr>
          <w:rFonts w:ascii="Arial" w:hAnsi="Arial" w:cs="Arial"/>
        </w:rPr>
        <w:t xml:space="preserve">ritically evaluate a research method </w:t>
      </w:r>
      <w:r w:rsidR="00092EEC">
        <w:rPr>
          <w:rFonts w:ascii="Arial" w:hAnsi="Arial" w:cs="Arial"/>
        </w:rPr>
        <w:t>(</w:t>
      </w:r>
      <w:r w:rsidR="00993BA8">
        <w:rPr>
          <w:rFonts w:ascii="Arial" w:hAnsi="Arial" w:cs="Arial"/>
        </w:rPr>
        <w:t xml:space="preserve">quantitative and qualitative) </w:t>
      </w:r>
      <w:r w:rsidR="00052340" w:rsidRPr="00FC0F13">
        <w:rPr>
          <w:rFonts w:ascii="Arial" w:hAnsi="Arial" w:cs="Arial"/>
        </w:rPr>
        <w:t>used in an academic or social study</w:t>
      </w:r>
    </w:p>
    <w:p w14:paraId="71BA5802" w14:textId="77777777" w:rsidR="00052340" w:rsidRPr="0036174D" w:rsidRDefault="00052340" w:rsidP="00054FF8">
      <w:pPr>
        <w:spacing w:after="120" w:line="240" w:lineRule="auto"/>
        <w:ind w:left="567" w:right="260" w:hanging="567"/>
        <w:jc w:val="both"/>
        <w:rPr>
          <w:rFonts w:ascii="Arial" w:hAnsi="Arial" w:cs="Arial"/>
        </w:rPr>
      </w:pPr>
    </w:p>
    <w:p w14:paraId="14CF36C5"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C74E8B9" w14:textId="77777777" w:rsidR="00052340" w:rsidRPr="00FC0F13" w:rsidRDefault="00052340" w:rsidP="00054FF8">
      <w:pPr>
        <w:pStyle w:val="ListParagraph"/>
        <w:spacing w:after="120" w:line="240" w:lineRule="auto"/>
        <w:ind w:left="567" w:right="260"/>
        <w:jc w:val="both"/>
        <w:rPr>
          <w:rFonts w:ascii="Arial" w:hAnsi="Arial" w:cs="Arial"/>
        </w:rPr>
      </w:pPr>
      <w:r w:rsidRPr="00FC0F13">
        <w:rPr>
          <w:rFonts w:ascii="Arial" w:hAnsi="Arial" w:cs="Arial"/>
        </w:rPr>
        <w:t>The key focus of this course is to provide students with a good understanding of issues surrounding gender and the labour market in a comparative sociological perspective.  The course is designed around the core research questions in the gender inequality literature in relation to work-life balance in the context of family, company, the labour market and the welfare states.  The module starts off examining the key questions of whether there is a gender wage gap and each week discusses the potential explanation of why there is a gender gap, starting with the preference theory – women earn less because they make bad choices in their lives, moving on to more structural problems restricting women’s choices. We also examine some of the key methods which gender inequality research has used recently.</w:t>
      </w:r>
    </w:p>
    <w:p w14:paraId="5C10F425" w14:textId="77777777" w:rsidR="00052340" w:rsidRPr="0036174D" w:rsidRDefault="00052340" w:rsidP="00054FF8">
      <w:pPr>
        <w:spacing w:after="120" w:line="240" w:lineRule="auto"/>
        <w:ind w:left="567" w:right="260" w:hanging="567"/>
        <w:jc w:val="both"/>
        <w:rPr>
          <w:rFonts w:ascii="Arial" w:hAnsi="Arial" w:cs="Arial"/>
          <w:iCs/>
        </w:rPr>
      </w:pPr>
    </w:p>
    <w:p w14:paraId="117321DC" w14:textId="77777777" w:rsidR="00052340" w:rsidRPr="00302082" w:rsidRDefault="00052340" w:rsidP="00054FF8">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5F0AA8C" w14:textId="29D4AF5D" w:rsidR="00CD0AA4" w:rsidRPr="00054FF8" w:rsidRDefault="00052340" w:rsidP="00054FF8">
      <w:pPr>
        <w:pStyle w:val="ListParagraph"/>
        <w:numPr>
          <w:ilvl w:val="0"/>
          <w:numId w:val="6"/>
        </w:numPr>
        <w:ind w:right="260"/>
        <w:jc w:val="both"/>
        <w:rPr>
          <w:rFonts w:ascii="Arial" w:hAnsi="Arial" w:cs="Arial"/>
          <w:lang w:val="it-IT"/>
        </w:rPr>
      </w:pPr>
      <w:r w:rsidRPr="00722903">
        <w:rPr>
          <w:rFonts w:ascii="Arial" w:hAnsi="Arial" w:cs="Arial"/>
          <w:lang w:val="en-US"/>
        </w:rPr>
        <w:t xml:space="preserve">Acker, J. (1990). Hierarchies, jobs, bodies: A theory of gendered organizations. </w:t>
      </w:r>
      <w:r w:rsidRPr="0012541A">
        <w:rPr>
          <w:rFonts w:ascii="Arial" w:hAnsi="Arial" w:cs="Arial"/>
          <w:i/>
          <w:lang w:val="it-IT"/>
        </w:rPr>
        <w:t>Gender &amp; society</w:t>
      </w:r>
      <w:r w:rsidRPr="00722903">
        <w:rPr>
          <w:rFonts w:ascii="Arial" w:hAnsi="Arial" w:cs="Arial"/>
          <w:lang w:val="it-IT"/>
        </w:rPr>
        <w:t xml:space="preserve">, 4(2), 139-158. </w:t>
      </w:r>
    </w:p>
    <w:p w14:paraId="330ECB83" w14:textId="796B4487" w:rsidR="00CD0AA4" w:rsidRPr="00054FF8" w:rsidRDefault="00052340" w:rsidP="00054FF8">
      <w:pPr>
        <w:pStyle w:val="ListParagraph"/>
        <w:numPr>
          <w:ilvl w:val="0"/>
          <w:numId w:val="6"/>
        </w:numPr>
        <w:ind w:right="260"/>
        <w:jc w:val="both"/>
        <w:rPr>
          <w:rFonts w:ascii="Arial" w:hAnsi="Arial" w:cs="Arial"/>
          <w:color w:val="222222"/>
          <w:shd w:val="clear" w:color="auto" w:fill="FFFFFF"/>
        </w:rPr>
      </w:pPr>
      <w:r w:rsidRPr="00722903">
        <w:rPr>
          <w:rFonts w:ascii="Arial" w:hAnsi="Arial" w:cs="Arial"/>
          <w:color w:val="222222"/>
          <w:shd w:val="clear" w:color="auto" w:fill="FFFFFF"/>
          <w:lang w:val="it-IT"/>
        </w:rPr>
        <w:t xml:space="preserve">Bianchi, S. M., Sayer, L. C., Milkie, M. A., &amp; Robinson, J. P. (2012). </w:t>
      </w:r>
      <w:r w:rsidRPr="00722903">
        <w:rPr>
          <w:rFonts w:ascii="Arial" w:hAnsi="Arial" w:cs="Arial"/>
          <w:color w:val="222222"/>
          <w:shd w:val="clear" w:color="auto" w:fill="FFFFFF"/>
        </w:rPr>
        <w:t>Housework: Who did, does or will do it, and how much does it matter?.</w:t>
      </w:r>
      <w:r w:rsidRPr="00722903">
        <w:rPr>
          <w:rStyle w:val="apple-converted-space"/>
          <w:rFonts w:ascii="Arial" w:hAnsi="Arial" w:cs="Arial"/>
          <w:color w:val="222222"/>
          <w:shd w:val="clear" w:color="auto" w:fill="FFFFFF"/>
        </w:rPr>
        <w:t> </w:t>
      </w:r>
      <w:r w:rsidRPr="00722903">
        <w:rPr>
          <w:rFonts w:ascii="Arial" w:hAnsi="Arial" w:cs="Arial"/>
          <w:i/>
          <w:iCs/>
          <w:color w:val="222222"/>
          <w:shd w:val="clear" w:color="auto" w:fill="FFFFFF"/>
        </w:rPr>
        <w:t>Social forces</w:t>
      </w:r>
      <w:r w:rsidRPr="00722903">
        <w:rPr>
          <w:rFonts w:ascii="Arial" w:hAnsi="Arial" w:cs="Arial"/>
          <w:color w:val="222222"/>
          <w:shd w:val="clear" w:color="auto" w:fill="FFFFFF"/>
        </w:rPr>
        <w:t>,</w:t>
      </w:r>
      <w:r w:rsidRPr="00722903">
        <w:rPr>
          <w:rStyle w:val="apple-converted-space"/>
          <w:rFonts w:ascii="Arial" w:hAnsi="Arial" w:cs="Arial"/>
          <w:color w:val="222222"/>
          <w:shd w:val="clear" w:color="auto" w:fill="FFFFFF"/>
        </w:rPr>
        <w:t> </w:t>
      </w:r>
      <w:r w:rsidRPr="00722903">
        <w:rPr>
          <w:rFonts w:ascii="Arial" w:hAnsi="Arial" w:cs="Arial"/>
          <w:i/>
          <w:iCs/>
          <w:color w:val="222222"/>
          <w:shd w:val="clear" w:color="auto" w:fill="FFFFFF"/>
        </w:rPr>
        <w:t>91</w:t>
      </w:r>
      <w:r w:rsidRPr="00722903">
        <w:rPr>
          <w:rFonts w:ascii="Arial" w:hAnsi="Arial" w:cs="Arial"/>
          <w:color w:val="222222"/>
          <w:shd w:val="clear" w:color="auto" w:fill="FFFFFF"/>
        </w:rPr>
        <w:t>(1), 55-63.</w:t>
      </w:r>
    </w:p>
    <w:p w14:paraId="3C97A2F0" w14:textId="7C09C63F" w:rsidR="00CD0AA4" w:rsidRPr="00054FF8" w:rsidRDefault="00052340" w:rsidP="00054FF8">
      <w:pPr>
        <w:pStyle w:val="ListParagraph"/>
        <w:numPr>
          <w:ilvl w:val="0"/>
          <w:numId w:val="6"/>
        </w:numPr>
        <w:ind w:right="260"/>
        <w:jc w:val="both"/>
        <w:rPr>
          <w:rFonts w:ascii="Arial" w:hAnsi="Arial" w:cs="Arial"/>
          <w:lang w:val="en-US"/>
        </w:rPr>
      </w:pPr>
      <w:r w:rsidRPr="00722903">
        <w:rPr>
          <w:rFonts w:ascii="Arial" w:hAnsi="Arial" w:cs="Arial"/>
          <w:lang w:val="en-US"/>
        </w:rPr>
        <w:t>Esping-Andersen, G. (2009</w:t>
      </w:r>
      <w:r w:rsidRPr="0012541A">
        <w:rPr>
          <w:rFonts w:ascii="Arial" w:hAnsi="Arial" w:cs="Arial"/>
          <w:i/>
          <w:lang w:val="en-US"/>
        </w:rPr>
        <w:t>). Incomplete revolution: adapting welfare states to women's new roles</w:t>
      </w:r>
      <w:r w:rsidRPr="00722903">
        <w:rPr>
          <w:rFonts w:ascii="Arial" w:hAnsi="Arial" w:cs="Arial"/>
          <w:lang w:val="en-US"/>
        </w:rPr>
        <w:t>. Cambridge: Polity.</w:t>
      </w:r>
    </w:p>
    <w:p w14:paraId="2046C865" w14:textId="4082BA05" w:rsidR="00CD0AA4" w:rsidRPr="00054FF8" w:rsidRDefault="00052340" w:rsidP="00054FF8">
      <w:pPr>
        <w:pStyle w:val="ListParagraph"/>
        <w:numPr>
          <w:ilvl w:val="0"/>
          <w:numId w:val="6"/>
        </w:numPr>
        <w:ind w:right="260"/>
        <w:jc w:val="both"/>
        <w:rPr>
          <w:rFonts w:ascii="Arial" w:hAnsi="Arial" w:cs="Arial"/>
          <w:lang w:val="en-US"/>
        </w:rPr>
      </w:pPr>
      <w:r w:rsidRPr="00722903">
        <w:rPr>
          <w:rFonts w:ascii="Arial" w:hAnsi="Arial" w:cs="Arial"/>
          <w:lang w:val="en-US"/>
        </w:rPr>
        <w:t xml:space="preserve">Schober, P. S. (2013). The parenthood effect on gender inequality: Explaining the change in paid and domestic work when British couples become parents. </w:t>
      </w:r>
      <w:r w:rsidRPr="0012541A">
        <w:rPr>
          <w:rFonts w:ascii="Arial" w:hAnsi="Arial" w:cs="Arial"/>
          <w:i/>
          <w:lang w:val="en-US"/>
        </w:rPr>
        <w:t>European Sociological Review</w:t>
      </w:r>
      <w:r w:rsidRPr="00722903">
        <w:rPr>
          <w:rFonts w:ascii="Arial" w:hAnsi="Arial" w:cs="Arial"/>
          <w:lang w:val="en-US"/>
        </w:rPr>
        <w:t xml:space="preserve">, 29(1), 74-85. </w:t>
      </w:r>
    </w:p>
    <w:p w14:paraId="6B2B7B61" w14:textId="66564936" w:rsidR="00CD0AA4" w:rsidRPr="00054FF8" w:rsidRDefault="00052340" w:rsidP="00054FF8">
      <w:pPr>
        <w:pStyle w:val="ListParagraph"/>
        <w:numPr>
          <w:ilvl w:val="0"/>
          <w:numId w:val="6"/>
        </w:numPr>
        <w:ind w:right="260"/>
        <w:jc w:val="both"/>
        <w:rPr>
          <w:rFonts w:ascii="Arial" w:hAnsi="Arial" w:cs="Arial"/>
          <w:lang w:val="en-US"/>
        </w:rPr>
      </w:pPr>
      <w:r w:rsidRPr="00722903">
        <w:rPr>
          <w:rFonts w:ascii="Arial" w:hAnsi="Arial" w:cs="Arial"/>
          <w:lang w:val="en-US"/>
        </w:rPr>
        <w:t xml:space="preserve">Williams, J. C., Blair-Loy, M., &amp; Berdahl, J. L. (2013). Cultural schemas, social class, and the flexibility stigma. </w:t>
      </w:r>
      <w:r w:rsidRPr="0012541A">
        <w:rPr>
          <w:rFonts w:ascii="Arial" w:hAnsi="Arial" w:cs="Arial"/>
          <w:i/>
          <w:lang w:val="en-US"/>
        </w:rPr>
        <w:t>Journal of Social Issues</w:t>
      </w:r>
      <w:r w:rsidRPr="00722903">
        <w:rPr>
          <w:rFonts w:ascii="Arial" w:hAnsi="Arial" w:cs="Arial"/>
          <w:lang w:val="en-US"/>
        </w:rPr>
        <w:t xml:space="preserve">, 69(2), 209-234. </w:t>
      </w:r>
    </w:p>
    <w:p w14:paraId="7E2932D1" w14:textId="5142FB7F" w:rsidR="00052340" w:rsidRDefault="00052340" w:rsidP="00054FF8">
      <w:pPr>
        <w:pStyle w:val="ListParagraph"/>
        <w:numPr>
          <w:ilvl w:val="0"/>
          <w:numId w:val="6"/>
        </w:numPr>
        <w:ind w:right="260"/>
        <w:jc w:val="both"/>
        <w:rPr>
          <w:rFonts w:ascii="Arial" w:hAnsi="Arial" w:cs="Arial"/>
          <w:lang w:val="en-US"/>
        </w:rPr>
      </w:pPr>
      <w:r w:rsidRPr="00722903">
        <w:rPr>
          <w:rFonts w:ascii="Arial" w:hAnsi="Arial" w:cs="Arial"/>
          <w:lang w:val="en-US"/>
        </w:rPr>
        <w:t>Williams, J. (</w:t>
      </w:r>
      <w:r w:rsidR="000B3EC5">
        <w:rPr>
          <w:rFonts w:ascii="Arial" w:hAnsi="Arial" w:cs="Arial"/>
          <w:lang w:val="en-US"/>
        </w:rPr>
        <w:t>2000</w:t>
      </w:r>
      <w:r w:rsidRPr="00722903">
        <w:rPr>
          <w:rFonts w:ascii="Arial" w:hAnsi="Arial" w:cs="Arial"/>
          <w:lang w:val="en-US"/>
        </w:rPr>
        <w:t xml:space="preserve">). </w:t>
      </w:r>
      <w:r w:rsidRPr="0012541A">
        <w:rPr>
          <w:rFonts w:ascii="Arial" w:hAnsi="Arial" w:cs="Arial"/>
          <w:i/>
          <w:lang w:val="en-US"/>
        </w:rPr>
        <w:t>Unbending gender: Why family and work conflict and what to do about it</w:t>
      </w:r>
      <w:r w:rsidRPr="00722903">
        <w:rPr>
          <w:rFonts w:ascii="Arial" w:hAnsi="Arial" w:cs="Arial"/>
          <w:lang w:val="en-US"/>
        </w:rPr>
        <w:t>: Oxford University Press.</w:t>
      </w:r>
    </w:p>
    <w:p w14:paraId="5578767D" w14:textId="77777777" w:rsidR="00054FF8" w:rsidRPr="00722903" w:rsidRDefault="00054FF8" w:rsidP="00054FF8">
      <w:pPr>
        <w:pStyle w:val="ListParagraph"/>
        <w:ind w:left="1222" w:right="260"/>
        <w:jc w:val="both"/>
        <w:rPr>
          <w:rFonts w:ascii="Arial" w:hAnsi="Arial" w:cs="Arial"/>
          <w:lang w:val="en-US"/>
        </w:rPr>
      </w:pPr>
    </w:p>
    <w:p w14:paraId="0D8F826D" w14:textId="77777777" w:rsidR="00052340" w:rsidRPr="0036174D" w:rsidRDefault="00052340" w:rsidP="00054FF8">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84AD43D" w14:textId="77777777" w:rsidR="0012541A" w:rsidRDefault="00CD0AA4" w:rsidP="00054FF8">
      <w:pPr>
        <w:pStyle w:val="BodyTextIndent3"/>
        <w:ind w:left="567" w:right="260"/>
        <w:jc w:val="both"/>
        <w:rPr>
          <w:rFonts w:ascii="Arial" w:hAnsi="Arial" w:cs="Arial"/>
          <w:szCs w:val="22"/>
        </w:rPr>
      </w:pPr>
      <w:r>
        <w:rPr>
          <w:rFonts w:ascii="Arial" w:hAnsi="Arial" w:cs="Arial"/>
          <w:szCs w:val="22"/>
        </w:rPr>
        <w:t xml:space="preserve">Total Contact time: 22 hours </w:t>
      </w:r>
    </w:p>
    <w:p w14:paraId="4A1CE7D6" w14:textId="42A9383E" w:rsidR="00CD0AA4" w:rsidRDefault="00CD0AA4" w:rsidP="00054FF8">
      <w:pPr>
        <w:pStyle w:val="BodyTextIndent3"/>
        <w:ind w:left="567" w:right="260"/>
        <w:jc w:val="both"/>
        <w:rPr>
          <w:rFonts w:ascii="Arial" w:hAnsi="Arial" w:cs="Arial"/>
          <w:szCs w:val="22"/>
        </w:rPr>
      </w:pPr>
      <w:r>
        <w:rPr>
          <w:rFonts w:ascii="Arial" w:hAnsi="Arial" w:cs="Arial"/>
          <w:szCs w:val="22"/>
        </w:rPr>
        <w:t>Private Study</w:t>
      </w:r>
      <w:r w:rsidR="0012541A">
        <w:rPr>
          <w:rFonts w:ascii="Arial" w:hAnsi="Arial" w:cs="Arial"/>
          <w:szCs w:val="22"/>
        </w:rPr>
        <w:t xml:space="preserve"> time</w:t>
      </w:r>
      <w:r>
        <w:rPr>
          <w:rFonts w:ascii="Arial" w:hAnsi="Arial" w:cs="Arial"/>
          <w:szCs w:val="22"/>
        </w:rPr>
        <w:t>: 128 hours</w:t>
      </w:r>
    </w:p>
    <w:p w14:paraId="51F6E711" w14:textId="2FD8989B" w:rsidR="0012541A" w:rsidRPr="00054FF8" w:rsidRDefault="0012541A" w:rsidP="00054FF8">
      <w:pPr>
        <w:pStyle w:val="BodyTextIndent3"/>
        <w:ind w:left="567" w:right="260"/>
        <w:jc w:val="both"/>
        <w:rPr>
          <w:rFonts w:ascii="Arial" w:hAnsi="Arial" w:cs="Arial"/>
          <w:szCs w:val="22"/>
        </w:rPr>
      </w:pPr>
      <w:r>
        <w:rPr>
          <w:rFonts w:ascii="Arial" w:hAnsi="Arial" w:cs="Arial"/>
          <w:szCs w:val="22"/>
        </w:rPr>
        <w:t>Total Study time: 150</w:t>
      </w:r>
      <w:r w:rsidR="00054FF8">
        <w:rPr>
          <w:rFonts w:ascii="Arial" w:hAnsi="Arial" w:cs="Arial"/>
          <w:szCs w:val="22"/>
        </w:rPr>
        <w:t xml:space="preserve"> hours</w:t>
      </w:r>
    </w:p>
    <w:p w14:paraId="0932E072" w14:textId="77777777" w:rsidR="00CD0AA4" w:rsidRDefault="00CD0AA4" w:rsidP="00054FF8">
      <w:pPr>
        <w:pStyle w:val="BodyTextIndent3"/>
        <w:ind w:left="502" w:right="260"/>
        <w:jc w:val="both"/>
        <w:rPr>
          <w:rFonts w:ascii="Arial" w:hAnsi="Arial" w:cs="Arial"/>
          <w:szCs w:val="22"/>
        </w:rPr>
      </w:pPr>
    </w:p>
    <w:p w14:paraId="38880EA6" w14:textId="77777777" w:rsidR="00052340" w:rsidRPr="0036174D" w:rsidRDefault="00052340" w:rsidP="00054FF8">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56A6C79A" w14:textId="005BB050" w:rsidR="00052340" w:rsidRDefault="00052340" w:rsidP="00054FF8">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Main assessment methods</w:t>
      </w:r>
    </w:p>
    <w:p w14:paraId="24A195BF" w14:textId="3708E059" w:rsidR="0012541A" w:rsidRPr="0012541A" w:rsidRDefault="0012541A" w:rsidP="00054FF8">
      <w:pPr>
        <w:pStyle w:val="ListParagraph"/>
        <w:spacing w:after="0" w:line="240" w:lineRule="auto"/>
        <w:ind w:left="567" w:right="260"/>
        <w:jc w:val="both"/>
        <w:rPr>
          <w:rFonts w:ascii="Arial" w:hAnsi="Arial" w:cs="Arial"/>
        </w:rPr>
      </w:pPr>
      <w:r w:rsidRPr="0012541A">
        <w:rPr>
          <w:rFonts w:ascii="Arial" w:hAnsi="Arial" w:cs="Arial"/>
        </w:rPr>
        <w:t>Cours</w:t>
      </w:r>
      <w:r>
        <w:rPr>
          <w:rFonts w:ascii="Arial" w:hAnsi="Arial" w:cs="Arial"/>
        </w:rPr>
        <w:t>ework – mini research project (</w:t>
      </w:r>
      <w:r w:rsidR="002374A4">
        <w:rPr>
          <w:rFonts w:ascii="Arial" w:hAnsi="Arial" w:cs="Arial"/>
        </w:rPr>
        <w:t xml:space="preserve">2000 </w:t>
      </w:r>
      <w:r w:rsidRPr="0012541A">
        <w:rPr>
          <w:rFonts w:ascii="Arial" w:hAnsi="Arial" w:cs="Arial"/>
        </w:rPr>
        <w:t>words) –</w:t>
      </w:r>
      <w:r w:rsidR="00054FF8">
        <w:rPr>
          <w:rFonts w:ascii="Arial" w:hAnsi="Arial" w:cs="Arial"/>
        </w:rPr>
        <w:t xml:space="preserve"> </w:t>
      </w:r>
      <w:r w:rsidR="00F61DE1">
        <w:rPr>
          <w:rFonts w:ascii="Arial" w:hAnsi="Arial" w:cs="Arial"/>
        </w:rPr>
        <w:t>40</w:t>
      </w:r>
      <w:r w:rsidRPr="0012541A">
        <w:rPr>
          <w:rFonts w:ascii="Arial" w:hAnsi="Arial" w:cs="Arial"/>
        </w:rPr>
        <w:t>%</w:t>
      </w:r>
    </w:p>
    <w:p w14:paraId="65FA7B81" w14:textId="6665143A" w:rsidR="0012541A" w:rsidRPr="0012541A" w:rsidRDefault="0012541A" w:rsidP="00054FF8">
      <w:pPr>
        <w:pStyle w:val="ListParagraph"/>
        <w:spacing w:after="0" w:line="240" w:lineRule="auto"/>
        <w:ind w:left="567" w:right="260"/>
        <w:jc w:val="both"/>
        <w:rPr>
          <w:rFonts w:ascii="Arial" w:hAnsi="Arial" w:cs="Arial"/>
        </w:rPr>
      </w:pPr>
      <w:r w:rsidRPr="0012541A">
        <w:rPr>
          <w:rFonts w:ascii="Arial" w:hAnsi="Arial" w:cs="Arial"/>
        </w:rPr>
        <w:t>Cour</w:t>
      </w:r>
      <w:r>
        <w:rPr>
          <w:rFonts w:ascii="Arial" w:hAnsi="Arial" w:cs="Arial"/>
        </w:rPr>
        <w:t>sework – essay (3,000 words) –</w:t>
      </w:r>
      <w:r w:rsidR="00054FF8">
        <w:rPr>
          <w:rFonts w:ascii="Arial" w:hAnsi="Arial" w:cs="Arial"/>
        </w:rPr>
        <w:t xml:space="preserve"> </w:t>
      </w:r>
      <w:r w:rsidR="00F61DE1">
        <w:rPr>
          <w:rFonts w:ascii="Arial" w:hAnsi="Arial" w:cs="Arial"/>
        </w:rPr>
        <w:t>60</w:t>
      </w:r>
      <w:r w:rsidRPr="0012541A">
        <w:rPr>
          <w:rFonts w:ascii="Arial" w:hAnsi="Arial" w:cs="Arial"/>
        </w:rPr>
        <w:t>%</w:t>
      </w:r>
      <w:r w:rsidR="00795222">
        <w:rPr>
          <w:rFonts w:ascii="Arial" w:hAnsi="Arial" w:cs="Arial"/>
        </w:rPr>
        <w:t xml:space="preserve"> - pass compulsory</w:t>
      </w:r>
    </w:p>
    <w:p w14:paraId="3747C7AB" w14:textId="77777777" w:rsidR="00052340" w:rsidRDefault="00052340" w:rsidP="00054FF8">
      <w:pPr>
        <w:pStyle w:val="ListParagraph"/>
        <w:spacing w:after="120"/>
        <w:ind w:left="1134" w:right="260" w:hanging="567"/>
        <w:contextualSpacing w:val="0"/>
        <w:jc w:val="both"/>
        <w:rPr>
          <w:rFonts w:ascii="Arial" w:hAnsi="Arial" w:cs="Arial"/>
          <w:iCs/>
        </w:rPr>
      </w:pPr>
    </w:p>
    <w:p w14:paraId="57C3AE08" w14:textId="77777777" w:rsidR="00052340" w:rsidRDefault="00052340" w:rsidP="00054FF8">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lastRenderedPageBreak/>
        <w:t xml:space="preserve">Reassessment methods </w:t>
      </w:r>
    </w:p>
    <w:p w14:paraId="50635D2E" w14:textId="14E8C399" w:rsidR="0012541A" w:rsidRDefault="00A87E80" w:rsidP="00054FF8">
      <w:pPr>
        <w:spacing w:after="120"/>
        <w:ind w:left="567" w:right="260"/>
        <w:jc w:val="both"/>
        <w:rPr>
          <w:rFonts w:ascii="Arial" w:hAnsi="Arial" w:cs="Arial"/>
          <w:iCs/>
        </w:rPr>
      </w:pPr>
      <w:r>
        <w:rPr>
          <w:rFonts w:ascii="Arial" w:hAnsi="Arial" w:cs="Arial"/>
          <w:iCs/>
        </w:rPr>
        <w:t>100% Coursework</w:t>
      </w:r>
    </w:p>
    <w:p w14:paraId="40A48612" w14:textId="77777777" w:rsidR="00054FF8" w:rsidRDefault="00054FF8" w:rsidP="00054FF8">
      <w:pPr>
        <w:spacing w:after="120"/>
        <w:ind w:left="567" w:right="260"/>
        <w:jc w:val="both"/>
        <w:rPr>
          <w:rFonts w:ascii="Arial" w:hAnsi="Arial" w:cs="Arial"/>
          <w:iCs/>
        </w:rPr>
      </w:pPr>
    </w:p>
    <w:p w14:paraId="38533D7B" w14:textId="64C687DC" w:rsidR="00052340" w:rsidRDefault="00052340" w:rsidP="0005234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w:t>
      </w:r>
      <w:r w:rsidR="00795222">
        <w:rPr>
          <w:rFonts w:ascii="Arial" w:hAnsi="Arial" w:cs="Arial"/>
          <w:b/>
          <w:iCs/>
        </w:rPr>
        <w:t xml:space="preserve"> </w:t>
      </w:r>
      <w:r w:rsidRPr="00D50113">
        <w:rPr>
          <w:rFonts w:ascii="Arial" w:hAnsi="Arial" w:cs="Arial"/>
          <w:b/>
          <w:iCs/>
        </w:rPr>
        <w:t>12) and m</w:t>
      </w:r>
      <w:r>
        <w:rPr>
          <w:rFonts w:ascii="Arial" w:hAnsi="Arial" w:cs="Arial"/>
          <w:b/>
          <w:iCs/>
        </w:rPr>
        <w:t>ethods of a</w:t>
      </w:r>
      <w:r w:rsidRPr="00D50113">
        <w:rPr>
          <w:rFonts w:ascii="Arial" w:hAnsi="Arial" w:cs="Arial"/>
          <w:b/>
          <w:iCs/>
        </w:rPr>
        <w:t>ssessment (section 13)</w:t>
      </w:r>
    </w:p>
    <w:p w14:paraId="4A545397" w14:textId="77777777" w:rsidR="00054FF8" w:rsidRPr="00D50113" w:rsidRDefault="00054FF8" w:rsidP="00054FF8">
      <w:pPr>
        <w:spacing w:after="120" w:line="240" w:lineRule="auto"/>
        <w:ind w:left="567" w:right="260"/>
        <w:jc w:val="both"/>
        <w:rPr>
          <w:rFonts w:ascii="Arial" w:hAnsi="Arial" w:cs="Arial"/>
          <w:b/>
          <w:iCs/>
        </w:rPr>
      </w:pPr>
    </w:p>
    <w:tbl>
      <w:tblPr>
        <w:tblStyle w:val="TableGrid"/>
        <w:tblW w:w="9923" w:type="dxa"/>
        <w:jc w:val="center"/>
        <w:tblLayout w:type="fixed"/>
        <w:tblLook w:val="04A0" w:firstRow="1" w:lastRow="0" w:firstColumn="1" w:lastColumn="0" w:noHBand="0" w:noVBand="1"/>
      </w:tblPr>
      <w:tblGrid>
        <w:gridCol w:w="3119"/>
        <w:gridCol w:w="618"/>
        <w:gridCol w:w="619"/>
        <w:gridCol w:w="618"/>
        <w:gridCol w:w="619"/>
        <w:gridCol w:w="618"/>
        <w:gridCol w:w="619"/>
        <w:gridCol w:w="618"/>
        <w:gridCol w:w="619"/>
        <w:gridCol w:w="618"/>
        <w:gridCol w:w="619"/>
        <w:gridCol w:w="619"/>
      </w:tblGrid>
      <w:tr w:rsidR="00054FF8" w:rsidRPr="00302082" w14:paraId="3BF4EC55" w14:textId="77777777" w:rsidTr="00054FF8">
        <w:trPr>
          <w:jc w:val="center"/>
        </w:trPr>
        <w:tc>
          <w:tcPr>
            <w:tcW w:w="3119" w:type="dxa"/>
            <w:shd w:val="clear" w:color="auto" w:fill="D9D9D9" w:themeFill="background1" w:themeFillShade="D9"/>
          </w:tcPr>
          <w:p w14:paraId="6C6A665B" w14:textId="77777777" w:rsidR="00054FF8" w:rsidRPr="00302082" w:rsidRDefault="00054FF8" w:rsidP="00054FF8">
            <w:pPr>
              <w:spacing w:after="120"/>
              <w:rPr>
                <w:rFonts w:ascii="Arial" w:hAnsi="Arial" w:cs="Arial"/>
                <w:b/>
              </w:rPr>
            </w:pPr>
            <w:r w:rsidRPr="00302082">
              <w:rPr>
                <w:rFonts w:ascii="Arial" w:hAnsi="Arial" w:cs="Arial"/>
                <w:b/>
              </w:rPr>
              <w:t>Module learning outcome</w:t>
            </w:r>
          </w:p>
        </w:tc>
        <w:tc>
          <w:tcPr>
            <w:tcW w:w="618" w:type="dxa"/>
          </w:tcPr>
          <w:p w14:paraId="2D35FB74" w14:textId="62886808" w:rsidR="00054FF8" w:rsidRPr="00054FF8" w:rsidRDefault="00054FF8" w:rsidP="00054FF8">
            <w:pPr>
              <w:spacing w:after="120"/>
              <w:jc w:val="center"/>
              <w:rPr>
                <w:rFonts w:ascii="Arial" w:hAnsi="Arial" w:cs="Arial"/>
              </w:rPr>
            </w:pPr>
            <w:r w:rsidRPr="00054FF8">
              <w:rPr>
                <w:rFonts w:ascii="Arial" w:hAnsi="Arial" w:cs="Arial"/>
              </w:rPr>
              <w:t>8.1</w:t>
            </w:r>
          </w:p>
        </w:tc>
        <w:tc>
          <w:tcPr>
            <w:tcW w:w="619" w:type="dxa"/>
          </w:tcPr>
          <w:p w14:paraId="0AFC54E1" w14:textId="2F46910D" w:rsidR="00054FF8" w:rsidRPr="00054FF8" w:rsidRDefault="00054FF8" w:rsidP="00054FF8">
            <w:pPr>
              <w:spacing w:after="120"/>
              <w:jc w:val="center"/>
              <w:rPr>
                <w:rFonts w:ascii="Arial" w:hAnsi="Arial" w:cs="Arial"/>
              </w:rPr>
            </w:pPr>
            <w:r w:rsidRPr="00054FF8">
              <w:rPr>
                <w:rFonts w:ascii="Arial" w:hAnsi="Arial" w:cs="Arial"/>
              </w:rPr>
              <w:t>8.2</w:t>
            </w:r>
          </w:p>
        </w:tc>
        <w:tc>
          <w:tcPr>
            <w:tcW w:w="618" w:type="dxa"/>
          </w:tcPr>
          <w:p w14:paraId="0D50F703" w14:textId="0648519F" w:rsidR="00054FF8" w:rsidRPr="00054FF8" w:rsidRDefault="00054FF8" w:rsidP="00054FF8">
            <w:pPr>
              <w:spacing w:after="120"/>
              <w:jc w:val="center"/>
              <w:rPr>
                <w:rFonts w:ascii="Arial" w:hAnsi="Arial" w:cs="Arial"/>
              </w:rPr>
            </w:pPr>
            <w:r w:rsidRPr="00054FF8">
              <w:rPr>
                <w:rFonts w:ascii="Arial" w:hAnsi="Arial" w:cs="Arial"/>
              </w:rPr>
              <w:t>8.3</w:t>
            </w:r>
          </w:p>
        </w:tc>
        <w:tc>
          <w:tcPr>
            <w:tcW w:w="619" w:type="dxa"/>
          </w:tcPr>
          <w:p w14:paraId="7620D533" w14:textId="23C047EE" w:rsidR="00054FF8" w:rsidRPr="00054FF8" w:rsidRDefault="00054FF8" w:rsidP="00054FF8">
            <w:pPr>
              <w:spacing w:after="120"/>
              <w:jc w:val="center"/>
              <w:rPr>
                <w:rFonts w:ascii="Arial" w:hAnsi="Arial" w:cs="Arial"/>
              </w:rPr>
            </w:pPr>
            <w:r w:rsidRPr="00054FF8">
              <w:rPr>
                <w:rFonts w:ascii="Arial" w:hAnsi="Arial" w:cs="Arial"/>
              </w:rPr>
              <w:t>8.4</w:t>
            </w:r>
          </w:p>
        </w:tc>
        <w:tc>
          <w:tcPr>
            <w:tcW w:w="618" w:type="dxa"/>
          </w:tcPr>
          <w:p w14:paraId="649FFEAF" w14:textId="2CF582B1" w:rsidR="00054FF8" w:rsidRPr="00054FF8" w:rsidRDefault="00054FF8" w:rsidP="00054FF8">
            <w:pPr>
              <w:spacing w:after="120"/>
              <w:jc w:val="center"/>
              <w:rPr>
                <w:rFonts w:ascii="Arial" w:hAnsi="Arial" w:cs="Arial"/>
              </w:rPr>
            </w:pPr>
            <w:r w:rsidRPr="00054FF8">
              <w:rPr>
                <w:rFonts w:ascii="Arial" w:hAnsi="Arial" w:cs="Arial"/>
              </w:rPr>
              <w:t>8.5</w:t>
            </w:r>
          </w:p>
        </w:tc>
        <w:tc>
          <w:tcPr>
            <w:tcW w:w="619" w:type="dxa"/>
          </w:tcPr>
          <w:p w14:paraId="68FA74D6" w14:textId="5A4960AD" w:rsidR="00054FF8" w:rsidRPr="00054FF8" w:rsidRDefault="00054FF8" w:rsidP="00054FF8">
            <w:pPr>
              <w:spacing w:after="120"/>
              <w:jc w:val="center"/>
              <w:rPr>
                <w:rFonts w:ascii="Arial" w:hAnsi="Arial" w:cs="Arial"/>
              </w:rPr>
            </w:pPr>
            <w:r w:rsidRPr="00054FF8">
              <w:rPr>
                <w:rFonts w:ascii="Arial" w:hAnsi="Arial" w:cs="Arial"/>
              </w:rPr>
              <w:t>8.6</w:t>
            </w:r>
          </w:p>
        </w:tc>
        <w:tc>
          <w:tcPr>
            <w:tcW w:w="618" w:type="dxa"/>
          </w:tcPr>
          <w:p w14:paraId="6B6119D8" w14:textId="685168CA" w:rsidR="00054FF8" w:rsidRPr="00054FF8" w:rsidRDefault="00054FF8" w:rsidP="00054FF8">
            <w:pPr>
              <w:spacing w:after="120"/>
              <w:jc w:val="center"/>
              <w:rPr>
                <w:rFonts w:ascii="Arial" w:hAnsi="Arial" w:cs="Arial"/>
              </w:rPr>
            </w:pPr>
            <w:r w:rsidRPr="00054FF8">
              <w:rPr>
                <w:rFonts w:ascii="Arial" w:hAnsi="Arial" w:cs="Arial"/>
              </w:rPr>
              <w:t>8.7</w:t>
            </w:r>
          </w:p>
        </w:tc>
        <w:tc>
          <w:tcPr>
            <w:tcW w:w="619" w:type="dxa"/>
          </w:tcPr>
          <w:p w14:paraId="07296716" w14:textId="7D95BEA3" w:rsidR="00054FF8" w:rsidRPr="00054FF8" w:rsidRDefault="00054FF8" w:rsidP="00054FF8">
            <w:pPr>
              <w:spacing w:after="120"/>
              <w:jc w:val="center"/>
              <w:rPr>
                <w:rFonts w:ascii="Arial" w:hAnsi="Arial" w:cs="Arial"/>
              </w:rPr>
            </w:pPr>
            <w:r w:rsidRPr="00054FF8">
              <w:rPr>
                <w:rFonts w:ascii="Arial" w:hAnsi="Arial" w:cs="Arial"/>
              </w:rPr>
              <w:t>9.1</w:t>
            </w:r>
          </w:p>
        </w:tc>
        <w:tc>
          <w:tcPr>
            <w:tcW w:w="618" w:type="dxa"/>
          </w:tcPr>
          <w:p w14:paraId="5A6474F5" w14:textId="7098F795" w:rsidR="00054FF8" w:rsidRPr="00054FF8" w:rsidRDefault="00054FF8" w:rsidP="00054FF8">
            <w:pPr>
              <w:spacing w:after="120"/>
              <w:jc w:val="center"/>
              <w:rPr>
                <w:rFonts w:ascii="Arial" w:hAnsi="Arial" w:cs="Arial"/>
              </w:rPr>
            </w:pPr>
            <w:r w:rsidRPr="00054FF8">
              <w:rPr>
                <w:rFonts w:ascii="Arial" w:hAnsi="Arial" w:cs="Arial"/>
              </w:rPr>
              <w:t>9.2</w:t>
            </w:r>
          </w:p>
        </w:tc>
        <w:tc>
          <w:tcPr>
            <w:tcW w:w="619" w:type="dxa"/>
          </w:tcPr>
          <w:p w14:paraId="5AE7BD29" w14:textId="533E143F" w:rsidR="00054FF8" w:rsidRPr="00054FF8" w:rsidRDefault="00054FF8" w:rsidP="00054FF8">
            <w:pPr>
              <w:spacing w:after="120"/>
              <w:jc w:val="center"/>
              <w:rPr>
                <w:rFonts w:ascii="Arial" w:hAnsi="Arial" w:cs="Arial"/>
              </w:rPr>
            </w:pPr>
            <w:r w:rsidRPr="00054FF8">
              <w:rPr>
                <w:rFonts w:ascii="Arial" w:hAnsi="Arial" w:cs="Arial"/>
              </w:rPr>
              <w:t>9.3</w:t>
            </w:r>
          </w:p>
        </w:tc>
        <w:tc>
          <w:tcPr>
            <w:tcW w:w="619" w:type="dxa"/>
          </w:tcPr>
          <w:p w14:paraId="0750A5CA" w14:textId="616B3CF3" w:rsidR="00054FF8" w:rsidRPr="00054FF8" w:rsidRDefault="00054FF8" w:rsidP="00054FF8">
            <w:pPr>
              <w:spacing w:after="120"/>
              <w:jc w:val="center"/>
              <w:rPr>
                <w:rFonts w:ascii="Arial" w:hAnsi="Arial" w:cs="Arial"/>
              </w:rPr>
            </w:pPr>
            <w:r w:rsidRPr="00054FF8">
              <w:rPr>
                <w:rFonts w:ascii="Arial" w:hAnsi="Arial" w:cs="Arial"/>
              </w:rPr>
              <w:t>9.4</w:t>
            </w:r>
          </w:p>
        </w:tc>
      </w:tr>
      <w:tr w:rsidR="00054FF8" w:rsidRPr="00302082" w14:paraId="2DE60F14" w14:textId="77777777" w:rsidTr="00054FF8">
        <w:trPr>
          <w:jc w:val="center"/>
        </w:trPr>
        <w:tc>
          <w:tcPr>
            <w:tcW w:w="3119" w:type="dxa"/>
            <w:shd w:val="clear" w:color="auto" w:fill="D9D9D9" w:themeFill="background1" w:themeFillShade="D9"/>
          </w:tcPr>
          <w:p w14:paraId="3E1B4A54" w14:textId="77777777" w:rsidR="00054FF8" w:rsidRPr="00302082" w:rsidRDefault="00054FF8" w:rsidP="003A0B71">
            <w:pPr>
              <w:spacing w:after="120"/>
              <w:rPr>
                <w:rFonts w:ascii="Arial" w:hAnsi="Arial" w:cs="Arial"/>
                <w:b/>
              </w:rPr>
            </w:pPr>
            <w:r w:rsidRPr="00302082">
              <w:rPr>
                <w:rFonts w:ascii="Arial" w:hAnsi="Arial" w:cs="Arial"/>
                <w:b/>
              </w:rPr>
              <w:t>Learning/ teaching method</w:t>
            </w:r>
          </w:p>
        </w:tc>
        <w:tc>
          <w:tcPr>
            <w:tcW w:w="618" w:type="dxa"/>
          </w:tcPr>
          <w:p w14:paraId="55D40396" w14:textId="77777777" w:rsidR="00054FF8" w:rsidRPr="00054FF8" w:rsidRDefault="00054FF8" w:rsidP="00054FF8">
            <w:pPr>
              <w:spacing w:after="120"/>
              <w:jc w:val="center"/>
              <w:rPr>
                <w:rFonts w:ascii="Arial" w:hAnsi="Arial" w:cs="Arial"/>
                <w:b/>
              </w:rPr>
            </w:pPr>
          </w:p>
        </w:tc>
        <w:tc>
          <w:tcPr>
            <w:tcW w:w="619" w:type="dxa"/>
          </w:tcPr>
          <w:p w14:paraId="419A827C" w14:textId="77777777" w:rsidR="00054FF8" w:rsidRPr="00054FF8" w:rsidRDefault="00054FF8" w:rsidP="00054FF8">
            <w:pPr>
              <w:spacing w:after="120"/>
              <w:jc w:val="center"/>
              <w:rPr>
                <w:rFonts w:ascii="Arial" w:hAnsi="Arial" w:cs="Arial"/>
                <w:b/>
              </w:rPr>
            </w:pPr>
          </w:p>
        </w:tc>
        <w:tc>
          <w:tcPr>
            <w:tcW w:w="618" w:type="dxa"/>
          </w:tcPr>
          <w:p w14:paraId="5F8CA596" w14:textId="77777777" w:rsidR="00054FF8" w:rsidRPr="00054FF8" w:rsidRDefault="00054FF8" w:rsidP="00054FF8">
            <w:pPr>
              <w:spacing w:after="120"/>
              <w:jc w:val="center"/>
              <w:rPr>
                <w:rFonts w:ascii="Arial" w:hAnsi="Arial" w:cs="Arial"/>
                <w:b/>
              </w:rPr>
            </w:pPr>
          </w:p>
        </w:tc>
        <w:tc>
          <w:tcPr>
            <w:tcW w:w="619" w:type="dxa"/>
          </w:tcPr>
          <w:p w14:paraId="31B963D4" w14:textId="77777777" w:rsidR="00054FF8" w:rsidRPr="00054FF8" w:rsidRDefault="00054FF8" w:rsidP="00054FF8">
            <w:pPr>
              <w:spacing w:after="120"/>
              <w:jc w:val="center"/>
              <w:rPr>
                <w:rFonts w:ascii="Arial" w:hAnsi="Arial" w:cs="Arial"/>
                <w:b/>
              </w:rPr>
            </w:pPr>
          </w:p>
        </w:tc>
        <w:tc>
          <w:tcPr>
            <w:tcW w:w="618" w:type="dxa"/>
          </w:tcPr>
          <w:p w14:paraId="30378AEB" w14:textId="77777777" w:rsidR="00054FF8" w:rsidRPr="00054FF8" w:rsidRDefault="00054FF8" w:rsidP="00054FF8">
            <w:pPr>
              <w:spacing w:after="120"/>
              <w:jc w:val="center"/>
              <w:rPr>
                <w:rFonts w:ascii="Arial" w:hAnsi="Arial" w:cs="Arial"/>
                <w:b/>
              </w:rPr>
            </w:pPr>
          </w:p>
        </w:tc>
        <w:tc>
          <w:tcPr>
            <w:tcW w:w="619" w:type="dxa"/>
          </w:tcPr>
          <w:p w14:paraId="5DD9171C" w14:textId="77777777" w:rsidR="00054FF8" w:rsidRPr="00054FF8" w:rsidRDefault="00054FF8" w:rsidP="00054FF8">
            <w:pPr>
              <w:spacing w:after="120"/>
              <w:jc w:val="center"/>
              <w:rPr>
                <w:rFonts w:ascii="Arial" w:hAnsi="Arial" w:cs="Arial"/>
                <w:b/>
              </w:rPr>
            </w:pPr>
          </w:p>
        </w:tc>
        <w:tc>
          <w:tcPr>
            <w:tcW w:w="618" w:type="dxa"/>
          </w:tcPr>
          <w:p w14:paraId="6C5880C9" w14:textId="77777777" w:rsidR="00054FF8" w:rsidRPr="00054FF8" w:rsidRDefault="00054FF8" w:rsidP="00054FF8">
            <w:pPr>
              <w:spacing w:after="120"/>
              <w:jc w:val="center"/>
              <w:rPr>
                <w:rFonts w:ascii="Arial" w:hAnsi="Arial" w:cs="Arial"/>
                <w:b/>
              </w:rPr>
            </w:pPr>
          </w:p>
        </w:tc>
        <w:tc>
          <w:tcPr>
            <w:tcW w:w="619" w:type="dxa"/>
          </w:tcPr>
          <w:p w14:paraId="1A518347" w14:textId="77777777" w:rsidR="00054FF8" w:rsidRPr="00054FF8" w:rsidRDefault="00054FF8" w:rsidP="00054FF8">
            <w:pPr>
              <w:spacing w:after="120"/>
              <w:jc w:val="center"/>
              <w:rPr>
                <w:rFonts w:ascii="Arial" w:hAnsi="Arial" w:cs="Arial"/>
                <w:b/>
              </w:rPr>
            </w:pPr>
          </w:p>
        </w:tc>
        <w:tc>
          <w:tcPr>
            <w:tcW w:w="618" w:type="dxa"/>
          </w:tcPr>
          <w:p w14:paraId="4425EFC4" w14:textId="77777777" w:rsidR="00054FF8" w:rsidRPr="00054FF8" w:rsidRDefault="00054FF8" w:rsidP="00054FF8">
            <w:pPr>
              <w:spacing w:after="120"/>
              <w:jc w:val="center"/>
              <w:rPr>
                <w:rFonts w:ascii="Arial" w:hAnsi="Arial" w:cs="Arial"/>
                <w:b/>
              </w:rPr>
            </w:pPr>
          </w:p>
        </w:tc>
        <w:tc>
          <w:tcPr>
            <w:tcW w:w="619" w:type="dxa"/>
          </w:tcPr>
          <w:p w14:paraId="7E6C1C26" w14:textId="77777777" w:rsidR="00054FF8" w:rsidRPr="00054FF8" w:rsidRDefault="00054FF8" w:rsidP="00054FF8">
            <w:pPr>
              <w:spacing w:after="120"/>
              <w:jc w:val="center"/>
              <w:rPr>
                <w:rFonts w:ascii="Arial" w:hAnsi="Arial" w:cs="Arial"/>
                <w:b/>
              </w:rPr>
            </w:pPr>
          </w:p>
        </w:tc>
        <w:tc>
          <w:tcPr>
            <w:tcW w:w="619" w:type="dxa"/>
          </w:tcPr>
          <w:p w14:paraId="1480D7DE" w14:textId="77777777" w:rsidR="00054FF8" w:rsidRPr="00054FF8" w:rsidRDefault="00054FF8" w:rsidP="00054FF8">
            <w:pPr>
              <w:spacing w:after="120"/>
              <w:jc w:val="center"/>
              <w:rPr>
                <w:rFonts w:ascii="Arial" w:hAnsi="Arial" w:cs="Arial"/>
                <w:b/>
              </w:rPr>
            </w:pPr>
          </w:p>
        </w:tc>
      </w:tr>
      <w:tr w:rsidR="00054FF8" w:rsidRPr="00302082" w14:paraId="343A1C20" w14:textId="77777777" w:rsidTr="00054FF8">
        <w:trPr>
          <w:jc w:val="center"/>
        </w:trPr>
        <w:tc>
          <w:tcPr>
            <w:tcW w:w="3119" w:type="dxa"/>
          </w:tcPr>
          <w:p w14:paraId="6DDD4B47" w14:textId="77777777" w:rsidR="00054FF8" w:rsidRPr="00AF421A" w:rsidRDefault="00054FF8" w:rsidP="003A0B71">
            <w:pPr>
              <w:spacing w:after="120"/>
              <w:rPr>
                <w:rFonts w:ascii="Arial" w:hAnsi="Arial" w:cs="Arial"/>
              </w:rPr>
            </w:pPr>
            <w:r w:rsidRPr="00AF421A">
              <w:rPr>
                <w:rFonts w:ascii="Arial" w:hAnsi="Arial" w:cs="Arial"/>
              </w:rPr>
              <w:t>Private Study</w:t>
            </w:r>
          </w:p>
        </w:tc>
        <w:tc>
          <w:tcPr>
            <w:tcW w:w="618" w:type="dxa"/>
          </w:tcPr>
          <w:p w14:paraId="0BE3B05B" w14:textId="3D80C78A"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38F13DC5" w14:textId="443B259B"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19DB7693" w14:textId="2AC42A85"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1360AE3C" w14:textId="0F11A4F5"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7F08FC8C" w14:textId="0BFB40FC"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16CD9560" w14:textId="203ED69B"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67E849EE" w14:textId="2C5268D7"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5569294B" w14:textId="62843945"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3E62096C" w14:textId="670E53FF"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521052A5" w14:textId="7F636905"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573F58AF" w14:textId="370B2600" w:rsidR="00054FF8" w:rsidRPr="00054FF8" w:rsidRDefault="00054FF8" w:rsidP="00054FF8">
            <w:pPr>
              <w:spacing w:after="120"/>
              <w:jc w:val="center"/>
              <w:rPr>
                <w:rFonts w:ascii="Arial" w:hAnsi="Arial" w:cs="Arial"/>
              </w:rPr>
            </w:pPr>
            <w:r w:rsidRPr="00054FF8">
              <w:rPr>
                <w:rFonts w:ascii="Arial" w:hAnsi="Arial" w:cs="Arial"/>
              </w:rPr>
              <w:t>X</w:t>
            </w:r>
          </w:p>
        </w:tc>
      </w:tr>
      <w:tr w:rsidR="00054FF8" w:rsidRPr="00302082" w14:paraId="0D58A4BD" w14:textId="77777777" w:rsidTr="00054FF8">
        <w:trPr>
          <w:jc w:val="center"/>
        </w:trPr>
        <w:tc>
          <w:tcPr>
            <w:tcW w:w="3119" w:type="dxa"/>
          </w:tcPr>
          <w:p w14:paraId="3455B657" w14:textId="77777777" w:rsidR="00054FF8" w:rsidRPr="007F6806" w:rsidRDefault="00054FF8" w:rsidP="003A0B71">
            <w:pPr>
              <w:spacing w:after="120"/>
              <w:rPr>
                <w:rFonts w:ascii="Arial" w:hAnsi="Arial" w:cs="Arial"/>
              </w:rPr>
            </w:pPr>
            <w:r w:rsidRPr="007F6806">
              <w:rPr>
                <w:rFonts w:ascii="Arial" w:hAnsi="Arial" w:cs="Arial"/>
              </w:rPr>
              <w:t>Lectures</w:t>
            </w:r>
          </w:p>
        </w:tc>
        <w:tc>
          <w:tcPr>
            <w:tcW w:w="618" w:type="dxa"/>
          </w:tcPr>
          <w:p w14:paraId="741221E2" w14:textId="21952F08"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76AAE185" w14:textId="16B2E1A4"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149AA66D" w14:textId="43400CE9"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0BEF67DC" w14:textId="1DA87BDC"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7A70289A" w14:textId="32F90F0E"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3BD2994D" w14:textId="3DB70BF1"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194FF478" w14:textId="0F09D91F"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2B625CBD" w14:textId="77777777" w:rsidR="00054FF8" w:rsidRPr="00054FF8" w:rsidRDefault="00054FF8" w:rsidP="00054FF8">
            <w:pPr>
              <w:spacing w:after="120"/>
              <w:jc w:val="center"/>
              <w:rPr>
                <w:rFonts w:ascii="Arial" w:hAnsi="Arial" w:cs="Arial"/>
              </w:rPr>
            </w:pPr>
          </w:p>
        </w:tc>
        <w:tc>
          <w:tcPr>
            <w:tcW w:w="618" w:type="dxa"/>
          </w:tcPr>
          <w:p w14:paraId="778C7A86" w14:textId="0036E929"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63456BE6" w14:textId="4A78A7ED"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79495541" w14:textId="4CCAC58D" w:rsidR="00054FF8" w:rsidRPr="00054FF8" w:rsidRDefault="00054FF8" w:rsidP="00054FF8">
            <w:pPr>
              <w:spacing w:after="120"/>
              <w:jc w:val="center"/>
              <w:rPr>
                <w:rFonts w:ascii="Arial" w:hAnsi="Arial" w:cs="Arial"/>
              </w:rPr>
            </w:pPr>
            <w:r w:rsidRPr="00054FF8">
              <w:rPr>
                <w:rFonts w:ascii="Arial" w:hAnsi="Arial" w:cs="Arial"/>
              </w:rPr>
              <w:t>X</w:t>
            </w:r>
          </w:p>
        </w:tc>
      </w:tr>
      <w:tr w:rsidR="00054FF8" w:rsidRPr="00302082" w14:paraId="1B4F970F" w14:textId="77777777" w:rsidTr="00054FF8">
        <w:trPr>
          <w:jc w:val="center"/>
        </w:trPr>
        <w:tc>
          <w:tcPr>
            <w:tcW w:w="3119" w:type="dxa"/>
          </w:tcPr>
          <w:p w14:paraId="1CB49F89" w14:textId="77777777" w:rsidR="00054FF8" w:rsidRPr="007F6806" w:rsidRDefault="00054FF8" w:rsidP="003A0B71">
            <w:pPr>
              <w:spacing w:after="120"/>
              <w:rPr>
                <w:rFonts w:ascii="Arial" w:hAnsi="Arial" w:cs="Arial"/>
              </w:rPr>
            </w:pPr>
            <w:r>
              <w:rPr>
                <w:rFonts w:ascii="Arial" w:hAnsi="Arial" w:cs="Arial"/>
              </w:rPr>
              <w:t>Seminar</w:t>
            </w:r>
          </w:p>
        </w:tc>
        <w:tc>
          <w:tcPr>
            <w:tcW w:w="618" w:type="dxa"/>
          </w:tcPr>
          <w:p w14:paraId="6858317B" w14:textId="7C51C7D7"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1A6F24E3" w14:textId="27CDAA3D"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34E6CCD7" w14:textId="20284F4A"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154D2CAC" w14:textId="71153D2A"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4CB790C9" w14:textId="46FBDB94"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393A41BE" w14:textId="3D6F11CC"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0AF8DDE2" w14:textId="5607DA8B"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0864E200" w14:textId="76F51601"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213EC4A3" w14:textId="2048ADBE"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000A6242" w14:textId="2D624343"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29682491" w14:textId="02028F16" w:rsidR="00054FF8" w:rsidRPr="00054FF8" w:rsidRDefault="00054FF8" w:rsidP="00054FF8">
            <w:pPr>
              <w:spacing w:after="120"/>
              <w:jc w:val="center"/>
              <w:rPr>
                <w:rFonts w:ascii="Arial" w:hAnsi="Arial" w:cs="Arial"/>
              </w:rPr>
            </w:pPr>
            <w:r w:rsidRPr="00054FF8">
              <w:rPr>
                <w:rFonts w:ascii="Arial" w:hAnsi="Arial" w:cs="Arial"/>
              </w:rPr>
              <w:t>X</w:t>
            </w:r>
          </w:p>
        </w:tc>
      </w:tr>
      <w:tr w:rsidR="00054FF8" w:rsidRPr="00302082" w14:paraId="122C1CE5" w14:textId="77777777" w:rsidTr="00054FF8">
        <w:trPr>
          <w:jc w:val="center"/>
        </w:trPr>
        <w:tc>
          <w:tcPr>
            <w:tcW w:w="3119" w:type="dxa"/>
            <w:shd w:val="clear" w:color="auto" w:fill="D9D9D9" w:themeFill="background1" w:themeFillShade="D9"/>
          </w:tcPr>
          <w:p w14:paraId="5762ED65" w14:textId="77777777" w:rsidR="00054FF8" w:rsidRPr="00302082" w:rsidRDefault="00054FF8" w:rsidP="003A0B71">
            <w:pPr>
              <w:spacing w:after="120"/>
              <w:rPr>
                <w:rFonts w:ascii="Arial" w:hAnsi="Arial" w:cs="Arial"/>
                <w:b/>
              </w:rPr>
            </w:pPr>
            <w:r w:rsidRPr="00302082">
              <w:rPr>
                <w:rFonts w:ascii="Arial" w:hAnsi="Arial" w:cs="Arial"/>
                <w:b/>
              </w:rPr>
              <w:t>Assessment method</w:t>
            </w:r>
          </w:p>
        </w:tc>
        <w:tc>
          <w:tcPr>
            <w:tcW w:w="618" w:type="dxa"/>
          </w:tcPr>
          <w:p w14:paraId="14C8EF0A" w14:textId="77777777" w:rsidR="00054FF8" w:rsidRPr="00054FF8" w:rsidRDefault="00054FF8" w:rsidP="00054FF8">
            <w:pPr>
              <w:spacing w:after="120"/>
              <w:jc w:val="center"/>
              <w:rPr>
                <w:rFonts w:ascii="Arial" w:hAnsi="Arial" w:cs="Arial"/>
                <w:b/>
              </w:rPr>
            </w:pPr>
          </w:p>
        </w:tc>
        <w:tc>
          <w:tcPr>
            <w:tcW w:w="619" w:type="dxa"/>
          </w:tcPr>
          <w:p w14:paraId="7B86FE63" w14:textId="77777777" w:rsidR="00054FF8" w:rsidRPr="00054FF8" w:rsidRDefault="00054FF8" w:rsidP="00054FF8">
            <w:pPr>
              <w:spacing w:after="120"/>
              <w:jc w:val="center"/>
              <w:rPr>
                <w:rFonts w:ascii="Arial" w:hAnsi="Arial" w:cs="Arial"/>
                <w:b/>
              </w:rPr>
            </w:pPr>
          </w:p>
        </w:tc>
        <w:tc>
          <w:tcPr>
            <w:tcW w:w="618" w:type="dxa"/>
          </w:tcPr>
          <w:p w14:paraId="04DA1F2B" w14:textId="77777777" w:rsidR="00054FF8" w:rsidRPr="00054FF8" w:rsidRDefault="00054FF8" w:rsidP="00054FF8">
            <w:pPr>
              <w:spacing w:after="120"/>
              <w:jc w:val="center"/>
              <w:rPr>
                <w:rFonts w:ascii="Arial" w:hAnsi="Arial" w:cs="Arial"/>
                <w:b/>
              </w:rPr>
            </w:pPr>
          </w:p>
        </w:tc>
        <w:tc>
          <w:tcPr>
            <w:tcW w:w="619" w:type="dxa"/>
          </w:tcPr>
          <w:p w14:paraId="3EEA6A32" w14:textId="77777777" w:rsidR="00054FF8" w:rsidRPr="00054FF8" w:rsidRDefault="00054FF8" w:rsidP="00054FF8">
            <w:pPr>
              <w:spacing w:after="120"/>
              <w:jc w:val="center"/>
              <w:rPr>
                <w:rFonts w:ascii="Arial" w:hAnsi="Arial" w:cs="Arial"/>
                <w:b/>
              </w:rPr>
            </w:pPr>
          </w:p>
        </w:tc>
        <w:tc>
          <w:tcPr>
            <w:tcW w:w="618" w:type="dxa"/>
          </w:tcPr>
          <w:p w14:paraId="41F8D522" w14:textId="77777777" w:rsidR="00054FF8" w:rsidRPr="00054FF8" w:rsidRDefault="00054FF8" w:rsidP="00054FF8">
            <w:pPr>
              <w:spacing w:after="120"/>
              <w:jc w:val="center"/>
              <w:rPr>
                <w:rFonts w:ascii="Arial" w:hAnsi="Arial" w:cs="Arial"/>
                <w:b/>
              </w:rPr>
            </w:pPr>
          </w:p>
        </w:tc>
        <w:tc>
          <w:tcPr>
            <w:tcW w:w="619" w:type="dxa"/>
          </w:tcPr>
          <w:p w14:paraId="02155272" w14:textId="77777777" w:rsidR="00054FF8" w:rsidRPr="00054FF8" w:rsidRDefault="00054FF8" w:rsidP="00054FF8">
            <w:pPr>
              <w:spacing w:after="120"/>
              <w:jc w:val="center"/>
              <w:rPr>
                <w:rFonts w:ascii="Arial" w:hAnsi="Arial" w:cs="Arial"/>
                <w:b/>
              </w:rPr>
            </w:pPr>
          </w:p>
        </w:tc>
        <w:tc>
          <w:tcPr>
            <w:tcW w:w="618" w:type="dxa"/>
          </w:tcPr>
          <w:p w14:paraId="070891C5" w14:textId="77777777" w:rsidR="00054FF8" w:rsidRPr="00054FF8" w:rsidRDefault="00054FF8" w:rsidP="00054FF8">
            <w:pPr>
              <w:spacing w:after="120"/>
              <w:jc w:val="center"/>
              <w:rPr>
                <w:rFonts w:ascii="Arial" w:hAnsi="Arial" w:cs="Arial"/>
                <w:b/>
              </w:rPr>
            </w:pPr>
          </w:p>
        </w:tc>
        <w:tc>
          <w:tcPr>
            <w:tcW w:w="619" w:type="dxa"/>
          </w:tcPr>
          <w:p w14:paraId="6ECCE871" w14:textId="77777777" w:rsidR="00054FF8" w:rsidRPr="00054FF8" w:rsidRDefault="00054FF8" w:rsidP="00054FF8">
            <w:pPr>
              <w:spacing w:after="120"/>
              <w:jc w:val="center"/>
              <w:rPr>
                <w:rFonts w:ascii="Arial" w:hAnsi="Arial" w:cs="Arial"/>
                <w:b/>
              </w:rPr>
            </w:pPr>
          </w:p>
        </w:tc>
        <w:tc>
          <w:tcPr>
            <w:tcW w:w="618" w:type="dxa"/>
          </w:tcPr>
          <w:p w14:paraId="45FE1886" w14:textId="77777777" w:rsidR="00054FF8" w:rsidRPr="00054FF8" w:rsidRDefault="00054FF8" w:rsidP="00054FF8">
            <w:pPr>
              <w:spacing w:after="120"/>
              <w:jc w:val="center"/>
              <w:rPr>
                <w:rFonts w:ascii="Arial" w:hAnsi="Arial" w:cs="Arial"/>
                <w:b/>
              </w:rPr>
            </w:pPr>
          </w:p>
        </w:tc>
        <w:tc>
          <w:tcPr>
            <w:tcW w:w="619" w:type="dxa"/>
          </w:tcPr>
          <w:p w14:paraId="3FFFA35F" w14:textId="77777777" w:rsidR="00054FF8" w:rsidRPr="00054FF8" w:rsidRDefault="00054FF8" w:rsidP="00054FF8">
            <w:pPr>
              <w:spacing w:after="120"/>
              <w:jc w:val="center"/>
              <w:rPr>
                <w:rFonts w:ascii="Arial" w:hAnsi="Arial" w:cs="Arial"/>
                <w:b/>
              </w:rPr>
            </w:pPr>
          </w:p>
        </w:tc>
        <w:tc>
          <w:tcPr>
            <w:tcW w:w="619" w:type="dxa"/>
          </w:tcPr>
          <w:p w14:paraId="4D2B536B" w14:textId="77777777" w:rsidR="00054FF8" w:rsidRPr="00054FF8" w:rsidRDefault="00054FF8" w:rsidP="00054FF8">
            <w:pPr>
              <w:spacing w:after="120"/>
              <w:jc w:val="center"/>
              <w:rPr>
                <w:rFonts w:ascii="Arial" w:hAnsi="Arial" w:cs="Arial"/>
                <w:b/>
              </w:rPr>
            </w:pPr>
          </w:p>
        </w:tc>
      </w:tr>
      <w:tr w:rsidR="00054FF8" w:rsidRPr="007F6806" w14:paraId="727A04CA" w14:textId="77777777" w:rsidTr="00054FF8">
        <w:trPr>
          <w:jc w:val="center"/>
        </w:trPr>
        <w:tc>
          <w:tcPr>
            <w:tcW w:w="3119" w:type="dxa"/>
          </w:tcPr>
          <w:p w14:paraId="415D3BAF" w14:textId="77777777" w:rsidR="00054FF8" w:rsidRDefault="00054FF8" w:rsidP="003A0B71">
            <w:pPr>
              <w:spacing w:after="120"/>
              <w:rPr>
                <w:rFonts w:ascii="Arial" w:hAnsi="Arial" w:cs="Arial"/>
              </w:rPr>
            </w:pPr>
            <w:r>
              <w:rPr>
                <w:rFonts w:ascii="Arial" w:hAnsi="Arial" w:cs="Arial"/>
              </w:rPr>
              <w:t>Research Project</w:t>
            </w:r>
          </w:p>
          <w:p w14:paraId="30C76EC9" w14:textId="3E458E2F" w:rsidR="00054FF8" w:rsidRPr="007F6806" w:rsidRDefault="00054FF8" w:rsidP="002374A4">
            <w:pPr>
              <w:spacing w:after="120"/>
              <w:rPr>
                <w:rFonts w:ascii="Arial" w:hAnsi="Arial" w:cs="Arial"/>
              </w:rPr>
            </w:pPr>
            <w:r>
              <w:rPr>
                <w:rFonts w:ascii="Arial" w:hAnsi="Arial" w:cs="Arial"/>
              </w:rPr>
              <w:t>(2000) words</w:t>
            </w:r>
          </w:p>
        </w:tc>
        <w:tc>
          <w:tcPr>
            <w:tcW w:w="618" w:type="dxa"/>
          </w:tcPr>
          <w:p w14:paraId="70C7D4BE" w14:textId="48C20C19"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3D39829F" w14:textId="3E636EE1"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6254E281" w14:textId="5C2B5B4E"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6D825969" w14:textId="5F1D2936"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3CACF639" w14:textId="77777777" w:rsidR="00054FF8" w:rsidRPr="00054FF8" w:rsidRDefault="00054FF8" w:rsidP="00054FF8">
            <w:pPr>
              <w:spacing w:after="120"/>
              <w:jc w:val="center"/>
              <w:rPr>
                <w:rFonts w:ascii="Arial" w:hAnsi="Arial" w:cs="Arial"/>
              </w:rPr>
            </w:pPr>
          </w:p>
        </w:tc>
        <w:tc>
          <w:tcPr>
            <w:tcW w:w="619" w:type="dxa"/>
          </w:tcPr>
          <w:p w14:paraId="526EC3E5" w14:textId="77777777" w:rsidR="00054FF8" w:rsidRPr="00054FF8" w:rsidRDefault="00054FF8" w:rsidP="00054FF8">
            <w:pPr>
              <w:spacing w:after="120"/>
              <w:jc w:val="center"/>
              <w:rPr>
                <w:rFonts w:ascii="Arial" w:hAnsi="Arial" w:cs="Arial"/>
              </w:rPr>
            </w:pPr>
          </w:p>
        </w:tc>
        <w:tc>
          <w:tcPr>
            <w:tcW w:w="618" w:type="dxa"/>
          </w:tcPr>
          <w:p w14:paraId="7E5E0433" w14:textId="77777777" w:rsidR="00054FF8" w:rsidRPr="00054FF8" w:rsidRDefault="00054FF8" w:rsidP="00054FF8">
            <w:pPr>
              <w:spacing w:after="120"/>
              <w:jc w:val="center"/>
              <w:rPr>
                <w:rFonts w:ascii="Arial" w:hAnsi="Arial" w:cs="Arial"/>
              </w:rPr>
            </w:pPr>
          </w:p>
        </w:tc>
        <w:tc>
          <w:tcPr>
            <w:tcW w:w="619" w:type="dxa"/>
          </w:tcPr>
          <w:p w14:paraId="77D41AD3" w14:textId="5ECBBD13" w:rsidR="00054FF8" w:rsidRPr="00054FF8" w:rsidRDefault="00054FF8" w:rsidP="00054FF8">
            <w:pPr>
              <w:spacing w:after="120"/>
              <w:jc w:val="center"/>
              <w:rPr>
                <w:rFonts w:ascii="Arial" w:hAnsi="Arial" w:cs="Arial"/>
              </w:rPr>
            </w:pPr>
            <w:r w:rsidRPr="00054FF8">
              <w:rPr>
                <w:rFonts w:ascii="Arial" w:hAnsi="Arial" w:cs="Arial"/>
              </w:rPr>
              <w:t>X</w:t>
            </w:r>
          </w:p>
        </w:tc>
        <w:tc>
          <w:tcPr>
            <w:tcW w:w="618" w:type="dxa"/>
          </w:tcPr>
          <w:p w14:paraId="1F160C10" w14:textId="1F33E06C"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2BD97B95" w14:textId="2D9A2BC5" w:rsidR="00054FF8" w:rsidRPr="00054FF8" w:rsidRDefault="00054FF8" w:rsidP="00054FF8">
            <w:pPr>
              <w:spacing w:after="120"/>
              <w:jc w:val="center"/>
              <w:rPr>
                <w:rFonts w:ascii="Arial" w:hAnsi="Arial" w:cs="Arial"/>
              </w:rPr>
            </w:pPr>
            <w:r w:rsidRPr="00054FF8">
              <w:rPr>
                <w:rFonts w:ascii="Arial" w:hAnsi="Arial" w:cs="Arial"/>
              </w:rPr>
              <w:t>X</w:t>
            </w:r>
          </w:p>
        </w:tc>
        <w:tc>
          <w:tcPr>
            <w:tcW w:w="619" w:type="dxa"/>
          </w:tcPr>
          <w:p w14:paraId="5166DEB1" w14:textId="1D5988CA" w:rsidR="00054FF8" w:rsidRPr="00054FF8" w:rsidRDefault="00054FF8" w:rsidP="00054FF8">
            <w:pPr>
              <w:spacing w:after="120"/>
              <w:jc w:val="center"/>
              <w:rPr>
                <w:rFonts w:ascii="Arial" w:hAnsi="Arial" w:cs="Arial"/>
              </w:rPr>
            </w:pPr>
          </w:p>
        </w:tc>
      </w:tr>
      <w:tr w:rsidR="00054FF8" w:rsidRPr="007F6806" w14:paraId="5C93283B" w14:textId="09131CE5" w:rsidTr="00054FF8">
        <w:trPr>
          <w:jc w:val="center"/>
        </w:trPr>
        <w:tc>
          <w:tcPr>
            <w:tcW w:w="3119" w:type="dxa"/>
          </w:tcPr>
          <w:p w14:paraId="187C7F65" w14:textId="77777777" w:rsidR="00054FF8" w:rsidRPr="007F6806" w:rsidRDefault="00054FF8" w:rsidP="00054FF8">
            <w:pPr>
              <w:spacing w:after="120"/>
              <w:rPr>
                <w:rFonts w:ascii="Arial" w:hAnsi="Arial" w:cs="Arial"/>
              </w:rPr>
            </w:pPr>
            <w:r w:rsidRPr="007F6806">
              <w:rPr>
                <w:rFonts w:ascii="Arial" w:hAnsi="Arial" w:cs="Arial"/>
              </w:rPr>
              <w:t xml:space="preserve">Essay </w:t>
            </w:r>
          </w:p>
          <w:p w14:paraId="253B1725" w14:textId="7B30090C" w:rsidR="00054FF8" w:rsidRDefault="00054FF8" w:rsidP="00054FF8">
            <w:pPr>
              <w:spacing w:after="120"/>
              <w:rPr>
                <w:rFonts w:ascii="Arial" w:hAnsi="Arial" w:cs="Arial"/>
              </w:rPr>
            </w:pPr>
            <w:r w:rsidRPr="007F6806">
              <w:rPr>
                <w:rFonts w:ascii="Arial" w:hAnsi="Arial" w:cs="Arial"/>
              </w:rPr>
              <w:t>(3000 words)</w:t>
            </w:r>
          </w:p>
        </w:tc>
        <w:tc>
          <w:tcPr>
            <w:tcW w:w="618" w:type="dxa"/>
          </w:tcPr>
          <w:p w14:paraId="66F3BAF5" w14:textId="74FBD4C4" w:rsidR="00054FF8" w:rsidRPr="00054FF8" w:rsidRDefault="00054FF8" w:rsidP="00054FF8">
            <w:pPr>
              <w:spacing w:after="120"/>
              <w:jc w:val="center"/>
              <w:rPr>
                <w:rFonts w:ascii="Arial" w:hAnsi="Arial" w:cs="Arial"/>
              </w:rPr>
            </w:pPr>
            <w:r>
              <w:rPr>
                <w:rFonts w:ascii="Arial" w:hAnsi="Arial" w:cs="Arial"/>
              </w:rPr>
              <w:t>X</w:t>
            </w:r>
          </w:p>
        </w:tc>
        <w:tc>
          <w:tcPr>
            <w:tcW w:w="619" w:type="dxa"/>
          </w:tcPr>
          <w:p w14:paraId="2F584503" w14:textId="32CD3611" w:rsidR="00054FF8" w:rsidRPr="00054FF8" w:rsidRDefault="00054FF8" w:rsidP="00054FF8">
            <w:pPr>
              <w:spacing w:after="120"/>
              <w:jc w:val="center"/>
              <w:rPr>
                <w:rFonts w:ascii="Arial" w:hAnsi="Arial" w:cs="Arial"/>
              </w:rPr>
            </w:pPr>
            <w:r>
              <w:rPr>
                <w:rFonts w:ascii="Arial" w:hAnsi="Arial" w:cs="Arial"/>
              </w:rPr>
              <w:t>X</w:t>
            </w:r>
          </w:p>
        </w:tc>
        <w:tc>
          <w:tcPr>
            <w:tcW w:w="618" w:type="dxa"/>
          </w:tcPr>
          <w:p w14:paraId="685C4F2A" w14:textId="652EB17D" w:rsidR="00054FF8" w:rsidRPr="00054FF8" w:rsidRDefault="00054FF8" w:rsidP="00054FF8">
            <w:pPr>
              <w:spacing w:after="120"/>
              <w:jc w:val="center"/>
              <w:rPr>
                <w:rFonts w:ascii="Arial" w:hAnsi="Arial" w:cs="Arial"/>
              </w:rPr>
            </w:pPr>
            <w:r>
              <w:rPr>
                <w:rFonts w:ascii="Arial" w:hAnsi="Arial" w:cs="Arial"/>
              </w:rPr>
              <w:t>X</w:t>
            </w:r>
          </w:p>
        </w:tc>
        <w:tc>
          <w:tcPr>
            <w:tcW w:w="619" w:type="dxa"/>
          </w:tcPr>
          <w:p w14:paraId="3855FE9C" w14:textId="2067F2E3" w:rsidR="00054FF8" w:rsidRPr="00054FF8" w:rsidRDefault="00054FF8" w:rsidP="00054FF8">
            <w:pPr>
              <w:spacing w:after="120"/>
              <w:jc w:val="center"/>
              <w:rPr>
                <w:rFonts w:ascii="Arial" w:hAnsi="Arial" w:cs="Arial"/>
              </w:rPr>
            </w:pPr>
            <w:r>
              <w:rPr>
                <w:rFonts w:ascii="Arial" w:hAnsi="Arial" w:cs="Arial"/>
              </w:rPr>
              <w:t>X</w:t>
            </w:r>
          </w:p>
        </w:tc>
        <w:tc>
          <w:tcPr>
            <w:tcW w:w="618" w:type="dxa"/>
          </w:tcPr>
          <w:p w14:paraId="56158648" w14:textId="2B717FFF" w:rsidR="00054FF8" w:rsidRPr="00054FF8" w:rsidRDefault="00054FF8" w:rsidP="00054FF8">
            <w:pPr>
              <w:spacing w:after="120"/>
              <w:jc w:val="center"/>
              <w:rPr>
                <w:rFonts w:ascii="Arial" w:hAnsi="Arial" w:cs="Arial"/>
              </w:rPr>
            </w:pPr>
            <w:r>
              <w:rPr>
                <w:rFonts w:ascii="Arial" w:hAnsi="Arial" w:cs="Arial"/>
              </w:rPr>
              <w:t>X</w:t>
            </w:r>
          </w:p>
        </w:tc>
        <w:tc>
          <w:tcPr>
            <w:tcW w:w="619" w:type="dxa"/>
          </w:tcPr>
          <w:p w14:paraId="12CD494F" w14:textId="349BD2A8" w:rsidR="00054FF8" w:rsidRPr="00054FF8" w:rsidRDefault="00054FF8" w:rsidP="00054FF8">
            <w:pPr>
              <w:spacing w:after="120"/>
              <w:jc w:val="center"/>
              <w:rPr>
                <w:rFonts w:ascii="Arial" w:hAnsi="Arial" w:cs="Arial"/>
              </w:rPr>
            </w:pPr>
            <w:r>
              <w:rPr>
                <w:rFonts w:ascii="Arial" w:hAnsi="Arial" w:cs="Arial"/>
              </w:rPr>
              <w:t>X</w:t>
            </w:r>
          </w:p>
        </w:tc>
        <w:tc>
          <w:tcPr>
            <w:tcW w:w="618" w:type="dxa"/>
          </w:tcPr>
          <w:p w14:paraId="6882044F" w14:textId="1EE33F1F" w:rsidR="00054FF8" w:rsidRPr="00054FF8" w:rsidRDefault="00054FF8" w:rsidP="00054FF8">
            <w:pPr>
              <w:spacing w:after="120"/>
              <w:jc w:val="center"/>
              <w:rPr>
                <w:rFonts w:ascii="Arial" w:hAnsi="Arial" w:cs="Arial"/>
              </w:rPr>
            </w:pPr>
            <w:r>
              <w:rPr>
                <w:rFonts w:ascii="Arial" w:hAnsi="Arial" w:cs="Arial"/>
              </w:rPr>
              <w:t>X</w:t>
            </w:r>
          </w:p>
        </w:tc>
        <w:tc>
          <w:tcPr>
            <w:tcW w:w="619" w:type="dxa"/>
          </w:tcPr>
          <w:p w14:paraId="5EEC35C5" w14:textId="0F88D8E1" w:rsidR="00054FF8" w:rsidRPr="00054FF8" w:rsidRDefault="00054FF8" w:rsidP="00054FF8">
            <w:pPr>
              <w:spacing w:after="120"/>
              <w:jc w:val="center"/>
              <w:rPr>
                <w:rFonts w:ascii="Arial" w:hAnsi="Arial" w:cs="Arial"/>
              </w:rPr>
            </w:pPr>
            <w:r>
              <w:rPr>
                <w:rFonts w:ascii="Arial" w:hAnsi="Arial" w:cs="Arial"/>
              </w:rPr>
              <w:t>X</w:t>
            </w:r>
          </w:p>
        </w:tc>
        <w:tc>
          <w:tcPr>
            <w:tcW w:w="618" w:type="dxa"/>
          </w:tcPr>
          <w:p w14:paraId="26D7B610" w14:textId="433BA9F1" w:rsidR="00054FF8" w:rsidRPr="00054FF8" w:rsidRDefault="00054FF8" w:rsidP="00054FF8">
            <w:pPr>
              <w:spacing w:after="120"/>
              <w:jc w:val="center"/>
              <w:rPr>
                <w:rFonts w:ascii="Arial" w:hAnsi="Arial" w:cs="Arial"/>
              </w:rPr>
            </w:pPr>
            <w:r>
              <w:rPr>
                <w:rFonts w:ascii="Arial" w:hAnsi="Arial" w:cs="Arial"/>
              </w:rPr>
              <w:t>X</w:t>
            </w:r>
          </w:p>
        </w:tc>
        <w:tc>
          <w:tcPr>
            <w:tcW w:w="619" w:type="dxa"/>
          </w:tcPr>
          <w:p w14:paraId="3C704214" w14:textId="3E479803" w:rsidR="00054FF8" w:rsidRPr="00054FF8" w:rsidRDefault="00054FF8" w:rsidP="00054FF8">
            <w:pPr>
              <w:spacing w:after="120"/>
              <w:jc w:val="center"/>
              <w:rPr>
                <w:rFonts w:ascii="Arial" w:hAnsi="Arial" w:cs="Arial"/>
              </w:rPr>
            </w:pPr>
          </w:p>
        </w:tc>
        <w:tc>
          <w:tcPr>
            <w:tcW w:w="619" w:type="dxa"/>
          </w:tcPr>
          <w:p w14:paraId="39A3D0EF" w14:textId="2DFB30B1" w:rsidR="00054FF8" w:rsidRPr="00054FF8" w:rsidRDefault="00054FF8" w:rsidP="00054FF8">
            <w:pPr>
              <w:spacing w:after="120"/>
              <w:jc w:val="center"/>
              <w:rPr>
                <w:rFonts w:ascii="Arial" w:hAnsi="Arial" w:cs="Arial"/>
              </w:rPr>
            </w:pPr>
            <w:r>
              <w:rPr>
                <w:rFonts w:ascii="Arial" w:hAnsi="Arial" w:cs="Arial"/>
              </w:rPr>
              <w:t>X</w:t>
            </w:r>
          </w:p>
        </w:tc>
      </w:tr>
    </w:tbl>
    <w:p w14:paraId="78D1A65D" w14:textId="6F5B7778" w:rsidR="00052340" w:rsidRDefault="00052340" w:rsidP="00054FF8">
      <w:pPr>
        <w:spacing w:after="120" w:line="240" w:lineRule="auto"/>
        <w:ind w:right="260"/>
        <w:rPr>
          <w:rFonts w:ascii="Arial" w:hAnsi="Arial" w:cs="Arial"/>
          <w:b/>
          <w:iCs/>
        </w:rPr>
      </w:pPr>
    </w:p>
    <w:p w14:paraId="1DE83898" w14:textId="77777777" w:rsidR="00052340" w:rsidRPr="00D50113" w:rsidRDefault="00052340" w:rsidP="0005234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0CFEDF7" w14:textId="35A718B1" w:rsidR="00052340" w:rsidRPr="00D50113" w:rsidRDefault="00052340" w:rsidP="0005234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054FF8">
        <w:rPr>
          <w:rFonts w:ascii="Arial" w:hAnsi="Arial" w:cs="Arial"/>
        </w:rPr>
        <w:t>Division/</w:t>
      </w:r>
      <w:r>
        <w:rPr>
          <w:rFonts w:ascii="Arial" w:hAnsi="Arial" w:cs="Arial"/>
        </w:rPr>
        <w:t xml:space="preserve">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3E91942" w14:textId="77777777" w:rsidR="00052340" w:rsidRPr="00D50113" w:rsidRDefault="00052340" w:rsidP="0005234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7AF4FB" w14:textId="77777777" w:rsidR="00052340" w:rsidRPr="00D50113" w:rsidRDefault="00052340" w:rsidP="0005234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81532B4" w14:textId="77777777" w:rsidR="00052340" w:rsidRPr="00D50113" w:rsidRDefault="00052340" w:rsidP="0005234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046DDFD" w14:textId="77777777" w:rsidR="00052340" w:rsidRDefault="00052340" w:rsidP="00052340">
      <w:pPr>
        <w:spacing w:after="120" w:line="240" w:lineRule="auto"/>
        <w:ind w:left="426" w:right="260"/>
        <w:rPr>
          <w:rFonts w:ascii="Arial" w:hAnsi="Arial" w:cs="Arial"/>
          <w:iCs/>
        </w:rPr>
      </w:pPr>
    </w:p>
    <w:p w14:paraId="39BEE809" w14:textId="77777777" w:rsidR="00052340" w:rsidRDefault="00052340" w:rsidP="0005234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6BD872CA" w14:textId="77777777" w:rsidR="00052340" w:rsidRDefault="00052340" w:rsidP="00052340">
      <w:pPr>
        <w:spacing w:after="120" w:line="240" w:lineRule="auto"/>
        <w:ind w:left="1134" w:right="260" w:hanging="567"/>
        <w:jc w:val="both"/>
        <w:rPr>
          <w:rFonts w:ascii="Arial" w:hAnsi="Arial" w:cs="Arial"/>
        </w:rPr>
      </w:pPr>
      <w:r w:rsidRPr="007F6806">
        <w:rPr>
          <w:rFonts w:ascii="Arial" w:hAnsi="Arial" w:cs="Arial"/>
        </w:rPr>
        <w:t>Canterbury</w:t>
      </w:r>
    </w:p>
    <w:p w14:paraId="6BDC2D2C" w14:textId="77777777" w:rsidR="0012541A" w:rsidRPr="007F6806" w:rsidRDefault="0012541A" w:rsidP="00052340">
      <w:pPr>
        <w:spacing w:after="120" w:line="240" w:lineRule="auto"/>
        <w:ind w:left="1134" w:right="260" w:hanging="567"/>
        <w:jc w:val="both"/>
        <w:rPr>
          <w:rFonts w:ascii="Arial" w:hAnsi="Arial" w:cs="Arial"/>
        </w:rPr>
      </w:pPr>
    </w:p>
    <w:p w14:paraId="69B8AF95" w14:textId="77777777" w:rsidR="00052340" w:rsidRPr="002A7F48" w:rsidRDefault="00052340" w:rsidP="0005234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D34DF3D" w14:textId="5282D9ED" w:rsidR="00052340" w:rsidRPr="007F6806" w:rsidRDefault="00052340" w:rsidP="00054FF8">
      <w:pPr>
        <w:pStyle w:val="ListParagraph"/>
        <w:autoSpaceDE w:val="0"/>
        <w:autoSpaceDN w:val="0"/>
        <w:adjustRightInd w:val="0"/>
        <w:spacing w:after="120" w:line="240" w:lineRule="auto"/>
        <w:ind w:left="567" w:right="261"/>
        <w:jc w:val="both"/>
        <w:rPr>
          <w:rFonts w:ascii="Arial" w:hAnsi="Arial" w:cs="Arial"/>
        </w:rPr>
      </w:pPr>
      <w:r w:rsidRPr="007F6806">
        <w:rPr>
          <w:rFonts w:ascii="Arial" w:hAnsi="Arial" w:cs="Arial"/>
        </w:rPr>
        <w:t xml:space="preserve">This module deals with the cross-national variation in the gender practices/division of labour across Europe, and the world. Each week the lectures will look at the international differences in the topic, and thus will gage the interest of not only British but International students. During the </w:t>
      </w:r>
      <w:r w:rsidR="00795222" w:rsidRPr="007F6806">
        <w:rPr>
          <w:rFonts w:ascii="Arial" w:hAnsi="Arial" w:cs="Arial"/>
        </w:rPr>
        <w:t>seminars,</w:t>
      </w:r>
      <w:r w:rsidRPr="007F6806">
        <w:rPr>
          <w:rFonts w:ascii="Arial" w:hAnsi="Arial" w:cs="Arial"/>
        </w:rPr>
        <w:t xml:space="preserve"> students are also encouraged to look at practices across Europe/the world, and this cross-national variation will be an element tested through the modules aforementioned assessments. Internationalisation is thus strongly embedded in the subject content, and will be a part of the assessment tasks. </w:t>
      </w:r>
    </w:p>
    <w:p w14:paraId="5EDE4392" w14:textId="2BAC77C0" w:rsidR="00052340" w:rsidRPr="00BA453C" w:rsidRDefault="00795222" w:rsidP="00052340">
      <w:pPr>
        <w:spacing w:after="120" w:line="240" w:lineRule="auto"/>
        <w:ind w:right="260"/>
        <w:rPr>
          <w:rFonts w:ascii="Arial" w:hAnsi="Arial" w:cs="Arial"/>
          <w:b/>
          <w:sz w:val="20"/>
        </w:rPr>
      </w:pPr>
      <w:r>
        <w:rPr>
          <w:rFonts w:ascii="Arial" w:hAnsi="Arial" w:cs="Arial"/>
          <w:b/>
          <w:sz w:val="20"/>
        </w:rPr>
        <w:lastRenderedPageBreak/>
        <w:t>DIVISIONAL</w:t>
      </w:r>
      <w:r w:rsidR="00052340" w:rsidRPr="00BA453C">
        <w:rPr>
          <w:rFonts w:ascii="Arial" w:hAnsi="Arial" w:cs="Arial"/>
          <w:b/>
          <w:sz w:val="20"/>
        </w:rPr>
        <w:t xml:space="preserve"> USE ONLY </w:t>
      </w:r>
    </w:p>
    <w:p w14:paraId="0FD3121B" w14:textId="77777777" w:rsidR="00052340" w:rsidRPr="00BA453C" w:rsidRDefault="00052340" w:rsidP="00052340">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F6A5606" w14:textId="77777777" w:rsidR="00052340" w:rsidRPr="00302082" w:rsidRDefault="00052340" w:rsidP="00052340">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052340" w:rsidRPr="00BA453C" w14:paraId="23741AA2" w14:textId="77777777" w:rsidTr="003A0B71">
        <w:trPr>
          <w:trHeight w:val="317"/>
        </w:trPr>
        <w:tc>
          <w:tcPr>
            <w:tcW w:w="1526" w:type="dxa"/>
          </w:tcPr>
          <w:p w14:paraId="1D72F135" w14:textId="77777777" w:rsidR="00052340" w:rsidRPr="00BA453C" w:rsidRDefault="00052340" w:rsidP="003A0B71">
            <w:pPr>
              <w:spacing w:after="120"/>
              <w:ind w:right="-330"/>
              <w:rPr>
                <w:rFonts w:ascii="Arial" w:hAnsi="Arial" w:cs="Arial"/>
                <w:sz w:val="18"/>
              </w:rPr>
            </w:pPr>
            <w:r w:rsidRPr="00BA453C">
              <w:rPr>
                <w:rFonts w:ascii="Arial" w:hAnsi="Arial" w:cs="Arial"/>
                <w:sz w:val="18"/>
              </w:rPr>
              <w:t>Date approved</w:t>
            </w:r>
          </w:p>
        </w:tc>
        <w:tc>
          <w:tcPr>
            <w:tcW w:w="1701" w:type="dxa"/>
          </w:tcPr>
          <w:p w14:paraId="5D9C4D9A" w14:textId="77777777" w:rsidR="00052340" w:rsidRPr="00BA453C" w:rsidRDefault="00052340" w:rsidP="003A0B71">
            <w:pPr>
              <w:spacing w:after="120"/>
              <w:rPr>
                <w:rFonts w:ascii="Arial" w:hAnsi="Arial" w:cs="Arial"/>
                <w:sz w:val="18"/>
              </w:rPr>
            </w:pPr>
            <w:r w:rsidRPr="00BA453C">
              <w:rPr>
                <w:rFonts w:ascii="Arial" w:hAnsi="Arial" w:cs="Arial"/>
                <w:sz w:val="18"/>
              </w:rPr>
              <w:t>Major/minor revision</w:t>
            </w:r>
          </w:p>
        </w:tc>
        <w:tc>
          <w:tcPr>
            <w:tcW w:w="2410" w:type="dxa"/>
          </w:tcPr>
          <w:p w14:paraId="5059F47F" w14:textId="77777777" w:rsidR="00052340" w:rsidRPr="00BA453C" w:rsidRDefault="00052340" w:rsidP="003A0B71">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058707" w14:textId="77777777" w:rsidR="00052340" w:rsidRPr="00BA453C" w:rsidRDefault="00052340" w:rsidP="003A0B71">
            <w:pPr>
              <w:spacing w:after="120"/>
              <w:ind w:right="-330"/>
              <w:rPr>
                <w:rFonts w:ascii="Arial" w:hAnsi="Arial" w:cs="Arial"/>
                <w:sz w:val="18"/>
              </w:rPr>
            </w:pPr>
            <w:r w:rsidRPr="00BA453C">
              <w:rPr>
                <w:rFonts w:ascii="Arial" w:hAnsi="Arial" w:cs="Arial"/>
                <w:sz w:val="18"/>
              </w:rPr>
              <w:t>Section revised</w:t>
            </w:r>
          </w:p>
        </w:tc>
        <w:tc>
          <w:tcPr>
            <w:tcW w:w="2400" w:type="dxa"/>
          </w:tcPr>
          <w:p w14:paraId="3D19D7AF" w14:textId="77777777" w:rsidR="00052340" w:rsidRPr="00BA453C" w:rsidRDefault="00052340" w:rsidP="003A0B7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2541A" w:rsidRPr="00302082" w14:paraId="2F8D87F9" w14:textId="77777777" w:rsidTr="003A0B71">
        <w:trPr>
          <w:trHeight w:val="305"/>
        </w:trPr>
        <w:tc>
          <w:tcPr>
            <w:tcW w:w="1526" w:type="dxa"/>
          </w:tcPr>
          <w:p w14:paraId="382E8C53" w14:textId="04AA7E91" w:rsidR="0012541A" w:rsidRPr="00302082" w:rsidRDefault="0012541A" w:rsidP="0012541A">
            <w:pPr>
              <w:spacing w:after="120"/>
              <w:ind w:right="-330"/>
              <w:rPr>
                <w:rFonts w:ascii="Arial" w:hAnsi="Arial" w:cs="Arial"/>
              </w:rPr>
            </w:pPr>
            <w:r>
              <w:rPr>
                <w:rFonts w:ascii="Arial" w:hAnsi="Arial" w:cs="Arial"/>
              </w:rPr>
              <w:t>13/07/18</w:t>
            </w:r>
          </w:p>
        </w:tc>
        <w:tc>
          <w:tcPr>
            <w:tcW w:w="1701" w:type="dxa"/>
          </w:tcPr>
          <w:p w14:paraId="6CCA0CF7" w14:textId="1BC63FB1" w:rsidR="0012541A" w:rsidRPr="00302082" w:rsidRDefault="0012541A" w:rsidP="0012541A">
            <w:pPr>
              <w:spacing w:after="120"/>
              <w:ind w:right="-330"/>
              <w:rPr>
                <w:rFonts w:ascii="Arial" w:hAnsi="Arial" w:cs="Arial"/>
              </w:rPr>
            </w:pPr>
            <w:r>
              <w:rPr>
                <w:rFonts w:ascii="Arial" w:hAnsi="Arial" w:cs="Arial"/>
              </w:rPr>
              <w:t>Major</w:t>
            </w:r>
          </w:p>
        </w:tc>
        <w:tc>
          <w:tcPr>
            <w:tcW w:w="2410" w:type="dxa"/>
          </w:tcPr>
          <w:p w14:paraId="1E603E24" w14:textId="1F8639ED" w:rsidR="0012541A" w:rsidRPr="00302082" w:rsidRDefault="0012541A" w:rsidP="0012541A">
            <w:pPr>
              <w:spacing w:after="120"/>
              <w:ind w:right="-330"/>
              <w:rPr>
                <w:rFonts w:ascii="Arial" w:hAnsi="Arial" w:cs="Arial"/>
              </w:rPr>
            </w:pPr>
            <w:r>
              <w:rPr>
                <w:rFonts w:ascii="Arial" w:hAnsi="Arial" w:cs="Arial"/>
              </w:rPr>
              <w:t>2019/20</w:t>
            </w:r>
          </w:p>
        </w:tc>
        <w:tc>
          <w:tcPr>
            <w:tcW w:w="2448" w:type="dxa"/>
          </w:tcPr>
          <w:p w14:paraId="6D3CBFD2" w14:textId="7B68FDA7" w:rsidR="0012541A" w:rsidRPr="00302082" w:rsidRDefault="0012541A" w:rsidP="0012541A">
            <w:pPr>
              <w:spacing w:after="120"/>
              <w:ind w:right="-330"/>
              <w:rPr>
                <w:rFonts w:ascii="Arial" w:hAnsi="Arial" w:cs="Arial"/>
              </w:rPr>
            </w:pPr>
            <w:r>
              <w:rPr>
                <w:rFonts w:ascii="Arial" w:hAnsi="Arial" w:cs="Arial"/>
              </w:rPr>
              <w:t>5,8,9,11,12,13</w:t>
            </w:r>
          </w:p>
        </w:tc>
        <w:tc>
          <w:tcPr>
            <w:tcW w:w="2400" w:type="dxa"/>
          </w:tcPr>
          <w:p w14:paraId="4E97C5D6" w14:textId="05D7F797" w:rsidR="0012541A" w:rsidRPr="00302082" w:rsidRDefault="0012541A" w:rsidP="0012541A">
            <w:pPr>
              <w:spacing w:after="120"/>
              <w:ind w:right="-330"/>
              <w:rPr>
                <w:rFonts w:ascii="Arial" w:hAnsi="Arial" w:cs="Arial"/>
              </w:rPr>
            </w:pPr>
            <w:r>
              <w:rPr>
                <w:rFonts w:ascii="Arial" w:hAnsi="Arial" w:cs="Arial"/>
              </w:rPr>
              <w:t>No</w:t>
            </w:r>
          </w:p>
        </w:tc>
      </w:tr>
      <w:tr w:rsidR="00052340" w:rsidRPr="00302082" w14:paraId="4F9B3A25" w14:textId="77777777" w:rsidTr="003A0B71">
        <w:trPr>
          <w:trHeight w:val="305"/>
        </w:trPr>
        <w:tc>
          <w:tcPr>
            <w:tcW w:w="1526" w:type="dxa"/>
          </w:tcPr>
          <w:p w14:paraId="63A61E24" w14:textId="0C6AA6E0" w:rsidR="00052340" w:rsidRPr="00302082" w:rsidRDefault="00795222" w:rsidP="003A0B71">
            <w:pPr>
              <w:spacing w:after="120"/>
              <w:ind w:right="-330"/>
              <w:rPr>
                <w:rFonts w:ascii="Arial" w:hAnsi="Arial" w:cs="Arial"/>
              </w:rPr>
            </w:pPr>
            <w:r>
              <w:rPr>
                <w:rFonts w:ascii="Arial" w:hAnsi="Arial" w:cs="Arial"/>
              </w:rPr>
              <w:t>31/01/21</w:t>
            </w:r>
          </w:p>
        </w:tc>
        <w:tc>
          <w:tcPr>
            <w:tcW w:w="1701" w:type="dxa"/>
          </w:tcPr>
          <w:p w14:paraId="76DF3E3D" w14:textId="15B48816" w:rsidR="00052340" w:rsidRPr="00302082" w:rsidRDefault="00795222" w:rsidP="003A0B71">
            <w:pPr>
              <w:spacing w:after="120"/>
              <w:ind w:right="-330"/>
              <w:rPr>
                <w:rFonts w:ascii="Arial" w:hAnsi="Arial" w:cs="Arial"/>
              </w:rPr>
            </w:pPr>
            <w:r>
              <w:rPr>
                <w:rFonts w:ascii="Arial" w:hAnsi="Arial" w:cs="Arial"/>
              </w:rPr>
              <w:t>Major</w:t>
            </w:r>
          </w:p>
        </w:tc>
        <w:tc>
          <w:tcPr>
            <w:tcW w:w="2410" w:type="dxa"/>
          </w:tcPr>
          <w:p w14:paraId="6D63B154" w14:textId="6A44BDF7" w:rsidR="00052340" w:rsidRPr="00302082" w:rsidRDefault="00795222" w:rsidP="003A0B71">
            <w:pPr>
              <w:spacing w:after="120"/>
              <w:ind w:right="-330"/>
              <w:rPr>
                <w:rFonts w:ascii="Arial" w:hAnsi="Arial" w:cs="Arial"/>
              </w:rPr>
            </w:pPr>
            <w:r>
              <w:rPr>
                <w:rFonts w:ascii="Arial" w:hAnsi="Arial" w:cs="Arial"/>
              </w:rPr>
              <w:t>2021/22</w:t>
            </w:r>
          </w:p>
        </w:tc>
        <w:tc>
          <w:tcPr>
            <w:tcW w:w="2448" w:type="dxa"/>
          </w:tcPr>
          <w:p w14:paraId="2496D76F" w14:textId="10FE6538" w:rsidR="00052340" w:rsidRPr="00302082" w:rsidRDefault="00974554" w:rsidP="003A0B71">
            <w:pPr>
              <w:spacing w:after="120"/>
              <w:ind w:right="-330"/>
              <w:rPr>
                <w:rFonts w:ascii="Arial" w:hAnsi="Arial" w:cs="Arial"/>
              </w:rPr>
            </w:pPr>
            <w:r>
              <w:rPr>
                <w:rFonts w:ascii="Arial" w:hAnsi="Arial" w:cs="Arial"/>
              </w:rPr>
              <w:t>5,6,7,8,9,11,12,13,14</w:t>
            </w:r>
          </w:p>
        </w:tc>
        <w:tc>
          <w:tcPr>
            <w:tcW w:w="2400" w:type="dxa"/>
          </w:tcPr>
          <w:p w14:paraId="49D370CD" w14:textId="7EBBC2C8" w:rsidR="00052340" w:rsidRPr="00302082" w:rsidRDefault="00974554" w:rsidP="003A0B71">
            <w:pPr>
              <w:spacing w:after="120"/>
              <w:ind w:right="-330"/>
              <w:rPr>
                <w:rFonts w:ascii="Arial" w:hAnsi="Arial" w:cs="Arial"/>
              </w:rPr>
            </w:pPr>
            <w:r>
              <w:rPr>
                <w:rFonts w:ascii="Arial" w:hAnsi="Arial" w:cs="Arial"/>
              </w:rPr>
              <w:t>No</w:t>
            </w:r>
          </w:p>
        </w:tc>
      </w:tr>
    </w:tbl>
    <w:p w14:paraId="111276D6" w14:textId="77777777" w:rsidR="00052340" w:rsidRPr="00302082" w:rsidRDefault="00052340" w:rsidP="00052340">
      <w:pPr>
        <w:spacing w:after="120" w:line="240" w:lineRule="auto"/>
        <w:ind w:right="-330"/>
        <w:rPr>
          <w:rFonts w:ascii="Arial" w:hAnsi="Arial" w:cs="Arial"/>
        </w:rPr>
      </w:pPr>
    </w:p>
    <w:p w14:paraId="0C65979C" w14:textId="77777777" w:rsidR="004D6FDB" w:rsidRDefault="004D6FDB"/>
    <w:sectPr w:rsidR="004D6FDB" w:rsidSect="0079522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B5B8" w14:textId="77777777" w:rsidR="00CD2369" w:rsidRDefault="00CD2369">
      <w:pPr>
        <w:spacing w:after="0" w:line="240" w:lineRule="auto"/>
      </w:pPr>
      <w:r>
        <w:separator/>
      </w:r>
    </w:p>
  </w:endnote>
  <w:endnote w:type="continuationSeparator" w:id="0">
    <w:p w14:paraId="319F1BA8" w14:textId="77777777" w:rsidR="00CD2369" w:rsidRDefault="00CD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8EA79A6" w14:textId="7AB380CF" w:rsidR="008B2543" w:rsidRDefault="00052340" w:rsidP="009A2D37">
        <w:pPr>
          <w:pStyle w:val="Footer"/>
          <w:jc w:val="center"/>
        </w:pPr>
        <w:r>
          <w:fldChar w:fldCharType="begin"/>
        </w:r>
        <w:r>
          <w:instrText xml:space="preserve"> PAGE   \* MERGEFORMAT </w:instrText>
        </w:r>
        <w:r>
          <w:fldChar w:fldCharType="separate"/>
        </w:r>
        <w:r w:rsidR="00974554">
          <w:rPr>
            <w:noProof/>
          </w:rPr>
          <w:t>3</w:t>
        </w:r>
        <w:r>
          <w:rPr>
            <w:noProof/>
          </w:rPr>
          <w:fldChar w:fldCharType="end"/>
        </w:r>
      </w:p>
    </w:sdtContent>
  </w:sdt>
  <w:p w14:paraId="6649BA75" w14:textId="59A91127" w:rsidR="008B2543" w:rsidRPr="007B7724" w:rsidRDefault="00795222" w:rsidP="00795222">
    <w:pPr>
      <w:pStyle w:val="Footer"/>
      <w:spacing w:after="120"/>
      <w:ind w:right="-330"/>
      <w:jc w:val="center"/>
      <w:rPr>
        <w:rFonts w:ascii="Arial" w:hAnsi="Arial"/>
        <w:sz w:val="18"/>
      </w:rPr>
    </w:pPr>
    <w:r w:rsidRPr="00795222">
      <w:rPr>
        <w:rFonts w:ascii="Arial" w:hAnsi="Arial"/>
        <w:sz w:val="18"/>
      </w:rPr>
      <w:t>SOCI5440 (SO544) Gender, Work &amp; Equality</w:t>
    </w:r>
    <w:r>
      <w:rPr>
        <w:rFonts w:ascii="Arial" w:hAnsi="Arial"/>
        <w:sz w:val="18"/>
      </w:rPr>
      <w:t xml:space="preserve"> – from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5398" w14:textId="77777777" w:rsidR="00CD2369" w:rsidRDefault="00CD2369">
      <w:pPr>
        <w:spacing w:after="0" w:line="240" w:lineRule="auto"/>
      </w:pPr>
      <w:r>
        <w:separator/>
      </w:r>
    </w:p>
  </w:footnote>
  <w:footnote w:type="continuationSeparator" w:id="0">
    <w:p w14:paraId="68D41015" w14:textId="77777777" w:rsidR="00CD2369" w:rsidRDefault="00CD2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48CB" w14:textId="77777777" w:rsidR="00441E76" w:rsidRPr="0075408A" w:rsidRDefault="0005234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FE786DE" wp14:editId="502DCD7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86D6B6A" w14:textId="77777777" w:rsidR="008B2543" w:rsidRPr="008C00F8" w:rsidRDefault="00CD2369" w:rsidP="005E6D38">
    <w:pPr>
      <w:pStyle w:val="Heading1"/>
      <w:spacing w:before="60" w:after="60"/>
      <w:rPr>
        <w:rFonts w:ascii="Arial" w:hAnsi="Arial" w:cs="Arial"/>
      </w:rPr>
    </w:pPr>
  </w:p>
  <w:p w14:paraId="38BE88EA" w14:textId="77777777" w:rsidR="008B2543" w:rsidRDefault="00CD2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A3A0" w14:textId="52F92D3C" w:rsidR="000F7FBF" w:rsidRPr="0075408A" w:rsidRDefault="0005234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8300768" wp14:editId="3598C49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41A">
      <w:rPr>
        <w:rFonts w:ascii="Arial" w:hAnsi="Arial" w:cs="Arial"/>
        <w:b/>
        <w:sz w:val="28"/>
        <w:szCs w:val="28"/>
      </w:rPr>
      <w:t>MODULE SPECIFICATION</w:t>
    </w:r>
  </w:p>
  <w:p w14:paraId="580A2736" w14:textId="77777777" w:rsidR="000F7FBF" w:rsidRPr="000F7FBF" w:rsidRDefault="00CD236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C7F"/>
    <w:multiLevelType w:val="hybridMultilevel"/>
    <w:tmpl w:val="1C12312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CA1A4C"/>
    <w:multiLevelType w:val="hybridMultilevel"/>
    <w:tmpl w:val="9E3858E0"/>
    <w:lvl w:ilvl="0" w:tplc="31B2D5D4">
      <w:start w:val="1"/>
      <w:numFmt w:val="decimal"/>
      <w:lvlText w:val="8.%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EC3A8B"/>
    <w:multiLevelType w:val="hybridMultilevel"/>
    <w:tmpl w:val="29D8C1F0"/>
    <w:lvl w:ilvl="0" w:tplc="B812351C">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40"/>
    <w:rsid w:val="00052340"/>
    <w:rsid w:val="00054FF8"/>
    <w:rsid w:val="00092EEC"/>
    <w:rsid w:val="000B3EC5"/>
    <w:rsid w:val="00117B51"/>
    <w:rsid w:val="0012541A"/>
    <w:rsid w:val="001346C7"/>
    <w:rsid w:val="001666FC"/>
    <w:rsid w:val="001F6E14"/>
    <w:rsid w:val="002374A4"/>
    <w:rsid w:val="00244B3C"/>
    <w:rsid w:val="00252768"/>
    <w:rsid w:val="002B5494"/>
    <w:rsid w:val="003A3B80"/>
    <w:rsid w:val="004D6FDB"/>
    <w:rsid w:val="005718E3"/>
    <w:rsid w:val="005B0AD2"/>
    <w:rsid w:val="006A4C33"/>
    <w:rsid w:val="006D6E36"/>
    <w:rsid w:val="00765F19"/>
    <w:rsid w:val="00795222"/>
    <w:rsid w:val="007E24F4"/>
    <w:rsid w:val="0083355E"/>
    <w:rsid w:val="008B7FB6"/>
    <w:rsid w:val="00906918"/>
    <w:rsid w:val="009408FF"/>
    <w:rsid w:val="00974554"/>
    <w:rsid w:val="00993BA8"/>
    <w:rsid w:val="00A666C4"/>
    <w:rsid w:val="00A87E80"/>
    <w:rsid w:val="00AA296E"/>
    <w:rsid w:val="00AE59A7"/>
    <w:rsid w:val="00BA60B0"/>
    <w:rsid w:val="00C45DD3"/>
    <w:rsid w:val="00C5639F"/>
    <w:rsid w:val="00CD0AA4"/>
    <w:rsid w:val="00CD2369"/>
    <w:rsid w:val="00CF0344"/>
    <w:rsid w:val="00E935A9"/>
    <w:rsid w:val="00EC0B91"/>
    <w:rsid w:val="00F61DE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7B8B"/>
  <w15:docId w15:val="{9ECB68C6-762C-48BD-9B2B-66A17136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340"/>
    <w:pPr>
      <w:spacing w:after="200" w:line="276" w:lineRule="auto"/>
    </w:pPr>
    <w:rPr>
      <w:rFonts w:eastAsiaTheme="minorEastAsia"/>
      <w:lang w:eastAsia="en-GB"/>
    </w:rPr>
  </w:style>
  <w:style w:type="paragraph" w:styleId="Heading1">
    <w:name w:val="heading 1"/>
    <w:basedOn w:val="Normal"/>
    <w:next w:val="Normal"/>
    <w:link w:val="Heading1Char"/>
    <w:qFormat/>
    <w:rsid w:val="00052340"/>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340"/>
    <w:rPr>
      <w:rFonts w:ascii="Plantin" w:eastAsia="Times New Roman" w:hAnsi="Plantin" w:cs="Times New Roman"/>
      <w:b/>
      <w:sz w:val="24"/>
      <w:szCs w:val="20"/>
    </w:rPr>
  </w:style>
  <w:style w:type="paragraph" w:styleId="ListParagraph">
    <w:name w:val="List Paragraph"/>
    <w:basedOn w:val="Normal"/>
    <w:uiPriority w:val="34"/>
    <w:qFormat/>
    <w:rsid w:val="00052340"/>
    <w:pPr>
      <w:ind w:left="720"/>
      <w:contextualSpacing/>
    </w:pPr>
  </w:style>
  <w:style w:type="paragraph" w:styleId="Header">
    <w:name w:val="header"/>
    <w:basedOn w:val="Normal"/>
    <w:link w:val="HeaderChar"/>
    <w:uiPriority w:val="99"/>
    <w:unhideWhenUsed/>
    <w:rsid w:val="00052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340"/>
    <w:rPr>
      <w:rFonts w:eastAsiaTheme="minorEastAsia"/>
      <w:lang w:eastAsia="en-GB"/>
    </w:rPr>
  </w:style>
  <w:style w:type="paragraph" w:styleId="Footer">
    <w:name w:val="footer"/>
    <w:basedOn w:val="Normal"/>
    <w:link w:val="FooterChar"/>
    <w:uiPriority w:val="99"/>
    <w:unhideWhenUsed/>
    <w:rsid w:val="00052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340"/>
    <w:rPr>
      <w:rFonts w:eastAsiaTheme="minorEastAsia"/>
      <w:lang w:eastAsia="en-GB"/>
    </w:rPr>
  </w:style>
  <w:style w:type="table" w:styleId="TableGrid">
    <w:name w:val="Table Grid"/>
    <w:basedOn w:val="TableNormal"/>
    <w:uiPriority w:val="59"/>
    <w:rsid w:val="00052340"/>
    <w:pPr>
      <w:spacing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23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5234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052340"/>
    <w:rPr>
      <w:rFonts w:ascii="Calibri" w:hAnsi="Calibri"/>
      <w:szCs w:val="21"/>
    </w:rPr>
  </w:style>
  <w:style w:type="character" w:customStyle="1" w:styleId="apple-converted-space">
    <w:name w:val="apple-converted-space"/>
    <w:basedOn w:val="DefaultParagraphFont"/>
    <w:rsid w:val="00052340"/>
  </w:style>
  <w:style w:type="paragraph" w:styleId="BodyTextIndent2">
    <w:name w:val="Body Text Indent 2"/>
    <w:basedOn w:val="Normal"/>
    <w:link w:val="BodyTextIndent2Char"/>
    <w:rsid w:val="00052340"/>
    <w:pPr>
      <w:spacing w:after="0" w:line="240" w:lineRule="auto"/>
      <w:ind w:left="360"/>
      <w:jc w:val="both"/>
    </w:pPr>
    <w:rPr>
      <w:rFonts w:ascii="Plantin" w:eastAsia="Times New Roman" w:hAnsi="Plantin" w:cs="Times New Roman"/>
      <w:szCs w:val="24"/>
      <w:lang w:eastAsia="en-US"/>
    </w:rPr>
  </w:style>
  <w:style w:type="character" w:customStyle="1" w:styleId="BodyTextIndent2Char">
    <w:name w:val="Body Text Indent 2 Char"/>
    <w:basedOn w:val="DefaultParagraphFont"/>
    <w:link w:val="BodyTextIndent2"/>
    <w:rsid w:val="00052340"/>
    <w:rPr>
      <w:rFonts w:ascii="Plantin" w:eastAsia="Times New Roman" w:hAnsi="Plantin" w:cs="Times New Roman"/>
      <w:szCs w:val="24"/>
    </w:rPr>
  </w:style>
  <w:style w:type="paragraph" w:styleId="BodyTextIndent3">
    <w:name w:val="Body Text Indent 3"/>
    <w:basedOn w:val="Normal"/>
    <w:link w:val="BodyTextIndent3Char"/>
    <w:rsid w:val="00052340"/>
    <w:pPr>
      <w:spacing w:after="0" w:line="240" w:lineRule="auto"/>
      <w:ind w:left="360"/>
    </w:pPr>
    <w:rPr>
      <w:rFonts w:ascii="Plantin" w:eastAsia="Times New Roman" w:hAnsi="Plantin" w:cs="Times New Roman"/>
      <w:szCs w:val="24"/>
      <w:lang w:eastAsia="en-US"/>
    </w:rPr>
  </w:style>
  <w:style w:type="character" w:customStyle="1" w:styleId="BodyTextIndent3Char">
    <w:name w:val="Body Text Indent 3 Char"/>
    <w:basedOn w:val="DefaultParagraphFont"/>
    <w:link w:val="BodyTextIndent3"/>
    <w:rsid w:val="00052340"/>
    <w:rPr>
      <w:rFonts w:ascii="Plantin" w:eastAsia="Times New Roman" w:hAnsi="Plantin" w:cs="Times New Roman"/>
      <w:szCs w:val="24"/>
    </w:rPr>
  </w:style>
  <w:style w:type="paragraph" w:styleId="BodyTextIndent">
    <w:name w:val="Body Text Indent"/>
    <w:basedOn w:val="Normal"/>
    <w:link w:val="BodyTextIndentChar"/>
    <w:uiPriority w:val="99"/>
    <w:unhideWhenUsed/>
    <w:rsid w:val="00052340"/>
    <w:pPr>
      <w:spacing w:after="120"/>
      <w:ind w:left="283"/>
    </w:pPr>
  </w:style>
  <w:style w:type="character" w:customStyle="1" w:styleId="BodyTextIndentChar">
    <w:name w:val="Body Text Indent Char"/>
    <w:basedOn w:val="DefaultParagraphFont"/>
    <w:link w:val="BodyTextIndent"/>
    <w:uiPriority w:val="99"/>
    <w:rsid w:val="00052340"/>
    <w:rPr>
      <w:rFonts w:eastAsiaTheme="minorEastAsia"/>
      <w:lang w:eastAsia="en-GB"/>
    </w:rPr>
  </w:style>
  <w:style w:type="paragraph" w:styleId="BalloonText">
    <w:name w:val="Balloon Text"/>
    <w:basedOn w:val="Normal"/>
    <w:link w:val="BalloonTextChar"/>
    <w:uiPriority w:val="99"/>
    <w:semiHidden/>
    <w:unhideWhenUsed/>
    <w:rsid w:val="00CD0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AA4"/>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7E24F4"/>
    <w:rPr>
      <w:sz w:val="16"/>
      <w:szCs w:val="16"/>
    </w:rPr>
  </w:style>
  <w:style w:type="paragraph" w:styleId="CommentText">
    <w:name w:val="annotation text"/>
    <w:basedOn w:val="Normal"/>
    <w:link w:val="CommentTextChar"/>
    <w:uiPriority w:val="99"/>
    <w:semiHidden/>
    <w:unhideWhenUsed/>
    <w:rsid w:val="007E24F4"/>
    <w:pPr>
      <w:spacing w:line="240" w:lineRule="auto"/>
    </w:pPr>
    <w:rPr>
      <w:sz w:val="20"/>
      <w:szCs w:val="20"/>
    </w:rPr>
  </w:style>
  <w:style w:type="character" w:customStyle="1" w:styleId="CommentTextChar">
    <w:name w:val="Comment Text Char"/>
    <w:basedOn w:val="DefaultParagraphFont"/>
    <w:link w:val="CommentText"/>
    <w:uiPriority w:val="99"/>
    <w:semiHidden/>
    <w:rsid w:val="007E24F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E24F4"/>
    <w:rPr>
      <w:b/>
      <w:bCs/>
    </w:rPr>
  </w:style>
  <w:style w:type="character" w:customStyle="1" w:styleId="CommentSubjectChar">
    <w:name w:val="Comment Subject Char"/>
    <w:basedOn w:val="CommentTextChar"/>
    <w:link w:val="CommentSubject"/>
    <w:uiPriority w:val="99"/>
    <w:semiHidden/>
    <w:rsid w:val="007E24F4"/>
    <w:rPr>
      <w:rFonts w:eastAsiaTheme="minorEastAsia"/>
      <w:b/>
      <w:bCs/>
      <w:sz w:val="20"/>
      <w:szCs w:val="20"/>
      <w:lang w:eastAsia="en-GB"/>
    </w:rPr>
  </w:style>
  <w:style w:type="character" w:styleId="Hyperlink">
    <w:name w:val="Hyperlink"/>
    <w:semiHidden/>
    <w:unhideWhenUsed/>
    <w:rsid w:val="00117B51"/>
    <w:rPr>
      <w:color w:val="0000FF"/>
      <w:u w:val="single"/>
    </w:rPr>
  </w:style>
  <w:style w:type="table" w:styleId="LightList">
    <w:name w:val="Light List"/>
    <w:basedOn w:val="TableNormal"/>
    <w:uiPriority w:val="61"/>
    <w:rsid w:val="00117B5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291">
      <w:bodyDiv w:val="1"/>
      <w:marLeft w:val="0"/>
      <w:marRight w:val="0"/>
      <w:marTop w:val="0"/>
      <w:marBottom w:val="0"/>
      <w:divBdr>
        <w:top w:val="none" w:sz="0" w:space="0" w:color="auto"/>
        <w:left w:val="none" w:sz="0" w:space="0" w:color="auto"/>
        <w:bottom w:val="none" w:sz="0" w:space="0" w:color="auto"/>
        <w:right w:val="none" w:sz="0" w:space="0" w:color="auto"/>
      </w:divBdr>
    </w:div>
    <w:div w:id="15871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11CA4-F76A-4986-B733-9D16A2293849}">
  <ds:schemaRefs>
    <ds:schemaRef ds:uri="http://schemas.openxmlformats.org/officeDocument/2006/bibliography"/>
  </ds:schemaRefs>
</ds:datastoreItem>
</file>

<file path=customXml/itemProps2.xml><?xml version="1.0" encoding="utf-8"?>
<ds:datastoreItem xmlns:ds="http://schemas.openxmlformats.org/officeDocument/2006/customXml" ds:itemID="{9D24F6DE-5E5C-4AF9-A24F-E7D39754CEA2}"/>
</file>

<file path=customXml/itemProps3.xml><?xml version="1.0" encoding="utf-8"?>
<ds:datastoreItem xmlns:ds="http://schemas.openxmlformats.org/officeDocument/2006/customXml" ds:itemID="{F6076A44-0C16-42A1-A83E-EDF065A66EDA}"/>
</file>

<file path=customXml/itemProps4.xml><?xml version="1.0" encoding="utf-8"?>
<ds:datastoreItem xmlns:ds="http://schemas.openxmlformats.org/officeDocument/2006/customXml" ds:itemID="{54F6ACFC-D3A8-4FFE-84EF-BC0026121FF1}"/>
</file>

<file path=docProps/app.xml><?xml version="1.0" encoding="utf-8"?>
<Properties xmlns="http://schemas.openxmlformats.org/officeDocument/2006/extended-properties" xmlns:vt="http://schemas.openxmlformats.org/officeDocument/2006/docPropsVTypes">
  <Template>Normal</Template>
  <TotalTime>2</TotalTime>
  <Pages>1</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Smith</dc:creator>
  <cp:lastModifiedBy>Laura Mould</cp:lastModifiedBy>
  <cp:revision>5</cp:revision>
  <dcterms:created xsi:type="dcterms:W3CDTF">2021-05-06T17:32:00Z</dcterms:created>
  <dcterms:modified xsi:type="dcterms:W3CDTF">2022-03-04T15:22:00Z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