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352B06" w:rsidP="00154D48">
      <w:pPr>
        <w:spacing w:after="120" w:line="240" w:lineRule="auto"/>
        <w:ind w:left="567" w:right="260"/>
        <w:jc w:val="both"/>
        <w:rPr>
          <w:rFonts w:ascii="Arial" w:hAnsi="Arial" w:cs="Arial"/>
        </w:rPr>
      </w:pPr>
      <w:r w:rsidRPr="00352B06">
        <w:rPr>
          <w:rFonts w:ascii="Arial" w:hAnsi="Arial" w:cs="Arial"/>
        </w:rPr>
        <w:t>RSST</w:t>
      </w:r>
      <w:r w:rsidR="000D58D0">
        <w:rPr>
          <w:rFonts w:ascii="Arial" w:hAnsi="Arial" w:cs="Arial"/>
        </w:rPr>
        <w:t>61</w:t>
      </w:r>
      <w:r w:rsidR="00022B74">
        <w:rPr>
          <w:rFonts w:ascii="Arial" w:hAnsi="Arial" w:cs="Arial"/>
        </w:rPr>
        <w:t>8</w:t>
      </w:r>
      <w:r w:rsidRPr="00352B06">
        <w:rPr>
          <w:rFonts w:ascii="Arial" w:hAnsi="Arial" w:cs="Arial"/>
        </w:rPr>
        <w:t>0 (TH</w:t>
      </w:r>
      <w:r w:rsidR="000D58D0">
        <w:rPr>
          <w:rFonts w:ascii="Arial" w:hAnsi="Arial" w:cs="Arial"/>
        </w:rPr>
        <w:t>61</w:t>
      </w:r>
      <w:r w:rsidR="00022B74">
        <w:rPr>
          <w:rFonts w:ascii="Arial" w:hAnsi="Arial" w:cs="Arial"/>
        </w:rPr>
        <w:t>8</w:t>
      </w:r>
      <w:r w:rsidRPr="00352B06">
        <w:rPr>
          <w:rFonts w:ascii="Arial" w:hAnsi="Arial" w:cs="Arial"/>
        </w:rPr>
        <w:t xml:space="preserve">) </w:t>
      </w:r>
      <w:r>
        <w:rPr>
          <w:rFonts w:ascii="Arial" w:hAnsi="Arial" w:cs="Arial"/>
        </w:rPr>
        <w:t xml:space="preserve">– </w:t>
      </w:r>
      <w:r w:rsidR="000D58D0" w:rsidRPr="000D58D0">
        <w:rPr>
          <w:rFonts w:ascii="Arial" w:hAnsi="Arial" w:cs="Arial"/>
        </w:rPr>
        <w:t>Intoxicated Philosophers: Religion and Drugs in Continental Philosophy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52B06" w:rsidP="00154D48">
      <w:pPr>
        <w:spacing w:after="120" w:line="240" w:lineRule="auto"/>
        <w:ind w:left="567" w:right="260"/>
        <w:rPr>
          <w:rFonts w:ascii="Arial" w:hAnsi="Arial" w:cs="Arial"/>
        </w:rPr>
      </w:pPr>
      <w:r w:rsidRPr="00352B06">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 xml:space="preserve">Autumn or </w:t>
      </w:r>
      <w:proofErr w:type="gramStart"/>
      <w:r w:rsidRPr="00352B06">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52B06" w:rsidP="00154D48">
      <w:pPr>
        <w:spacing w:after="120" w:line="240" w:lineRule="auto"/>
        <w:ind w:left="567" w:right="260"/>
        <w:rPr>
          <w:rFonts w:ascii="Arial" w:hAnsi="Arial" w:cs="Arial"/>
          <w:iCs/>
        </w:rPr>
      </w:pPr>
      <w:r w:rsidRPr="00352B06">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352B06" w:rsidP="00352B06">
      <w:pPr>
        <w:spacing w:after="120" w:line="240" w:lineRule="auto"/>
        <w:ind w:left="567" w:right="260"/>
        <w:jc w:val="both"/>
        <w:rPr>
          <w:rFonts w:ascii="Arial" w:hAnsi="Arial" w:cs="Arial"/>
          <w:iCs/>
        </w:rPr>
      </w:pPr>
      <w:r w:rsidRPr="00352B06">
        <w:rPr>
          <w:rFonts w:ascii="Arial" w:hAnsi="Arial" w:cs="Arial"/>
          <w:iCs/>
        </w:rPr>
        <w:t>Optional for BA Religious Studies (Single and Joint Honours</w:t>
      </w:r>
      <w:r>
        <w:rPr>
          <w:rFonts w:ascii="Arial" w:hAnsi="Arial" w:cs="Arial"/>
          <w:iCs/>
        </w:rPr>
        <w:t>.</w:t>
      </w:r>
    </w:p>
    <w:p w:rsidR="00352B06" w:rsidRPr="00154D48" w:rsidRDefault="00352B06" w:rsidP="00352B06">
      <w:pPr>
        <w:spacing w:after="120" w:line="240" w:lineRule="auto"/>
        <w:ind w:left="567" w:right="260"/>
        <w:jc w:val="both"/>
        <w:rPr>
          <w:rFonts w:ascii="Arial" w:hAnsi="Arial" w:cs="Arial"/>
          <w:iCs/>
        </w:rPr>
      </w:pPr>
      <w:r>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58D0" w:rsidRPr="000D58D0" w:rsidRDefault="00022B74" w:rsidP="000D58D0">
      <w:pPr>
        <w:spacing w:after="120" w:line="240" w:lineRule="auto"/>
        <w:ind w:left="1430" w:right="260" w:hanging="550"/>
        <w:jc w:val="both"/>
        <w:rPr>
          <w:rFonts w:ascii="Arial" w:hAnsi="Arial" w:cs="Arial"/>
        </w:rPr>
      </w:pPr>
      <w:r w:rsidRPr="00022B74">
        <w:rPr>
          <w:rFonts w:ascii="Arial" w:hAnsi="Arial" w:cs="Arial"/>
        </w:rPr>
        <w:t>8.</w:t>
      </w:r>
      <w:r w:rsidR="00184466">
        <w:rPr>
          <w:rFonts w:ascii="Arial" w:hAnsi="Arial" w:cs="Arial"/>
        </w:rPr>
        <w:t>1</w:t>
      </w:r>
      <w:r w:rsidRPr="00022B74">
        <w:rPr>
          <w:rFonts w:ascii="Arial" w:hAnsi="Arial" w:cs="Arial"/>
        </w:rPr>
        <w:tab/>
      </w:r>
      <w:r w:rsidR="000D58D0" w:rsidRPr="000D58D0">
        <w:rPr>
          <w:rFonts w:ascii="Arial" w:hAnsi="Arial" w:cs="Arial"/>
        </w:rPr>
        <w:t>Demonstrate comprehensive understanding of what continental philosophy is according to its history, themes, methods and thinkers;</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2</w:t>
      </w:r>
      <w:r w:rsidRPr="000D58D0">
        <w:rPr>
          <w:rFonts w:ascii="Arial" w:hAnsi="Arial" w:cs="Arial"/>
        </w:rPr>
        <w:tab/>
        <w:t>Understand religion through a broad range of continental philosophical approaches including those that are at the forefront of the discipline;</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3</w:t>
      </w:r>
      <w:r w:rsidRPr="000D58D0">
        <w:rPr>
          <w:rFonts w:ascii="Arial" w:hAnsi="Arial" w:cs="Arial"/>
        </w:rPr>
        <w:tab/>
        <w:t>Employ a systematic understanding of hermeneutical, phenomenological, feminist and genealogical approaches to understanding key questions and problems in religious discourse;</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4</w:t>
      </w:r>
      <w:r w:rsidRPr="000D58D0">
        <w:rPr>
          <w:rFonts w:ascii="Arial" w:hAnsi="Arial" w:cs="Arial"/>
        </w:rPr>
        <w:tab/>
        <w:t>Use the critical approaches of continental philosophy to evaluate arguments, assumptions and abstract concepts;</w:t>
      </w:r>
    </w:p>
    <w:p w:rsidR="0026253A" w:rsidRPr="00154D48" w:rsidRDefault="000D58D0" w:rsidP="000D58D0">
      <w:pPr>
        <w:spacing w:after="120" w:line="240" w:lineRule="auto"/>
        <w:ind w:left="1430" w:right="260" w:hanging="550"/>
        <w:jc w:val="both"/>
        <w:rPr>
          <w:rFonts w:ascii="Arial" w:hAnsi="Arial" w:cs="Arial"/>
        </w:rPr>
      </w:pPr>
      <w:r w:rsidRPr="000D58D0">
        <w:rPr>
          <w:rFonts w:ascii="Arial" w:hAnsi="Arial" w:cs="Arial"/>
        </w:rPr>
        <w:t>8.</w:t>
      </w:r>
      <w:r w:rsidR="00184466">
        <w:rPr>
          <w:rFonts w:ascii="Arial" w:hAnsi="Arial" w:cs="Arial"/>
        </w:rPr>
        <w:t>5</w:t>
      </w:r>
      <w:r w:rsidRPr="000D58D0">
        <w:rPr>
          <w:rFonts w:ascii="Arial" w:hAnsi="Arial" w:cs="Arial"/>
        </w:rPr>
        <w:tab/>
        <w:t>Demonstrate a significant understanding of how religion is shaped by the history of philosophy.</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0D58D0" w:rsidRPr="000D58D0" w:rsidRDefault="00022B74" w:rsidP="000D58D0">
      <w:pPr>
        <w:spacing w:after="120" w:line="240" w:lineRule="auto"/>
        <w:ind w:left="1430" w:right="260" w:hanging="550"/>
        <w:jc w:val="both"/>
        <w:rPr>
          <w:rFonts w:ascii="Arial" w:hAnsi="Arial" w:cs="Arial"/>
        </w:rPr>
      </w:pPr>
      <w:r w:rsidRPr="00022B74">
        <w:rPr>
          <w:rFonts w:ascii="Arial" w:hAnsi="Arial" w:cs="Arial"/>
        </w:rPr>
        <w:t>9.</w:t>
      </w:r>
      <w:r w:rsidR="00184466">
        <w:rPr>
          <w:rFonts w:ascii="Arial" w:hAnsi="Arial" w:cs="Arial"/>
        </w:rPr>
        <w:t>1</w:t>
      </w:r>
      <w:r w:rsidRPr="00022B74">
        <w:rPr>
          <w:rFonts w:ascii="Arial" w:hAnsi="Arial" w:cs="Arial"/>
        </w:rPr>
        <w:tab/>
      </w:r>
      <w:r w:rsidR="000D58D0" w:rsidRPr="000D58D0">
        <w:rPr>
          <w:rFonts w:ascii="Arial" w:hAnsi="Arial" w:cs="Arial"/>
        </w:rPr>
        <w:t>Evaluate information, arguments and abstract concepts, and present that information to specialist and non-specialist audiences;</w:t>
      </w:r>
    </w:p>
    <w:p w:rsidR="000D58D0" w:rsidRPr="000D58D0" w:rsidRDefault="000D58D0" w:rsidP="000D58D0">
      <w:pPr>
        <w:spacing w:after="120" w:line="240" w:lineRule="auto"/>
        <w:ind w:left="1430" w:right="260" w:hanging="550"/>
        <w:jc w:val="both"/>
        <w:rPr>
          <w:rFonts w:ascii="Arial" w:hAnsi="Arial" w:cs="Arial"/>
        </w:rPr>
      </w:pPr>
      <w:r w:rsidRPr="000D58D0">
        <w:rPr>
          <w:rFonts w:ascii="Arial" w:hAnsi="Arial" w:cs="Arial"/>
        </w:rPr>
        <w:t>9.</w:t>
      </w:r>
      <w:r w:rsidR="00184466">
        <w:rPr>
          <w:rFonts w:ascii="Arial" w:hAnsi="Arial" w:cs="Arial"/>
        </w:rPr>
        <w:t>2</w:t>
      </w:r>
      <w:r w:rsidRPr="000D58D0">
        <w:rPr>
          <w:rFonts w:ascii="Arial" w:hAnsi="Arial" w:cs="Arial"/>
        </w:rPr>
        <w:tab/>
        <w:t>Initiate and undertake critical analysis of information, arguments, assumptions and abstract concepts, and make judgements, and frame appropriate questions;</w:t>
      </w:r>
    </w:p>
    <w:p w:rsidR="0026253A" w:rsidRDefault="000D58D0" w:rsidP="000D58D0">
      <w:pPr>
        <w:spacing w:after="120" w:line="240" w:lineRule="auto"/>
        <w:ind w:left="1430" w:right="260" w:hanging="550"/>
        <w:jc w:val="both"/>
      </w:pPr>
      <w:r w:rsidRPr="000D58D0">
        <w:rPr>
          <w:rFonts w:ascii="Arial" w:hAnsi="Arial" w:cs="Arial"/>
        </w:rPr>
        <w:t>9.</w:t>
      </w:r>
      <w:r w:rsidR="00184466">
        <w:rPr>
          <w:rFonts w:ascii="Arial" w:hAnsi="Arial" w:cs="Arial"/>
        </w:rPr>
        <w:t>3</w:t>
      </w:r>
      <w:r w:rsidRPr="000D58D0">
        <w:rPr>
          <w:rFonts w:ascii="Arial" w:hAnsi="Arial" w:cs="Arial"/>
        </w:rPr>
        <w:tab/>
        <w:t>Demonstrate an ability to exercise initiative and personal responsibility by identifying and undertaking further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0D58D0" w:rsidP="00352B06">
      <w:pPr>
        <w:spacing w:after="120" w:line="240" w:lineRule="auto"/>
        <w:ind w:left="567" w:right="260"/>
        <w:jc w:val="both"/>
        <w:rPr>
          <w:rFonts w:ascii="Arial" w:hAnsi="Arial" w:cs="Arial"/>
          <w:iCs/>
        </w:rPr>
      </w:pPr>
      <w:r w:rsidRPr="000D58D0">
        <w:rPr>
          <w:rFonts w:ascii="Arial" w:hAnsi="Arial" w:cs="Arial"/>
          <w:iCs/>
        </w:rPr>
        <w:t xml:space="preserve">This is an introduction to the Continental philosophy of religion which orients itself around philosophical discussions of religion as a form of intoxication. This module will be divided into two parts. First, it will familiarise students with how Continental philosophy has developed in response to methodological and historical questions. Second, it will then show how Continental philosophy applies to the philosophy of religion by discussing traditional religious problems—e.g., the existence </w:t>
      </w:r>
      <w:r w:rsidRPr="000D58D0">
        <w:rPr>
          <w:rFonts w:ascii="Arial" w:hAnsi="Arial" w:cs="Arial"/>
          <w:iCs/>
        </w:rPr>
        <w:lastRenderedPageBreak/>
        <w:t>of God, the problem of theodicy, the conception of the good life—and seeing how seminal Continental thinkers engage with these issues in diverse ways. The first part of the module will discuss critical, historical-based methodologies in: philosophical hermeneutics (</w:t>
      </w:r>
      <w:proofErr w:type="spellStart"/>
      <w:r w:rsidRPr="000D58D0">
        <w:rPr>
          <w:rFonts w:ascii="Arial" w:hAnsi="Arial" w:cs="Arial"/>
          <w:iCs/>
        </w:rPr>
        <w:t>Gadamer</w:t>
      </w:r>
      <w:proofErr w:type="spellEnd"/>
      <w:r w:rsidRPr="000D58D0">
        <w:rPr>
          <w:rFonts w:ascii="Arial" w:hAnsi="Arial" w:cs="Arial"/>
          <w:iCs/>
        </w:rPr>
        <w:t xml:space="preserve"> and </w:t>
      </w:r>
      <w:proofErr w:type="spellStart"/>
      <w:r w:rsidRPr="000D58D0">
        <w:rPr>
          <w:rFonts w:ascii="Arial" w:hAnsi="Arial" w:cs="Arial"/>
          <w:iCs/>
        </w:rPr>
        <w:t>Ricoeur</w:t>
      </w:r>
      <w:proofErr w:type="spellEnd"/>
      <w:r w:rsidRPr="000D58D0">
        <w:rPr>
          <w:rFonts w:ascii="Arial" w:hAnsi="Arial" w:cs="Arial"/>
          <w:iCs/>
        </w:rPr>
        <w:t>), phenomenology (</w:t>
      </w:r>
      <w:proofErr w:type="spellStart"/>
      <w:r w:rsidRPr="000D58D0">
        <w:rPr>
          <w:rFonts w:ascii="Arial" w:hAnsi="Arial" w:cs="Arial"/>
          <w:iCs/>
        </w:rPr>
        <w:t>Dupré</w:t>
      </w:r>
      <w:proofErr w:type="spellEnd"/>
      <w:r w:rsidRPr="000D58D0">
        <w:rPr>
          <w:rFonts w:ascii="Arial" w:hAnsi="Arial" w:cs="Arial"/>
          <w:iCs/>
        </w:rPr>
        <w:t xml:space="preserve"> and Marion) and </w:t>
      </w:r>
      <w:proofErr w:type="spellStart"/>
      <w:r w:rsidRPr="000D58D0">
        <w:rPr>
          <w:rFonts w:ascii="Arial" w:hAnsi="Arial" w:cs="Arial"/>
          <w:iCs/>
        </w:rPr>
        <w:t>geneaology</w:t>
      </w:r>
      <w:proofErr w:type="spellEnd"/>
      <w:r w:rsidRPr="000D58D0">
        <w:rPr>
          <w:rFonts w:ascii="Arial" w:hAnsi="Arial" w:cs="Arial"/>
          <w:iCs/>
        </w:rPr>
        <w:t xml:space="preserve"> (Foucault). The second part of the module will utilise contemporary scholarship consisting in contemporary philosophers applying the aforementioned methodological approaches to religious problems.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Anderson, P</w:t>
      </w:r>
      <w:r>
        <w:rPr>
          <w:rFonts w:ascii="Arial" w:hAnsi="Arial" w:cs="Arial"/>
        </w:rPr>
        <w:t>.</w:t>
      </w:r>
      <w:r w:rsidRPr="0079211F">
        <w:rPr>
          <w:rFonts w:ascii="Arial" w:hAnsi="Arial" w:cs="Arial"/>
        </w:rPr>
        <w:t>S</w:t>
      </w:r>
      <w:r>
        <w:rPr>
          <w:rFonts w:ascii="Arial" w:hAnsi="Arial" w:cs="Arial"/>
        </w:rPr>
        <w:t>. (2003).</w:t>
      </w:r>
      <w:r w:rsidRPr="0079211F">
        <w:rPr>
          <w:rFonts w:ascii="Arial" w:hAnsi="Arial" w:cs="Arial"/>
        </w:rPr>
        <w:t xml:space="preserve"> “Feminism in the Philosophy of Religion” in </w:t>
      </w:r>
      <w:r w:rsidRPr="0079211F">
        <w:rPr>
          <w:rFonts w:ascii="Arial" w:hAnsi="Arial" w:cs="Arial"/>
          <w:i/>
        </w:rPr>
        <w:t>Explorations in Contemporary Continental Philosophy of Religion</w:t>
      </w:r>
      <w:r w:rsidRPr="0079211F">
        <w:rPr>
          <w:rFonts w:ascii="Arial" w:hAnsi="Arial" w:cs="Arial"/>
        </w:rPr>
        <w:t xml:space="preserve">, eds. Deane-Peter Baker and Patrick Maxwell (Amsterdam, NY: </w:t>
      </w:r>
      <w:proofErr w:type="spellStart"/>
      <w:r w:rsidRPr="0079211F">
        <w:rPr>
          <w:rFonts w:ascii="Arial" w:hAnsi="Arial" w:cs="Arial"/>
        </w:rPr>
        <w:t>Rodopi</w:t>
      </w:r>
      <w:proofErr w:type="spellEnd"/>
      <w:r w:rsidRPr="0079211F">
        <w:rPr>
          <w:rFonts w:ascii="Arial" w:hAnsi="Arial" w:cs="Arial"/>
        </w:rPr>
        <w:t>), pp. 189–206.</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Critchley, S</w:t>
      </w:r>
      <w:r>
        <w:rPr>
          <w:rFonts w:ascii="Arial" w:hAnsi="Arial" w:cs="Arial"/>
        </w:rPr>
        <w:t>. (2001).</w:t>
      </w:r>
      <w:r w:rsidRPr="0079211F">
        <w:rPr>
          <w:rFonts w:ascii="Arial" w:hAnsi="Arial" w:cs="Arial"/>
        </w:rPr>
        <w:t xml:space="preserve"> </w:t>
      </w:r>
      <w:r w:rsidRPr="0079211F">
        <w:rPr>
          <w:rFonts w:ascii="Arial" w:hAnsi="Arial" w:cs="Arial"/>
          <w:i/>
        </w:rPr>
        <w:t>Continental Philosophy: A Very Short Introduction</w:t>
      </w:r>
      <w:r w:rsidRPr="0079211F">
        <w:rPr>
          <w:rFonts w:ascii="Arial" w:hAnsi="Arial" w:cs="Arial"/>
        </w:rPr>
        <w:t xml:space="preserve"> (Oxford: Oxford University Press).</w:t>
      </w:r>
    </w:p>
    <w:p w:rsidR="000D58D0" w:rsidRPr="0079211F" w:rsidRDefault="000D58D0" w:rsidP="000D58D0">
      <w:pPr>
        <w:spacing w:after="120" w:line="240" w:lineRule="auto"/>
        <w:ind w:left="567" w:right="260"/>
        <w:jc w:val="both"/>
        <w:rPr>
          <w:rFonts w:ascii="Arial" w:hAnsi="Arial" w:cs="Arial"/>
        </w:rPr>
      </w:pPr>
      <w:proofErr w:type="spellStart"/>
      <w:r w:rsidRPr="0079211F">
        <w:rPr>
          <w:rFonts w:ascii="Arial" w:hAnsi="Arial" w:cs="Arial"/>
        </w:rPr>
        <w:t>Dupré</w:t>
      </w:r>
      <w:proofErr w:type="spellEnd"/>
      <w:r w:rsidRPr="0079211F">
        <w:rPr>
          <w:rFonts w:ascii="Arial" w:hAnsi="Arial" w:cs="Arial"/>
        </w:rPr>
        <w:t>, L</w:t>
      </w:r>
      <w:r>
        <w:rPr>
          <w:rFonts w:ascii="Arial" w:hAnsi="Arial" w:cs="Arial"/>
        </w:rPr>
        <w:t>. (1993).</w:t>
      </w:r>
      <w:r w:rsidRPr="0079211F">
        <w:rPr>
          <w:rFonts w:ascii="Arial" w:hAnsi="Arial" w:cs="Arial"/>
        </w:rPr>
        <w:t xml:space="preserve"> </w:t>
      </w:r>
      <w:r w:rsidRPr="0079211F">
        <w:rPr>
          <w:rFonts w:ascii="Arial" w:hAnsi="Arial" w:cs="Arial"/>
          <w:i/>
        </w:rPr>
        <w:t>Passage to Modernity: An Essay in the Hermeneutics of Culture</w:t>
      </w:r>
      <w:r w:rsidRPr="0079211F">
        <w:rPr>
          <w:rFonts w:ascii="Arial" w:hAnsi="Arial" w:cs="Arial"/>
        </w:rPr>
        <w:t xml:space="preserve"> (New Haven: Yale University Press).</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Joy, M</w:t>
      </w:r>
      <w:r>
        <w:rPr>
          <w:rFonts w:ascii="Arial" w:hAnsi="Arial" w:cs="Arial"/>
        </w:rPr>
        <w:t>. (2010)</w:t>
      </w:r>
      <w:r w:rsidRPr="0079211F">
        <w:rPr>
          <w:rFonts w:ascii="Arial" w:hAnsi="Arial" w:cs="Arial"/>
        </w:rPr>
        <w:t xml:space="preserve"> (ed.), </w:t>
      </w:r>
      <w:r w:rsidRPr="0079211F">
        <w:rPr>
          <w:rFonts w:ascii="Arial" w:hAnsi="Arial" w:cs="Arial"/>
          <w:i/>
        </w:rPr>
        <w:t>Continental Philosophy and the Philosophy of Religion</w:t>
      </w:r>
      <w:r w:rsidRPr="0079211F">
        <w:rPr>
          <w:rFonts w:ascii="Arial" w:hAnsi="Arial" w:cs="Arial"/>
        </w:rPr>
        <w:t xml:space="preserve"> (Dordrecht: Springer).</w:t>
      </w:r>
    </w:p>
    <w:p w:rsidR="000D58D0" w:rsidRPr="0079211F" w:rsidRDefault="000D58D0" w:rsidP="000D58D0">
      <w:pPr>
        <w:spacing w:after="120" w:line="240" w:lineRule="auto"/>
        <w:ind w:left="567" w:right="260"/>
        <w:jc w:val="both"/>
        <w:rPr>
          <w:rFonts w:ascii="Arial" w:hAnsi="Arial" w:cs="Arial"/>
        </w:rPr>
      </w:pPr>
      <w:proofErr w:type="spellStart"/>
      <w:r w:rsidRPr="0079211F">
        <w:rPr>
          <w:rFonts w:ascii="Arial" w:hAnsi="Arial" w:cs="Arial"/>
        </w:rPr>
        <w:t>Ricoeur</w:t>
      </w:r>
      <w:proofErr w:type="spellEnd"/>
      <w:r w:rsidRPr="0079211F">
        <w:rPr>
          <w:rFonts w:ascii="Arial" w:hAnsi="Arial" w:cs="Arial"/>
        </w:rPr>
        <w:t>, P</w:t>
      </w:r>
      <w:r>
        <w:rPr>
          <w:rFonts w:ascii="Arial" w:hAnsi="Arial" w:cs="Arial"/>
        </w:rPr>
        <w:t>. (1995).</w:t>
      </w:r>
      <w:r w:rsidRPr="0079211F">
        <w:rPr>
          <w:rFonts w:ascii="Arial" w:hAnsi="Arial" w:cs="Arial"/>
        </w:rPr>
        <w:t xml:space="preserve"> </w:t>
      </w:r>
      <w:r w:rsidRPr="0079211F">
        <w:rPr>
          <w:rFonts w:ascii="Arial" w:hAnsi="Arial" w:cs="Arial"/>
          <w:i/>
        </w:rPr>
        <w:t>Figuring the Sacred</w:t>
      </w:r>
      <w:r w:rsidRPr="0079211F">
        <w:rPr>
          <w:rFonts w:ascii="Arial" w:hAnsi="Arial" w:cs="Arial"/>
        </w:rPr>
        <w:t>, ed. Mark Wallace (Minneapolis: Fortress Press).</w:t>
      </w:r>
    </w:p>
    <w:p w:rsidR="000D58D0" w:rsidRPr="0079211F" w:rsidRDefault="000D58D0" w:rsidP="000D58D0">
      <w:pPr>
        <w:spacing w:after="120" w:line="240" w:lineRule="auto"/>
        <w:ind w:left="567" w:right="260"/>
        <w:jc w:val="both"/>
        <w:rPr>
          <w:rFonts w:ascii="Arial" w:hAnsi="Arial" w:cs="Arial"/>
        </w:rPr>
      </w:pPr>
      <w:r w:rsidRPr="0079211F">
        <w:rPr>
          <w:rFonts w:ascii="Arial" w:hAnsi="Arial" w:cs="Arial"/>
        </w:rPr>
        <w:t xml:space="preserve">---------- “Religion, Atheism, and Faith” in </w:t>
      </w:r>
      <w:proofErr w:type="gramStart"/>
      <w:r w:rsidRPr="007B613C">
        <w:rPr>
          <w:rFonts w:ascii="Arial" w:hAnsi="Arial" w:cs="Arial"/>
          <w:i/>
        </w:rPr>
        <w:t>The</w:t>
      </w:r>
      <w:proofErr w:type="gramEnd"/>
      <w:r w:rsidRPr="007B613C">
        <w:rPr>
          <w:rFonts w:ascii="Arial" w:hAnsi="Arial" w:cs="Arial"/>
          <w:i/>
        </w:rPr>
        <w:t xml:space="preserve"> Conflict of Interpretations</w:t>
      </w:r>
      <w:r w:rsidRPr="0079211F">
        <w:rPr>
          <w:rFonts w:ascii="Arial" w:hAnsi="Arial" w:cs="Arial"/>
        </w:rPr>
        <w:t xml:space="preserve">, ed. D. </w:t>
      </w:r>
      <w:proofErr w:type="spellStart"/>
      <w:r w:rsidRPr="0079211F">
        <w:rPr>
          <w:rFonts w:ascii="Arial" w:hAnsi="Arial" w:cs="Arial"/>
        </w:rPr>
        <w:t>Ihde</w:t>
      </w:r>
      <w:proofErr w:type="spellEnd"/>
      <w:r w:rsidRPr="0079211F">
        <w:rPr>
          <w:rFonts w:ascii="Arial" w:hAnsi="Arial" w:cs="Arial"/>
        </w:rPr>
        <w:t xml:space="preserve"> (Evanston: </w:t>
      </w:r>
      <w:proofErr w:type="spellStart"/>
      <w:r w:rsidRPr="0079211F">
        <w:rPr>
          <w:rFonts w:ascii="Arial" w:hAnsi="Arial" w:cs="Arial"/>
        </w:rPr>
        <w:t>Northwestern</w:t>
      </w:r>
      <w:proofErr w:type="spellEnd"/>
      <w:r w:rsidRPr="0079211F">
        <w:rPr>
          <w:rFonts w:ascii="Arial" w:hAnsi="Arial" w:cs="Arial"/>
        </w:rPr>
        <w:t xml:space="preserve"> University Press, 1974), pp. 440–467.</w:t>
      </w:r>
    </w:p>
    <w:p w:rsidR="00154D48" w:rsidRPr="00154D48" w:rsidRDefault="000D58D0" w:rsidP="000D58D0">
      <w:pPr>
        <w:spacing w:after="120" w:line="240" w:lineRule="auto"/>
        <w:ind w:left="567" w:right="260"/>
        <w:jc w:val="both"/>
        <w:rPr>
          <w:rFonts w:ascii="Arial" w:hAnsi="Arial" w:cs="Arial"/>
        </w:rPr>
      </w:pPr>
      <w:r w:rsidRPr="0079211F">
        <w:rPr>
          <w:rFonts w:ascii="Arial" w:hAnsi="Arial" w:cs="Arial"/>
        </w:rPr>
        <w:t>Ward, G</w:t>
      </w:r>
      <w:r>
        <w:rPr>
          <w:rFonts w:ascii="Arial" w:hAnsi="Arial" w:cs="Arial"/>
        </w:rPr>
        <w:t>. (2004).</w:t>
      </w:r>
      <w:r w:rsidRPr="0079211F">
        <w:rPr>
          <w:rFonts w:ascii="Arial" w:hAnsi="Arial" w:cs="Arial"/>
        </w:rPr>
        <w:t xml:space="preserve"> </w:t>
      </w:r>
      <w:r w:rsidRPr="007B613C">
        <w:rPr>
          <w:rFonts w:ascii="Arial" w:hAnsi="Arial" w:cs="Arial"/>
          <w:i/>
        </w:rPr>
        <w:t>The Blackwell Companion to Postmodern Theology</w:t>
      </w:r>
      <w:r w:rsidRPr="0079211F">
        <w:rPr>
          <w:rFonts w:ascii="Arial" w:hAnsi="Arial" w:cs="Arial"/>
        </w:rPr>
        <w:t xml:space="preserve"> (Oxford: Blackwell)</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352B0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352B0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52B06">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D58D0" w:rsidRDefault="000D58D0" w:rsidP="000D58D0">
      <w:pPr>
        <w:pStyle w:val="ListParagraph"/>
        <w:numPr>
          <w:ilvl w:val="0"/>
          <w:numId w:val="12"/>
        </w:numPr>
        <w:spacing w:after="120"/>
        <w:ind w:right="260"/>
        <w:contextualSpacing w:val="0"/>
        <w:rPr>
          <w:rFonts w:ascii="Arial" w:hAnsi="Arial" w:cs="Arial"/>
          <w:iCs/>
        </w:rPr>
      </w:pPr>
      <w:r>
        <w:rPr>
          <w:rFonts w:ascii="Arial" w:hAnsi="Arial" w:cs="Arial"/>
          <w:iCs/>
        </w:rPr>
        <w:t>Introduction to Essay (500 words) – 15%</w:t>
      </w:r>
    </w:p>
    <w:p w:rsidR="000D58D0" w:rsidRDefault="000D58D0" w:rsidP="000D58D0">
      <w:pPr>
        <w:pStyle w:val="ListParagraph"/>
        <w:numPr>
          <w:ilvl w:val="0"/>
          <w:numId w:val="12"/>
        </w:numPr>
        <w:spacing w:after="120"/>
        <w:ind w:right="260"/>
        <w:contextualSpacing w:val="0"/>
        <w:rPr>
          <w:rFonts w:ascii="Arial" w:hAnsi="Arial" w:cs="Arial"/>
          <w:iCs/>
        </w:rPr>
      </w:pPr>
      <w:r>
        <w:rPr>
          <w:rFonts w:ascii="Arial" w:hAnsi="Arial" w:cs="Arial"/>
          <w:iCs/>
        </w:rPr>
        <w:t>Text Commentary (2,000 words) – 35%</w:t>
      </w:r>
    </w:p>
    <w:p w:rsidR="00BE773E" w:rsidRPr="00BE773E" w:rsidRDefault="000D58D0" w:rsidP="000D58D0">
      <w:pPr>
        <w:numPr>
          <w:ilvl w:val="0"/>
          <w:numId w:val="10"/>
        </w:numPr>
        <w:spacing w:after="120" w:line="240" w:lineRule="auto"/>
        <w:ind w:right="260"/>
        <w:rPr>
          <w:rFonts w:ascii="Arial" w:hAnsi="Arial" w:cs="Arial"/>
          <w:iCs/>
        </w:rPr>
      </w:pPr>
      <w:r>
        <w:rPr>
          <w:rFonts w:ascii="Arial" w:hAnsi="Arial" w:cs="Arial"/>
          <w:iCs/>
        </w:rPr>
        <w:t>Essay (3,500 words) – 50%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52B06">
        <w:rPr>
          <w:rFonts w:ascii="Arial" w:hAnsi="Arial" w:cs="Arial"/>
          <w:iCs/>
        </w:rPr>
        <w:t xml:space="preserve">100% </w:t>
      </w:r>
      <w:r w:rsidR="00022B74">
        <w:rPr>
          <w:rFonts w:ascii="Arial" w:hAnsi="Arial" w:cs="Arial"/>
          <w:iCs/>
        </w:rPr>
        <w:t>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352B06" w:rsidRPr="00302082" w:rsidTr="00352B06">
        <w:trPr>
          <w:cantSplit/>
          <w:trHeight w:val="1332"/>
        </w:trPr>
        <w:tc>
          <w:tcPr>
            <w:tcW w:w="2439" w:type="dxa"/>
            <w:shd w:val="clear" w:color="auto" w:fill="D9D9D9" w:themeFill="background1" w:themeFillShade="D9"/>
          </w:tcPr>
          <w:p w:rsidR="00352B06" w:rsidRPr="00302082" w:rsidRDefault="00352B06"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8.1</w:t>
            </w:r>
            <w:r w:rsidR="00022B74">
              <w:rPr>
                <w:rFonts w:ascii="Arial" w:hAnsi="Arial" w:cs="Arial"/>
              </w:rPr>
              <w:t xml:space="preserve"> </w:t>
            </w:r>
            <w:r w:rsidR="008A059E">
              <w:rPr>
                <w:rFonts w:ascii="Arial" w:hAnsi="Arial" w:cs="Arial"/>
              </w:rPr>
              <w:t>and</w:t>
            </w:r>
            <w:r w:rsidR="00022B74">
              <w:rPr>
                <w:rFonts w:ascii="Arial" w:hAnsi="Arial" w:cs="Arial"/>
              </w:rPr>
              <w:t xml:space="preserve"> 8.6</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8.2</w:t>
            </w:r>
            <w:r w:rsidR="00022B74">
              <w:rPr>
                <w:rFonts w:ascii="Arial" w:hAnsi="Arial" w:cs="Arial"/>
              </w:rPr>
              <w:t xml:space="preserve"> </w:t>
            </w:r>
            <w:r w:rsidR="008A059E">
              <w:rPr>
                <w:rFonts w:ascii="Arial" w:hAnsi="Arial" w:cs="Arial"/>
              </w:rPr>
              <w:t>and</w:t>
            </w:r>
            <w:r w:rsidR="00022B74">
              <w:rPr>
                <w:rFonts w:ascii="Arial" w:hAnsi="Arial" w:cs="Arial"/>
              </w:rPr>
              <w:t xml:space="preserve"> 8.7</w:t>
            </w:r>
          </w:p>
        </w:tc>
        <w:tc>
          <w:tcPr>
            <w:tcW w:w="567" w:type="dxa"/>
            <w:textDirection w:val="btLr"/>
          </w:tcPr>
          <w:p w:rsidR="00352B06" w:rsidRPr="002302FD" w:rsidRDefault="00352B06" w:rsidP="00352B06">
            <w:pPr>
              <w:spacing w:after="120"/>
              <w:ind w:left="113" w:right="113"/>
              <w:rPr>
                <w:rFonts w:ascii="Arial" w:hAnsi="Arial" w:cs="Arial"/>
              </w:rPr>
            </w:pPr>
            <w:r w:rsidRPr="002302FD">
              <w:rPr>
                <w:rFonts w:ascii="Arial" w:hAnsi="Arial" w:cs="Arial"/>
              </w:rPr>
              <w:t>8.3</w:t>
            </w:r>
            <w:r w:rsidR="00022B74">
              <w:rPr>
                <w:rFonts w:ascii="Arial" w:hAnsi="Arial" w:cs="Arial"/>
              </w:rPr>
              <w:t xml:space="preserve"> </w:t>
            </w:r>
            <w:r w:rsidR="008A059E">
              <w:rPr>
                <w:rFonts w:ascii="Arial" w:hAnsi="Arial" w:cs="Arial"/>
              </w:rPr>
              <w:t>and</w:t>
            </w:r>
            <w:r w:rsidR="00022B74">
              <w:rPr>
                <w:rFonts w:ascii="Arial" w:hAnsi="Arial" w:cs="Arial"/>
              </w:rPr>
              <w:t xml:space="preserve"> 8.8</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8.4 </w:t>
            </w:r>
            <w:r w:rsidR="008A059E">
              <w:rPr>
                <w:rFonts w:ascii="Arial" w:hAnsi="Arial" w:cs="Arial"/>
              </w:rPr>
              <w:t>and</w:t>
            </w:r>
            <w:r>
              <w:rPr>
                <w:rFonts w:ascii="Arial" w:hAnsi="Arial" w:cs="Arial"/>
              </w:rPr>
              <w:t xml:space="preserve"> 8.9</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8.5 </w:t>
            </w:r>
            <w:r w:rsidR="008A059E">
              <w:rPr>
                <w:rFonts w:ascii="Arial" w:hAnsi="Arial" w:cs="Arial"/>
              </w:rPr>
              <w:t>and</w:t>
            </w:r>
            <w:r>
              <w:rPr>
                <w:rFonts w:ascii="Arial" w:hAnsi="Arial" w:cs="Arial"/>
              </w:rPr>
              <w:t xml:space="preserve"> 8.10</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9.1 </w:t>
            </w:r>
            <w:r w:rsidR="008A059E">
              <w:rPr>
                <w:rFonts w:ascii="Arial" w:hAnsi="Arial" w:cs="Arial"/>
              </w:rPr>
              <w:t>and</w:t>
            </w:r>
            <w:r>
              <w:rPr>
                <w:rFonts w:ascii="Arial" w:hAnsi="Arial" w:cs="Arial"/>
              </w:rPr>
              <w:t xml:space="preserve"> 9.4</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9.2 </w:t>
            </w:r>
            <w:r w:rsidR="008A059E">
              <w:rPr>
                <w:rFonts w:ascii="Arial" w:hAnsi="Arial" w:cs="Arial"/>
              </w:rPr>
              <w:t>and</w:t>
            </w:r>
            <w:r>
              <w:rPr>
                <w:rFonts w:ascii="Arial" w:hAnsi="Arial" w:cs="Arial"/>
              </w:rPr>
              <w:t xml:space="preserve"> 9.5</w:t>
            </w:r>
          </w:p>
        </w:tc>
        <w:tc>
          <w:tcPr>
            <w:tcW w:w="567" w:type="dxa"/>
            <w:textDirection w:val="btLr"/>
          </w:tcPr>
          <w:p w:rsidR="00352B06" w:rsidRPr="002302FD" w:rsidRDefault="00022B74" w:rsidP="00352B06">
            <w:pPr>
              <w:spacing w:after="120"/>
              <w:ind w:left="113" w:right="113"/>
              <w:rPr>
                <w:rFonts w:ascii="Arial" w:hAnsi="Arial" w:cs="Arial"/>
              </w:rPr>
            </w:pPr>
            <w:r>
              <w:rPr>
                <w:rFonts w:ascii="Arial" w:hAnsi="Arial" w:cs="Arial"/>
              </w:rPr>
              <w:t xml:space="preserve">9.3 </w:t>
            </w:r>
            <w:r w:rsidR="008A059E">
              <w:rPr>
                <w:rFonts w:ascii="Arial" w:hAnsi="Arial" w:cs="Arial"/>
              </w:rPr>
              <w:t>and</w:t>
            </w:r>
            <w:r>
              <w:rPr>
                <w:rFonts w:ascii="Arial" w:hAnsi="Arial" w:cs="Arial"/>
              </w:rPr>
              <w:t xml:space="preserve"> 9.6</w:t>
            </w:r>
          </w:p>
        </w:tc>
      </w:tr>
      <w:tr w:rsidR="00352B06" w:rsidRPr="00302082" w:rsidTr="00352B06">
        <w:tc>
          <w:tcPr>
            <w:tcW w:w="2439" w:type="dxa"/>
            <w:shd w:val="clear" w:color="auto" w:fill="D9D9D9" w:themeFill="background1" w:themeFillShade="D9"/>
          </w:tcPr>
          <w:p w:rsidR="00352B06" w:rsidRPr="00302082" w:rsidRDefault="00352B06" w:rsidP="00302082">
            <w:pPr>
              <w:spacing w:after="120"/>
              <w:rPr>
                <w:rFonts w:ascii="Arial" w:hAnsi="Arial" w:cs="Arial"/>
                <w:b/>
              </w:rPr>
            </w:pPr>
            <w:r w:rsidRPr="00302082">
              <w:rPr>
                <w:rFonts w:ascii="Arial" w:hAnsi="Arial" w:cs="Arial"/>
                <w:b/>
              </w:rPr>
              <w:t>Learning/ teaching method</w:t>
            </w: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c>
          <w:tcPr>
            <w:tcW w:w="567" w:type="dxa"/>
          </w:tcPr>
          <w:p w:rsidR="00352B06" w:rsidRPr="00302082" w:rsidRDefault="00352B06" w:rsidP="00302082">
            <w:pPr>
              <w:spacing w:after="120"/>
              <w:rPr>
                <w:rFonts w:ascii="Arial" w:hAnsi="Arial" w:cs="Arial"/>
                <w:b/>
              </w:rPr>
            </w:pPr>
          </w:p>
        </w:tc>
      </w:tr>
      <w:tr w:rsidR="00352B06" w:rsidRPr="00302082" w:rsidTr="00352B06">
        <w:tc>
          <w:tcPr>
            <w:tcW w:w="2439" w:type="dxa"/>
          </w:tcPr>
          <w:p w:rsidR="00352B06" w:rsidRPr="00BE773E" w:rsidRDefault="00352B06" w:rsidP="00302082">
            <w:pPr>
              <w:spacing w:after="120"/>
              <w:rPr>
                <w:rFonts w:ascii="Arial" w:hAnsi="Arial" w:cs="Arial"/>
              </w:rPr>
            </w:pPr>
            <w:r w:rsidRPr="00BE773E">
              <w:rPr>
                <w:rFonts w:ascii="Arial" w:hAnsi="Arial" w:cs="Arial"/>
              </w:rPr>
              <w:t>Private Study</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352B06" w:rsidP="00302082">
            <w:pPr>
              <w:spacing w:after="120"/>
              <w:rPr>
                <w:rFonts w:ascii="Arial" w:hAnsi="Arial" w:cs="Arial"/>
              </w:rPr>
            </w:pPr>
            <w:r>
              <w:rPr>
                <w:rFonts w:ascii="Arial" w:hAnsi="Arial" w:cs="Arial"/>
              </w:rPr>
              <w:lastRenderedPageBreak/>
              <w:t>Lecture</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352B06" w:rsidP="00302082">
            <w:pPr>
              <w:spacing w:after="120"/>
              <w:rPr>
                <w:rFonts w:ascii="Arial" w:hAnsi="Arial" w:cs="Arial"/>
              </w:rPr>
            </w:pPr>
            <w:r>
              <w:rPr>
                <w:rFonts w:ascii="Arial" w:hAnsi="Arial" w:cs="Arial"/>
              </w:rPr>
              <w:t>Seminar</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352B06" w:rsidRPr="00302082" w:rsidTr="00352B06">
        <w:tc>
          <w:tcPr>
            <w:tcW w:w="2439" w:type="dxa"/>
            <w:shd w:val="clear" w:color="auto" w:fill="D9D9D9" w:themeFill="background1" w:themeFillShade="D9"/>
          </w:tcPr>
          <w:p w:rsidR="00352B06" w:rsidRPr="00302082" w:rsidRDefault="00352B06" w:rsidP="00302082">
            <w:pPr>
              <w:spacing w:after="120"/>
              <w:rPr>
                <w:rFonts w:ascii="Arial" w:hAnsi="Arial" w:cs="Arial"/>
                <w:b/>
              </w:rPr>
            </w:pPr>
            <w:r w:rsidRPr="00302082">
              <w:rPr>
                <w:rFonts w:ascii="Arial" w:hAnsi="Arial" w:cs="Arial"/>
                <w:b/>
              </w:rPr>
              <w:t>Assessment method</w:t>
            </w: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c>
          <w:tcPr>
            <w:tcW w:w="567" w:type="dxa"/>
            <w:vAlign w:val="center"/>
          </w:tcPr>
          <w:p w:rsidR="00352B06" w:rsidRPr="00302082" w:rsidRDefault="00352B06" w:rsidP="00E871CF">
            <w:pPr>
              <w:spacing w:after="120"/>
              <w:jc w:val="center"/>
              <w:rPr>
                <w:rFonts w:ascii="Arial" w:hAnsi="Arial" w:cs="Arial"/>
                <w:b/>
              </w:rPr>
            </w:pPr>
          </w:p>
        </w:tc>
      </w:tr>
      <w:tr w:rsidR="00352B06" w:rsidRPr="00302082" w:rsidTr="00352B06">
        <w:tc>
          <w:tcPr>
            <w:tcW w:w="2439" w:type="dxa"/>
          </w:tcPr>
          <w:p w:rsidR="00352B06" w:rsidRPr="00154D48" w:rsidRDefault="000D58D0" w:rsidP="00302082">
            <w:pPr>
              <w:spacing w:after="120"/>
              <w:rPr>
                <w:rFonts w:ascii="Arial" w:hAnsi="Arial" w:cs="Arial"/>
              </w:rPr>
            </w:pPr>
            <w:r>
              <w:rPr>
                <w:rFonts w:ascii="Arial" w:hAnsi="Arial" w:cs="Arial"/>
              </w:rPr>
              <w:t>Introduction to Essay</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r>
      <w:tr w:rsidR="00352B06" w:rsidRPr="00302082" w:rsidTr="00352B06">
        <w:tc>
          <w:tcPr>
            <w:tcW w:w="2439" w:type="dxa"/>
          </w:tcPr>
          <w:p w:rsidR="00352B06" w:rsidRPr="00154D48" w:rsidRDefault="000D58D0" w:rsidP="00154D48">
            <w:pPr>
              <w:spacing w:after="120"/>
              <w:rPr>
                <w:rFonts w:ascii="Arial" w:hAnsi="Arial" w:cs="Arial"/>
              </w:rPr>
            </w:pPr>
            <w:r>
              <w:rPr>
                <w:rFonts w:ascii="Arial" w:hAnsi="Arial" w:cs="Arial"/>
              </w:rPr>
              <w:t>Text Commentary</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22B74"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c>
          <w:tcPr>
            <w:tcW w:w="567" w:type="dxa"/>
            <w:vAlign w:val="center"/>
          </w:tcPr>
          <w:p w:rsidR="00352B06" w:rsidRPr="00302082" w:rsidRDefault="00352B06" w:rsidP="00E871CF">
            <w:pPr>
              <w:spacing w:after="120"/>
              <w:jc w:val="center"/>
              <w:rPr>
                <w:rFonts w:ascii="Arial" w:hAnsi="Arial" w:cs="Arial"/>
                <w:b/>
              </w:rPr>
            </w:pPr>
            <w:r>
              <w:rPr>
                <w:rFonts w:ascii="Arial" w:hAnsi="Arial" w:cs="Arial"/>
                <w:b/>
              </w:rPr>
              <w:t>x</w:t>
            </w:r>
          </w:p>
        </w:tc>
      </w:tr>
      <w:tr w:rsidR="000D58D0" w:rsidRPr="00302082" w:rsidTr="00352B06">
        <w:tc>
          <w:tcPr>
            <w:tcW w:w="2439" w:type="dxa"/>
          </w:tcPr>
          <w:p w:rsidR="000D58D0" w:rsidRDefault="000D58D0" w:rsidP="00154D48">
            <w:pPr>
              <w:spacing w:after="120"/>
              <w:rPr>
                <w:rFonts w:ascii="Arial" w:hAnsi="Arial" w:cs="Arial"/>
              </w:rPr>
            </w:pPr>
            <w:r>
              <w:rPr>
                <w:rFonts w:ascii="Arial" w:hAnsi="Arial" w:cs="Arial"/>
              </w:rPr>
              <w:t>Essay</w:t>
            </w:r>
          </w:p>
        </w:tc>
        <w:tc>
          <w:tcPr>
            <w:tcW w:w="567" w:type="dxa"/>
            <w:vAlign w:val="center"/>
          </w:tcPr>
          <w:p w:rsidR="000D58D0"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Pr="00302082"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c>
          <w:tcPr>
            <w:tcW w:w="567" w:type="dxa"/>
            <w:vAlign w:val="center"/>
          </w:tcPr>
          <w:p w:rsidR="000D58D0" w:rsidRDefault="000D58D0"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0D58D0" w:rsidP="00352B06">
      <w:pPr>
        <w:spacing w:after="120" w:line="240" w:lineRule="auto"/>
        <w:ind w:left="567" w:right="260"/>
        <w:jc w:val="both"/>
        <w:rPr>
          <w:rFonts w:ascii="Arial" w:hAnsi="Arial" w:cs="Arial"/>
          <w:iCs/>
        </w:rPr>
      </w:pPr>
      <w:r w:rsidRPr="000D58D0">
        <w:rPr>
          <w:rFonts w:ascii="Arial" w:hAnsi="Arial" w:cs="Arial"/>
          <w:iCs/>
        </w:rPr>
        <w:t xml:space="preserve">This course develops a strong sense of important national </w:t>
      </w:r>
      <w:proofErr w:type="spellStart"/>
      <w:r w:rsidRPr="000D58D0">
        <w:rPr>
          <w:rFonts w:ascii="Arial" w:hAnsi="Arial" w:cs="Arial"/>
          <w:iCs/>
        </w:rPr>
        <w:t>distinctives</w:t>
      </w:r>
      <w:proofErr w:type="spellEnd"/>
      <w:r w:rsidRPr="000D58D0">
        <w:rPr>
          <w:rFonts w:ascii="Arial" w:hAnsi="Arial" w:cs="Arial"/>
          <w:iCs/>
        </w:rPr>
        <w:t xml:space="preserve"> shaping the modern and contemporary conversations about philosophy and religion. We will discuss national differences in the institutional management of religion, philosophy as an academic formation, and aspects of the respective cultural roles of drugs. Students will be asked to reflect on international markets and calls for international funding in their written work.</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29/01/18</w:t>
            </w:r>
          </w:p>
        </w:tc>
        <w:tc>
          <w:tcPr>
            <w:tcW w:w="1701"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January 2019</w:t>
            </w:r>
          </w:p>
        </w:tc>
        <w:tc>
          <w:tcPr>
            <w:tcW w:w="2552" w:type="dxa"/>
            <w:vAlign w:val="center"/>
          </w:tcPr>
          <w:p w:rsidR="00422B69" w:rsidRPr="007A689A" w:rsidRDefault="000D58D0" w:rsidP="007A689A">
            <w:pPr>
              <w:spacing w:after="120"/>
              <w:ind w:right="-330"/>
              <w:rPr>
                <w:rFonts w:ascii="Arial" w:hAnsi="Arial" w:cs="Arial"/>
                <w:sz w:val="18"/>
                <w:szCs w:val="18"/>
              </w:rPr>
            </w:pPr>
            <w:r>
              <w:rPr>
                <w:rFonts w:ascii="Arial" w:hAnsi="Arial" w:cs="Arial"/>
                <w:sz w:val="18"/>
                <w:szCs w:val="18"/>
              </w:rPr>
              <w:t>1, 7-10, 13</w:t>
            </w:r>
          </w:p>
        </w:tc>
        <w:tc>
          <w:tcPr>
            <w:tcW w:w="2685" w:type="dxa"/>
            <w:vAlign w:val="center"/>
          </w:tcPr>
          <w:p w:rsidR="00422B69" w:rsidRPr="007A689A" w:rsidRDefault="00422B69" w:rsidP="007A689A">
            <w:pPr>
              <w:spacing w:after="120"/>
              <w:ind w:right="-330"/>
              <w:rPr>
                <w:rFonts w:ascii="Arial" w:hAnsi="Arial" w:cs="Arial"/>
                <w:sz w:val="18"/>
                <w:szCs w:val="18"/>
              </w:rPr>
            </w:pPr>
          </w:p>
        </w:tc>
      </w:tr>
      <w:tr w:rsidR="00302082" w:rsidRPr="00302082" w:rsidTr="007A689A">
        <w:trPr>
          <w:trHeight w:val="305"/>
        </w:trPr>
        <w:tc>
          <w:tcPr>
            <w:tcW w:w="1526"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BE2E72" w:rsidP="007A689A">
            <w:pPr>
              <w:spacing w:after="120"/>
              <w:ind w:right="-330"/>
              <w:rPr>
                <w:rFonts w:ascii="Arial" w:hAnsi="Arial" w:cs="Arial"/>
                <w:sz w:val="18"/>
                <w:szCs w:val="18"/>
              </w:rPr>
            </w:pPr>
            <w:r w:rsidRPr="00BE2E72">
              <w:rPr>
                <w:rFonts w:ascii="Arial" w:hAnsi="Arial" w:cs="Arial"/>
                <w:sz w:val="18"/>
                <w:szCs w:val="18"/>
              </w:rPr>
              <w:t>1, 3, 8, 9, 12</w:t>
            </w:r>
          </w:p>
        </w:tc>
        <w:tc>
          <w:tcPr>
            <w:tcW w:w="2685" w:type="dxa"/>
            <w:vAlign w:val="center"/>
          </w:tcPr>
          <w:p w:rsidR="00422B69" w:rsidRPr="007A689A" w:rsidRDefault="00BE2E72"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022B74" w:rsidRPr="00302082" w:rsidRDefault="00022B74" w:rsidP="00302082">
      <w:pPr>
        <w:spacing w:after="120" w:line="240" w:lineRule="auto"/>
        <w:ind w:right="-330"/>
        <w:rPr>
          <w:rFonts w:ascii="Arial" w:hAnsi="Arial" w:cs="Arial"/>
        </w:rPr>
      </w:pPr>
    </w:p>
    <w:sectPr w:rsidR="00022B74"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E2E7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BE2E72">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91C71"/>
    <w:multiLevelType w:val="hybridMultilevel"/>
    <w:tmpl w:val="9F7A73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E41D3"/>
    <w:multiLevelType w:val="hybridMultilevel"/>
    <w:tmpl w:val="E7E4CB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5"/>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74"/>
    <w:rsid w:val="00025992"/>
    <w:rsid w:val="00027937"/>
    <w:rsid w:val="00030C9E"/>
    <w:rsid w:val="00031E67"/>
    <w:rsid w:val="000408CC"/>
    <w:rsid w:val="00045373"/>
    <w:rsid w:val="00061045"/>
    <w:rsid w:val="00063A2F"/>
    <w:rsid w:val="000678D3"/>
    <w:rsid w:val="00094810"/>
    <w:rsid w:val="00096DA4"/>
    <w:rsid w:val="000C0294"/>
    <w:rsid w:val="000C3A7E"/>
    <w:rsid w:val="000C7A1C"/>
    <w:rsid w:val="000D2A8A"/>
    <w:rsid w:val="000D32AC"/>
    <w:rsid w:val="000D58D0"/>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4466"/>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2E2"/>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B06"/>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59E"/>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A3F"/>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A64BD"/>
    <w:rsid w:val="00BB2045"/>
    <w:rsid w:val="00BB2A6D"/>
    <w:rsid w:val="00BB4189"/>
    <w:rsid w:val="00BC19F7"/>
    <w:rsid w:val="00BC41ED"/>
    <w:rsid w:val="00BD009E"/>
    <w:rsid w:val="00BD0EF8"/>
    <w:rsid w:val="00BD7A8C"/>
    <w:rsid w:val="00BE2126"/>
    <w:rsid w:val="00BE2E72"/>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5EA"/>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3B02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022B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802320A-8014-4272-821F-9BC569F14855}">
  <ds:schemaRefs>
    <ds:schemaRef ds:uri="http://schemas.openxmlformats.org/officeDocument/2006/bibliography"/>
  </ds:schemaRefs>
</ds:datastoreItem>
</file>

<file path=customXml/itemProps2.xml><?xml version="1.0" encoding="utf-8"?>
<ds:datastoreItem xmlns:ds="http://schemas.openxmlformats.org/officeDocument/2006/customXml" ds:itemID="{C909FCD3-638B-47F5-BB8C-AC55E9968B8A}"/>
</file>

<file path=customXml/itemProps3.xml><?xml version="1.0" encoding="utf-8"?>
<ds:datastoreItem xmlns:ds="http://schemas.openxmlformats.org/officeDocument/2006/customXml" ds:itemID="{60FBBC6D-78B6-4BDA-8EF1-DB20D1BE9A3E}"/>
</file>

<file path=customXml/itemProps4.xml><?xml version="1.0" encoding="utf-8"?>
<ds:datastoreItem xmlns:ds="http://schemas.openxmlformats.org/officeDocument/2006/customXml" ds:itemID="{F5BE3DE0-B685-4C99-B139-1BDF7C558654}"/>
</file>

<file path=docProps/app.xml><?xml version="1.0" encoding="utf-8"?>
<Properties xmlns="http://schemas.openxmlformats.org/officeDocument/2006/extended-properties" xmlns:vt="http://schemas.openxmlformats.org/officeDocument/2006/docPropsVTypes">
  <Template>Normal</Template>
  <TotalTime>5</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2020-01-14T14:52:00Z</dcterms:created>
  <dcterms:modified xsi:type="dcterms:W3CDTF">2020-02-11T10:49:00Z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