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803D91" w:rsidRDefault="00DA7FDE" w:rsidP="00696FF5">
      <w:pPr>
        <w:spacing w:after="120" w:line="240" w:lineRule="auto"/>
        <w:ind w:left="567" w:right="260"/>
        <w:jc w:val="both"/>
        <w:rPr>
          <w:rFonts w:ascii="Arial" w:hAnsi="Arial" w:cs="Arial"/>
          <w:iCs/>
        </w:rPr>
      </w:pPr>
      <w:r w:rsidRPr="00803D91">
        <w:rPr>
          <w:rFonts w:ascii="Arial" w:hAnsi="Arial" w:cs="Arial"/>
        </w:rPr>
        <w:t xml:space="preserve">POLI9550 </w:t>
      </w:r>
      <w:r w:rsidR="00C57028" w:rsidRPr="00803D91">
        <w:rPr>
          <w:rFonts w:ascii="Arial" w:hAnsi="Arial" w:cs="Arial"/>
          <w:iCs/>
        </w:rPr>
        <w:t>(</w:t>
      </w:r>
      <w:r w:rsidR="00682471" w:rsidRPr="00803D91">
        <w:rPr>
          <w:rFonts w:ascii="Arial" w:hAnsi="Arial" w:cs="Arial"/>
          <w:iCs/>
        </w:rPr>
        <w:t>PO955</w:t>
      </w:r>
      <w:r w:rsidR="00C57028" w:rsidRPr="00803D91">
        <w:rPr>
          <w:rFonts w:ascii="Arial" w:hAnsi="Arial" w:cs="Arial"/>
          <w:iCs/>
        </w:rPr>
        <w:t>) -</w:t>
      </w:r>
      <w:r w:rsidR="009A2D37" w:rsidRPr="00803D91">
        <w:rPr>
          <w:rFonts w:ascii="Arial" w:hAnsi="Arial" w:cs="Arial"/>
          <w:iCs/>
        </w:rPr>
        <w:t xml:space="preserve"> </w:t>
      </w:r>
      <w:r w:rsidR="00682471" w:rsidRPr="00803D91">
        <w:rPr>
          <w:rFonts w:ascii="Arial" w:hAnsi="Arial" w:cs="Arial"/>
          <w:iCs/>
        </w:rPr>
        <w:t>Human Security in Forced Migration</w:t>
      </w:r>
    </w:p>
    <w:p w:rsidR="00DA7FDE" w:rsidRPr="00803D91" w:rsidRDefault="00803D91" w:rsidP="00DA7FDE">
      <w:pPr>
        <w:spacing w:after="120" w:line="240" w:lineRule="auto"/>
        <w:ind w:left="567" w:right="260"/>
        <w:jc w:val="both"/>
        <w:rPr>
          <w:rFonts w:ascii="Arial" w:hAnsi="Arial" w:cs="Arial"/>
          <w:iCs/>
        </w:rPr>
      </w:pPr>
      <w:r w:rsidRPr="00803D91">
        <w:rPr>
          <w:rFonts w:ascii="Arial" w:hAnsi="Arial" w:cs="Arial"/>
        </w:rPr>
        <w:t xml:space="preserve">POLI9551 </w:t>
      </w:r>
      <w:r w:rsidR="00DA7FDE" w:rsidRPr="00803D91">
        <w:rPr>
          <w:rFonts w:ascii="Arial" w:hAnsi="Arial" w:cs="Arial"/>
          <w:iCs/>
        </w:rPr>
        <w:t>(PO955) - Human Security in Forced Migration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AD516F" w:rsidRDefault="00AD516F" w:rsidP="00696FF5">
      <w:pPr>
        <w:spacing w:after="120" w:line="240" w:lineRule="auto"/>
        <w:ind w:left="567" w:right="260"/>
        <w:rPr>
          <w:rFonts w:ascii="Arial" w:hAnsi="Arial" w:cs="Arial"/>
          <w:iCs/>
        </w:rPr>
      </w:pPr>
      <w:r>
        <w:rPr>
          <w:rFonts w:ascii="Arial" w:hAnsi="Arial" w:cs="Arial"/>
          <w:iCs/>
        </w:rPr>
        <w:t xml:space="preserve">School of </w:t>
      </w:r>
      <w:r w:rsidRPr="00AD516F">
        <w:rPr>
          <w:rFonts w:ascii="Arial" w:hAnsi="Arial" w:cs="Arial"/>
          <w:iCs/>
        </w:rPr>
        <w:t>Politics and International Relations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803D91" w:rsidRDefault="00803D91" w:rsidP="00696FF5">
      <w:pPr>
        <w:spacing w:after="120" w:line="240" w:lineRule="auto"/>
        <w:ind w:left="567" w:right="260"/>
        <w:jc w:val="both"/>
        <w:rPr>
          <w:rFonts w:ascii="Arial" w:hAnsi="Arial" w:cs="Arial"/>
        </w:rPr>
      </w:pPr>
      <w:r>
        <w:rPr>
          <w:rFonts w:ascii="Arial" w:hAnsi="Arial" w:cs="Arial"/>
        </w:rPr>
        <w:t>Level 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9660F7" w:rsidRDefault="009660F7" w:rsidP="00696FF5">
      <w:pPr>
        <w:pStyle w:val="NormalWeb"/>
        <w:spacing w:before="0" w:beforeAutospacing="0" w:after="120" w:afterAutospacing="0"/>
        <w:ind w:left="567" w:right="260"/>
        <w:rPr>
          <w:rFonts w:ascii="Arial" w:hAnsi="Arial" w:cs="Arial"/>
          <w:sz w:val="22"/>
          <w:szCs w:val="22"/>
        </w:rPr>
      </w:pPr>
      <w:r w:rsidRPr="009660F7">
        <w:rPr>
          <w:rFonts w:ascii="Arial" w:hAnsi="Arial" w:cs="Arial"/>
          <w:sz w:val="22"/>
          <w:szCs w:val="22"/>
        </w:rPr>
        <w:t>20</w:t>
      </w:r>
      <w:r w:rsidR="009A2D37" w:rsidRPr="009660F7">
        <w:rPr>
          <w:rFonts w:ascii="Arial" w:hAnsi="Arial" w:cs="Arial"/>
          <w:sz w:val="22"/>
          <w:szCs w:val="22"/>
        </w:rPr>
        <w:t xml:space="preserve"> credits (</w:t>
      </w:r>
      <w:r w:rsidRPr="009660F7">
        <w:rPr>
          <w:rFonts w:ascii="Arial" w:hAnsi="Arial" w:cs="Arial"/>
          <w:sz w:val="22"/>
          <w:szCs w:val="22"/>
        </w:rPr>
        <w:t>10</w:t>
      </w:r>
      <w:r w:rsidR="009A2D37" w:rsidRPr="009660F7">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6F1097" w:rsidP="006F1097">
      <w:pPr>
        <w:spacing w:after="120" w:line="240" w:lineRule="auto"/>
        <w:ind w:left="567" w:right="260"/>
        <w:rPr>
          <w:rFonts w:ascii="Arial" w:hAnsi="Arial" w:cs="Arial"/>
          <w:iCs/>
        </w:rPr>
      </w:pPr>
      <w:r w:rsidRPr="006F1097">
        <w:rPr>
          <w:rFonts w:ascii="Arial" w:hAnsi="Arial" w:cs="Arial"/>
          <w:iCs/>
        </w:rPr>
        <w:t>Autumn and Spring</w:t>
      </w:r>
    </w:p>
    <w:p w:rsidR="006F1097" w:rsidRPr="00302082" w:rsidRDefault="006F1097" w:rsidP="006F1097">
      <w:pPr>
        <w:spacing w:after="120" w:line="240" w:lineRule="auto"/>
        <w:ind w:left="567"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411B7" w:rsidRDefault="00F411B7"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0A281B" w:rsidP="000A281B">
      <w:pPr>
        <w:spacing w:after="120" w:line="240" w:lineRule="auto"/>
        <w:ind w:left="567" w:right="260"/>
        <w:rPr>
          <w:rFonts w:ascii="Arial" w:hAnsi="Arial" w:cs="Arial"/>
          <w:iCs/>
        </w:rPr>
      </w:pPr>
      <w:r w:rsidRPr="000A281B">
        <w:rPr>
          <w:rFonts w:ascii="Arial" w:hAnsi="Arial" w:cs="Arial"/>
          <w:iCs/>
        </w:rPr>
        <w:t>MA/PDip/PGCert [Specialisation] or MA in [Primary Specialisation] with [Secondary Area of Specialisation]  (Brussels). All MA programmes in the School of Politics and IR (Canterbury).</w:t>
      </w:r>
    </w:p>
    <w:p w:rsidR="000A281B" w:rsidRPr="00302082" w:rsidRDefault="000A281B" w:rsidP="000A281B">
      <w:pPr>
        <w:spacing w:after="120" w:line="240" w:lineRule="auto"/>
        <w:ind w:left="567"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A281B" w:rsidRPr="000A281B" w:rsidRDefault="000A281B" w:rsidP="000A281B">
      <w:pPr>
        <w:spacing w:after="120" w:line="240" w:lineRule="auto"/>
        <w:ind w:left="1440" w:right="260" w:hanging="873"/>
        <w:rPr>
          <w:rFonts w:ascii="Arial" w:hAnsi="Arial" w:cs="Arial"/>
          <w:iCs/>
        </w:rPr>
      </w:pPr>
      <w:r w:rsidRPr="000A281B">
        <w:rPr>
          <w:rFonts w:ascii="Arial" w:hAnsi="Arial" w:cs="Arial"/>
          <w:iCs/>
        </w:rPr>
        <w:t>1.</w:t>
      </w:r>
      <w:r w:rsidRPr="000A281B">
        <w:rPr>
          <w:rFonts w:ascii="Arial" w:hAnsi="Arial" w:cs="Arial"/>
          <w:iCs/>
        </w:rPr>
        <w:tab/>
        <w:t xml:space="preserve">Have an advanced understanding of the concept of human security and how it applies in forced migration in a multi-disciplinary way; </w:t>
      </w:r>
    </w:p>
    <w:p w:rsidR="000A281B" w:rsidRPr="000A281B" w:rsidRDefault="000A281B" w:rsidP="000A281B">
      <w:pPr>
        <w:spacing w:after="120" w:line="240" w:lineRule="auto"/>
        <w:ind w:left="1440" w:right="260" w:hanging="873"/>
        <w:rPr>
          <w:rFonts w:ascii="Arial" w:hAnsi="Arial" w:cs="Arial"/>
          <w:iCs/>
        </w:rPr>
      </w:pPr>
      <w:r w:rsidRPr="000A281B">
        <w:rPr>
          <w:rFonts w:ascii="Arial" w:hAnsi="Arial" w:cs="Arial"/>
          <w:iCs/>
        </w:rPr>
        <w:t>2.</w:t>
      </w:r>
      <w:r w:rsidRPr="000A281B">
        <w:rPr>
          <w:rFonts w:ascii="Arial" w:hAnsi="Arial" w:cs="Arial"/>
          <w:iCs/>
        </w:rPr>
        <w:tab/>
        <w:t>Have an advanced understanding of forced migration typologies, including the migration cycle, mixed flows and the non-binary nature of migration;</w:t>
      </w:r>
    </w:p>
    <w:p w:rsidR="000A281B" w:rsidRPr="000A281B" w:rsidRDefault="000A281B" w:rsidP="000A281B">
      <w:pPr>
        <w:spacing w:after="120" w:line="240" w:lineRule="auto"/>
        <w:ind w:left="1440" w:right="260" w:hanging="873"/>
        <w:rPr>
          <w:rFonts w:ascii="Arial" w:hAnsi="Arial" w:cs="Arial"/>
          <w:iCs/>
        </w:rPr>
      </w:pPr>
      <w:r w:rsidRPr="000A281B">
        <w:rPr>
          <w:rFonts w:ascii="Arial" w:hAnsi="Arial" w:cs="Arial"/>
          <w:iCs/>
        </w:rPr>
        <w:t>3.</w:t>
      </w:r>
      <w:r w:rsidRPr="000A281B">
        <w:rPr>
          <w:rFonts w:ascii="Arial" w:hAnsi="Arial" w:cs="Arial"/>
          <w:iCs/>
        </w:rPr>
        <w:tab/>
        <w:t>Have an understanding of the nature and role of borders, border control and the securitisation of borders;</w:t>
      </w:r>
    </w:p>
    <w:p w:rsidR="000A281B" w:rsidRPr="000A281B" w:rsidRDefault="000A281B" w:rsidP="000A281B">
      <w:pPr>
        <w:spacing w:after="120" w:line="240" w:lineRule="auto"/>
        <w:ind w:left="1440" w:right="260" w:hanging="873"/>
        <w:rPr>
          <w:rFonts w:ascii="Arial" w:hAnsi="Arial" w:cs="Arial"/>
          <w:iCs/>
        </w:rPr>
      </w:pPr>
      <w:r w:rsidRPr="000A281B">
        <w:rPr>
          <w:rFonts w:ascii="Arial" w:hAnsi="Arial" w:cs="Arial"/>
          <w:iCs/>
        </w:rPr>
        <w:t>4.</w:t>
      </w:r>
      <w:r w:rsidRPr="000A281B">
        <w:rPr>
          <w:rFonts w:ascii="Arial" w:hAnsi="Arial" w:cs="Arial"/>
          <w:iCs/>
        </w:rPr>
        <w:tab/>
        <w:t xml:space="preserve">Identification of the effects on mental health of conflicts, including the impact of war, forced migration, internal displacement, torture, and trafficking </w:t>
      </w:r>
    </w:p>
    <w:p w:rsidR="009A2D37" w:rsidRPr="000A281B" w:rsidRDefault="000A281B" w:rsidP="000A281B">
      <w:pPr>
        <w:spacing w:after="120" w:line="240" w:lineRule="auto"/>
        <w:ind w:left="1440" w:right="260" w:hanging="873"/>
        <w:rPr>
          <w:rFonts w:ascii="Arial" w:hAnsi="Arial" w:cs="Arial"/>
          <w:iCs/>
        </w:rPr>
      </w:pPr>
      <w:r w:rsidRPr="000A281B">
        <w:rPr>
          <w:rFonts w:ascii="Arial" w:hAnsi="Arial" w:cs="Arial"/>
          <w:iCs/>
        </w:rPr>
        <w:t>5.</w:t>
      </w:r>
      <w:r w:rsidRPr="000A281B">
        <w:rPr>
          <w:rFonts w:ascii="Arial" w:hAnsi="Arial" w:cs="Arial"/>
          <w:iCs/>
        </w:rPr>
        <w:tab/>
        <w:t>Have an advanced understanding of the provision of health and social care services for refugees and (forced) migrants and of the challenges forced migrants face in accessing the services available both during and after migration.</w:t>
      </w:r>
    </w:p>
    <w:p w:rsidR="000A281B" w:rsidRPr="00302082" w:rsidRDefault="000A281B"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A281B" w:rsidRPr="000A281B" w:rsidRDefault="000A281B" w:rsidP="000A281B">
      <w:pPr>
        <w:spacing w:after="120" w:line="240" w:lineRule="auto"/>
        <w:ind w:left="1440" w:right="260" w:hanging="873"/>
        <w:jc w:val="both"/>
        <w:rPr>
          <w:rFonts w:ascii="Arial" w:hAnsi="Arial" w:cs="Arial"/>
        </w:rPr>
      </w:pPr>
      <w:r w:rsidRPr="000A281B">
        <w:rPr>
          <w:rFonts w:ascii="Arial" w:hAnsi="Arial" w:cs="Arial"/>
        </w:rPr>
        <w:t>1.</w:t>
      </w:r>
      <w:r w:rsidRPr="000A281B">
        <w:rPr>
          <w:rFonts w:ascii="Arial" w:hAnsi="Arial" w:cs="Arial"/>
        </w:rPr>
        <w:tab/>
        <w:t xml:space="preserve">Conduct effective in-depth, independent research into a particular problem; </w:t>
      </w:r>
    </w:p>
    <w:p w:rsidR="000A281B" w:rsidRPr="000A281B" w:rsidRDefault="000A281B" w:rsidP="000A281B">
      <w:pPr>
        <w:spacing w:after="120" w:line="240" w:lineRule="auto"/>
        <w:ind w:left="1440" w:right="260" w:hanging="873"/>
        <w:jc w:val="both"/>
        <w:rPr>
          <w:rFonts w:ascii="Arial" w:hAnsi="Arial" w:cs="Arial"/>
        </w:rPr>
      </w:pPr>
      <w:r w:rsidRPr="000A281B">
        <w:rPr>
          <w:rFonts w:ascii="Arial" w:hAnsi="Arial" w:cs="Arial"/>
        </w:rPr>
        <w:t>2.</w:t>
      </w:r>
      <w:r w:rsidRPr="000A281B">
        <w:rPr>
          <w:rFonts w:ascii="Arial" w:hAnsi="Arial" w:cs="Arial"/>
        </w:rPr>
        <w:tab/>
        <w:t>Synthesize and analyze disparate material;</w:t>
      </w:r>
    </w:p>
    <w:p w:rsidR="000A281B" w:rsidRPr="000A281B" w:rsidRDefault="000A281B" w:rsidP="000A281B">
      <w:pPr>
        <w:spacing w:after="120" w:line="240" w:lineRule="auto"/>
        <w:ind w:left="1440" w:right="260" w:hanging="873"/>
        <w:jc w:val="both"/>
        <w:rPr>
          <w:rFonts w:ascii="Arial" w:hAnsi="Arial" w:cs="Arial"/>
        </w:rPr>
      </w:pPr>
      <w:r w:rsidRPr="000A281B">
        <w:rPr>
          <w:rFonts w:ascii="Arial" w:hAnsi="Arial" w:cs="Arial"/>
        </w:rPr>
        <w:lastRenderedPageBreak/>
        <w:t>3.</w:t>
      </w:r>
      <w:r w:rsidRPr="000A281B">
        <w:rPr>
          <w:rFonts w:ascii="Arial" w:hAnsi="Arial" w:cs="Arial"/>
        </w:rPr>
        <w:tab/>
        <w:t xml:space="preserve">Apply theoretical concepts to case studies; </w:t>
      </w:r>
    </w:p>
    <w:p w:rsidR="000A281B" w:rsidRPr="000A281B" w:rsidRDefault="000A281B" w:rsidP="000A281B">
      <w:pPr>
        <w:spacing w:after="120" w:line="240" w:lineRule="auto"/>
        <w:ind w:left="1440" w:right="260" w:hanging="873"/>
        <w:jc w:val="both"/>
        <w:rPr>
          <w:rFonts w:ascii="Arial" w:hAnsi="Arial" w:cs="Arial"/>
        </w:rPr>
      </w:pPr>
      <w:r w:rsidRPr="000A281B">
        <w:rPr>
          <w:rFonts w:ascii="Arial" w:hAnsi="Arial" w:cs="Arial"/>
        </w:rPr>
        <w:t>4.</w:t>
      </w:r>
      <w:r w:rsidRPr="000A281B">
        <w:rPr>
          <w:rFonts w:ascii="Arial" w:hAnsi="Arial" w:cs="Arial"/>
        </w:rPr>
        <w:tab/>
        <w:t>Analyze case studies in an interdisciplinary manner, applying appropriate theoretical concepts</w:t>
      </w:r>
    </w:p>
    <w:p w:rsidR="000A281B" w:rsidRPr="000A281B" w:rsidRDefault="000A281B" w:rsidP="000A281B">
      <w:pPr>
        <w:spacing w:after="120" w:line="240" w:lineRule="auto"/>
        <w:ind w:left="1440" w:right="260" w:hanging="873"/>
        <w:jc w:val="both"/>
        <w:rPr>
          <w:rFonts w:ascii="Arial" w:hAnsi="Arial" w:cs="Arial"/>
        </w:rPr>
      </w:pPr>
      <w:r w:rsidRPr="000A281B">
        <w:rPr>
          <w:rFonts w:ascii="Arial" w:hAnsi="Arial" w:cs="Arial"/>
        </w:rPr>
        <w:t>5.</w:t>
      </w:r>
      <w:r w:rsidRPr="000A281B">
        <w:rPr>
          <w:rFonts w:ascii="Arial" w:hAnsi="Arial" w:cs="Arial"/>
        </w:rPr>
        <w:tab/>
        <w:t xml:space="preserve">Think clearly about reading material and discussion and to express reasoned arguments verbally in a seminar setting; </w:t>
      </w:r>
    </w:p>
    <w:p w:rsidR="000A281B" w:rsidRPr="000A281B" w:rsidRDefault="000A281B" w:rsidP="000A281B">
      <w:pPr>
        <w:spacing w:after="120" w:line="240" w:lineRule="auto"/>
        <w:ind w:left="1440" w:right="260" w:hanging="873"/>
        <w:jc w:val="both"/>
        <w:rPr>
          <w:rFonts w:ascii="Arial" w:hAnsi="Arial" w:cs="Arial"/>
        </w:rPr>
      </w:pPr>
      <w:r w:rsidRPr="000A281B">
        <w:rPr>
          <w:rFonts w:ascii="Arial" w:hAnsi="Arial" w:cs="Arial"/>
        </w:rPr>
        <w:t>6.</w:t>
      </w:r>
      <w:r w:rsidRPr="000A281B">
        <w:rPr>
          <w:rFonts w:ascii="Arial" w:hAnsi="Arial" w:cs="Arial"/>
        </w:rPr>
        <w:tab/>
        <w:t>Develop logical arguments based upon sound reasoning and understanding of the material and express these arguments in a written format.</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0A281B" w:rsidRPr="000A281B" w:rsidRDefault="000A281B" w:rsidP="000A281B">
      <w:pPr>
        <w:spacing w:after="120" w:line="240" w:lineRule="auto"/>
        <w:ind w:left="567" w:right="260"/>
        <w:jc w:val="both"/>
        <w:rPr>
          <w:rFonts w:ascii="Arial" w:hAnsi="Arial" w:cs="Arial"/>
          <w:iCs/>
        </w:rPr>
      </w:pPr>
      <w:r w:rsidRPr="000A281B">
        <w:rPr>
          <w:rFonts w:ascii="Arial" w:hAnsi="Arial" w:cs="Arial"/>
          <w:iCs/>
        </w:rPr>
        <w:t xml:space="preserve">The module will broadly discuss the impact of the experience of forced migration upon the individuals and communities involved, both in sending, receiving and transit countries. In this module, we understand forced migration to be a broad concept which includes conflict- and climate-event-generated refugees, asylum-seekers, internally displaced persons (IDPs), victims of trafficking, irregular migrants, unaccompanied minors, as well as political refugees, and others still.  Migration is understood to include both South-North and South-South migration. </w:t>
      </w:r>
    </w:p>
    <w:p w:rsidR="00C57028" w:rsidRPr="00302082" w:rsidRDefault="000A281B" w:rsidP="000A281B">
      <w:pPr>
        <w:spacing w:after="120" w:line="240" w:lineRule="auto"/>
        <w:ind w:left="567" w:right="260"/>
        <w:jc w:val="both"/>
        <w:rPr>
          <w:rFonts w:ascii="Arial" w:hAnsi="Arial" w:cs="Arial"/>
          <w:i/>
          <w:iCs/>
        </w:rPr>
      </w:pPr>
      <w:r w:rsidRPr="000A281B">
        <w:rPr>
          <w:rFonts w:ascii="Arial" w:hAnsi="Arial" w:cs="Arial"/>
          <w:iCs/>
        </w:rPr>
        <w:t>The module will be framed by the concept of human security, as well as theoretical and conceptual approaches to the overall well-being of forced migrants. Well-being so stated includes not only the granting of refugee status – often mistakenly seen as the end of the experience of forced migration – but broader social integration, inclusion and sense of belonging, as well as health and mental health. The concept of borders and border control, including the securitisation of borders and more conceptual borders, such as that between citizen and non-citizen, child and adult, forced and voluntary returnee, will be explored. These overarching concepts will then be maintained throughout the term via a discussion of topics such as human security, health and mental well-being and a variety of forced migrants including, but not restricted to asylum-seekers and refugees.</w:t>
      </w:r>
      <w:r w:rsidR="00C57028">
        <w:rPr>
          <w:rFonts w:ascii="Arial" w:hAnsi="Arial" w:cs="Arial"/>
          <w:i/>
          <w:iCs/>
        </w:rPr>
        <w:t xml:space="preserve"> </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Andersson, R. (2016). “Europe’s failed fight against irregular migration: ethnographic notes on a counterproductive industry” Journal of Ethnic and Migration Studies, http://dx.doi.org/10.1080/1369183X.2016.1139446</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Betts, A. (2010).“Survival Migration: a New Protection Framework”, Global Governance, 16(3), 361-82.</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Department of Heath (2000) Framework for the Assessment of Children in Need and their Families, London, The Stationary Office</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Carens, J. (2014) An overview of the ethics of immigration, Critical Review of International Social and Political Philosophy, 17(5), 538-559</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Castles, S (2003) ‘Towards a Sociology of Forced Migration and Social Transformation’. Sociology. Vol 37(1): 13-34. BSA Publications Ltd.</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Lutz, L. (2010): Gender in the Migratory Process, Journal of Ethnic and Migration Studies, 36(10), 1647-1663</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Majumder, P. et al. (2015). 'This doctor, I not trust him, I'm not safe': The perceptions of mental health and services by unaccompanied refugee adolescents.’ International Journal of Psychiatry, 61(2), 129-136</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t>Methmann, C and A. Oels. (2015) “From ‘fearing’ to ‘empowering’ climate refugees: Governing climate-induced migration in the name of resilience”, Security Dialogue 46(1), 51-68.</w:t>
      </w:r>
    </w:p>
    <w:p w:rsidR="009F1503" w:rsidRPr="009F1503" w:rsidRDefault="009F1503" w:rsidP="009F1503">
      <w:pPr>
        <w:spacing w:after="120" w:line="240" w:lineRule="auto"/>
        <w:ind w:left="567" w:right="260"/>
        <w:jc w:val="both"/>
        <w:rPr>
          <w:rFonts w:ascii="Arial" w:hAnsi="Arial" w:cs="Arial"/>
        </w:rPr>
      </w:pPr>
      <w:r w:rsidRPr="009F1503">
        <w:rPr>
          <w:rFonts w:ascii="Arial" w:hAnsi="Arial" w:cs="Arial"/>
        </w:rPr>
        <w:lastRenderedPageBreak/>
        <w:t>O’Connell Davidson, J (2011).”Moving Children? Child trafficking, child migration and child rights” Critical Social Policy 31: 454 DOI: 10.1177/0261018311405014</w:t>
      </w:r>
    </w:p>
    <w:p w:rsidR="009A2D37" w:rsidRPr="009F1503" w:rsidRDefault="009F1503" w:rsidP="009F1503">
      <w:pPr>
        <w:spacing w:after="120" w:line="240" w:lineRule="auto"/>
        <w:ind w:left="567" w:right="260"/>
        <w:jc w:val="both"/>
        <w:rPr>
          <w:rFonts w:ascii="Arial" w:hAnsi="Arial" w:cs="Arial"/>
        </w:rPr>
      </w:pPr>
      <w:r w:rsidRPr="009F1503">
        <w:rPr>
          <w:rFonts w:ascii="Arial" w:hAnsi="Arial" w:cs="Arial"/>
        </w:rPr>
        <w:t>Paris, R. (2001). “Human Security: Paradigm Shift or Hot Air?” International Security 26(2), 87-102.</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425776" w:rsidRDefault="00C57028" w:rsidP="00696FF5">
      <w:pPr>
        <w:spacing w:after="120" w:line="240" w:lineRule="auto"/>
        <w:ind w:left="567" w:right="260"/>
        <w:jc w:val="both"/>
        <w:rPr>
          <w:rFonts w:ascii="Arial" w:hAnsi="Arial" w:cs="Arial"/>
          <w:iCs/>
        </w:rPr>
      </w:pPr>
      <w:r w:rsidRPr="00425776">
        <w:rPr>
          <w:rFonts w:ascii="Arial" w:hAnsi="Arial" w:cs="Arial"/>
          <w:iCs/>
        </w:rPr>
        <w:t>Total contact hours:</w:t>
      </w:r>
      <w:r w:rsidR="009F1503" w:rsidRPr="00425776">
        <w:rPr>
          <w:rFonts w:ascii="Arial" w:hAnsi="Arial" w:cs="Arial"/>
          <w:iCs/>
        </w:rPr>
        <w:t xml:space="preserve"> 24</w:t>
      </w:r>
    </w:p>
    <w:p w:rsidR="00C57028" w:rsidRPr="00425776" w:rsidRDefault="00C57028" w:rsidP="00C57028">
      <w:pPr>
        <w:spacing w:after="120" w:line="240" w:lineRule="auto"/>
        <w:ind w:left="567" w:right="260"/>
        <w:jc w:val="both"/>
        <w:rPr>
          <w:rFonts w:ascii="Arial" w:hAnsi="Arial" w:cs="Arial"/>
          <w:iCs/>
        </w:rPr>
      </w:pPr>
      <w:r w:rsidRPr="00425776">
        <w:rPr>
          <w:rFonts w:ascii="Arial" w:hAnsi="Arial" w:cs="Arial"/>
          <w:iCs/>
        </w:rPr>
        <w:t>Private study hours:</w:t>
      </w:r>
      <w:r w:rsidR="009F1503" w:rsidRPr="00425776">
        <w:rPr>
          <w:rFonts w:ascii="Arial" w:hAnsi="Arial" w:cs="Arial"/>
          <w:iCs/>
        </w:rPr>
        <w:t xml:space="preserve"> 176</w:t>
      </w:r>
    </w:p>
    <w:p w:rsidR="00C57028" w:rsidRPr="00425776" w:rsidRDefault="00C57028" w:rsidP="00C57028">
      <w:pPr>
        <w:spacing w:after="120" w:line="240" w:lineRule="auto"/>
        <w:ind w:left="567" w:right="260"/>
        <w:jc w:val="both"/>
        <w:rPr>
          <w:rFonts w:ascii="Arial" w:hAnsi="Arial" w:cs="Arial"/>
          <w:iCs/>
        </w:rPr>
      </w:pPr>
      <w:r w:rsidRPr="00425776">
        <w:rPr>
          <w:rFonts w:ascii="Arial" w:hAnsi="Arial" w:cs="Arial"/>
          <w:iCs/>
        </w:rPr>
        <w:t>Total study hours:</w:t>
      </w:r>
      <w:r w:rsidR="009F1503" w:rsidRPr="00425776">
        <w:rPr>
          <w:rFonts w:ascii="Arial" w:hAnsi="Arial" w:cs="Arial"/>
          <w:iCs/>
        </w:rPr>
        <w:t xml:space="preserve"> 200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18393A" w:rsidRDefault="0018393A" w:rsidP="00696FF5">
      <w:pPr>
        <w:spacing w:after="120" w:line="240" w:lineRule="auto"/>
        <w:ind w:left="567" w:right="260"/>
        <w:jc w:val="both"/>
        <w:rPr>
          <w:rFonts w:ascii="Arial" w:hAnsi="Arial" w:cs="Arial"/>
          <w:b/>
          <w:iCs/>
        </w:rPr>
      </w:pPr>
      <w:r>
        <w:rPr>
          <w:rFonts w:ascii="Arial" w:hAnsi="Arial" w:cs="Arial"/>
          <w:iCs/>
        </w:rPr>
        <w:t>Essay</w:t>
      </w:r>
      <w:r>
        <w:rPr>
          <w:rFonts w:ascii="Arial" w:hAnsi="Arial" w:cs="Arial"/>
          <w:iCs/>
        </w:rPr>
        <w:tab/>
        <w:t>5000 words</w:t>
      </w:r>
      <w:r>
        <w:rPr>
          <w:rFonts w:ascii="Arial" w:hAnsi="Arial" w:cs="Arial"/>
          <w:iCs/>
        </w:rPr>
        <w:tab/>
        <w:t>100%</w:t>
      </w:r>
      <w:r w:rsidR="00C57028" w:rsidRPr="0018393A">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425776" w:rsidRDefault="00425776" w:rsidP="00C57028">
      <w:pPr>
        <w:spacing w:after="120" w:line="240" w:lineRule="auto"/>
        <w:ind w:left="567" w:right="260"/>
        <w:jc w:val="both"/>
        <w:rPr>
          <w:rFonts w:ascii="Arial" w:hAnsi="Arial" w:cs="Arial"/>
          <w:b/>
          <w:iCs/>
        </w:rPr>
      </w:pPr>
      <w:r w:rsidRPr="00425776">
        <w:rPr>
          <w:rFonts w:ascii="Arial" w:hAnsi="Arial" w:cs="Arial"/>
          <w:iCs/>
        </w:rPr>
        <w:t>Reassessment Instrument: 100% coursework</w:t>
      </w:r>
      <w:r w:rsidR="00C57028" w:rsidRPr="00425776">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425776" w:rsidRPr="001E01CF" w:rsidTr="00425776">
        <w:tc>
          <w:tcPr>
            <w:tcW w:w="1730" w:type="dxa"/>
            <w:shd w:val="clear" w:color="auto" w:fill="D9D9D9" w:themeFill="background1" w:themeFillShade="D9"/>
          </w:tcPr>
          <w:p w:rsidR="00425776" w:rsidRPr="001E01CF" w:rsidRDefault="00425776" w:rsidP="00313C17">
            <w:pPr>
              <w:spacing w:line="276" w:lineRule="auto"/>
              <w:ind w:left="33"/>
              <w:rPr>
                <w:rFonts w:ascii="Arial" w:hAnsi="Arial" w:cs="Arial"/>
                <w:b/>
              </w:rPr>
            </w:pPr>
            <w:r w:rsidRPr="001E01CF">
              <w:rPr>
                <w:rFonts w:ascii="Arial" w:hAnsi="Arial" w:cs="Arial"/>
                <w:b/>
              </w:rPr>
              <w:t>Module learning outcome</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8.1</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8.2</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8.3</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8.4</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8.5</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9.1</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9.2</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9.3</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9.4</w:t>
            </w:r>
          </w:p>
        </w:tc>
        <w:tc>
          <w:tcPr>
            <w:tcW w:w="567" w:type="dxa"/>
          </w:tcPr>
          <w:p w:rsidR="00425776" w:rsidRPr="001E01CF" w:rsidRDefault="00425776" w:rsidP="00313C17">
            <w:pPr>
              <w:spacing w:line="276" w:lineRule="auto"/>
              <w:rPr>
                <w:rFonts w:ascii="Arial" w:hAnsi="Arial" w:cs="Arial"/>
                <w:i/>
              </w:rPr>
            </w:pPr>
            <w:r w:rsidRPr="001E01CF">
              <w:rPr>
                <w:rFonts w:ascii="Arial" w:hAnsi="Arial" w:cs="Arial"/>
                <w:i/>
              </w:rPr>
              <w:t>9.5</w:t>
            </w:r>
          </w:p>
        </w:tc>
        <w:tc>
          <w:tcPr>
            <w:tcW w:w="709" w:type="dxa"/>
          </w:tcPr>
          <w:p w:rsidR="00425776" w:rsidRPr="001E01CF" w:rsidRDefault="00425776" w:rsidP="00313C17">
            <w:pPr>
              <w:spacing w:line="276" w:lineRule="auto"/>
              <w:rPr>
                <w:rFonts w:ascii="Arial" w:hAnsi="Arial" w:cs="Arial"/>
                <w:i/>
              </w:rPr>
            </w:pPr>
            <w:r w:rsidRPr="001E01CF">
              <w:rPr>
                <w:rFonts w:ascii="Arial" w:hAnsi="Arial" w:cs="Arial"/>
                <w:i/>
              </w:rPr>
              <w:t>9.6</w:t>
            </w:r>
          </w:p>
        </w:tc>
      </w:tr>
      <w:tr w:rsidR="00425776" w:rsidRPr="001E01CF" w:rsidTr="00425776">
        <w:tc>
          <w:tcPr>
            <w:tcW w:w="1730" w:type="dxa"/>
            <w:shd w:val="clear" w:color="auto" w:fill="D9D9D9" w:themeFill="background1" w:themeFillShade="D9"/>
          </w:tcPr>
          <w:p w:rsidR="00425776" w:rsidRPr="001E01CF" w:rsidRDefault="00425776" w:rsidP="00313C17">
            <w:pPr>
              <w:spacing w:line="276" w:lineRule="auto"/>
              <w:rPr>
                <w:rFonts w:ascii="Arial" w:hAnsi="Arial" w:cs="Arial"/>
                <w:b/>
              </w:rPr>
            </w:pPr>
            <w:r w:rsidRPr="001E01CF">
              <w:rPr>
                <w:rFonts w:ascii="Arial" w:hAnsi="Arial" w:cs="Arial"/>
                <w:b/>
              </w:rPr>
              <w:t>Learning/ teaching method</w:t>
            </w: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709" w:type="dxa"/>
          </w:tcPr>
          <w:p w:rsidR="00425776" w:rsidRPr="001E01CF" w:rsidRDefault="00425776" w:rsidP="00313C17">
            <w:pPr>
              <w:spacing w:line="276" w:lineRule="auto"/>
              <w:rPr>
                <w:rFonts w:ascii="Arial" w:hAnsi="Arial" w:cs="Arial"/>
                <w:b/>
              </w:rPr>
            </w:pPr>
          </w:p>
        </w:tc>
      </w:tr>
      <w:tr w:rsidR="00425776" w:rsidRPr="001E01CF" w:rsidTr="00425776">
        <w:tc>
          <w:tcPr>
            <w:tcW w:w="1730" w:type="dxa"/>
          </w:tcPr>
          <w:p w:rsidR="00425776" w:rsidRPr="001E01CF" w:rsidRDefault="00425776" w:rsidP="00313C17">
            <w:pPr>
              <w:spacing w:line="276" w:lineRule="auto"/>
              <w:rPr>
                <w:rFonts w:ascii="Arial" w:hAnsi="Arial" w:cs="Arial"/>
                <w:b/>
              </w:rPr>
            </w:pPr>
            <w:r w:rsidRPr="001E01CF">
              <w:rPr>
                <w:rFonts w:ascii="Arial" w:hAnsi="Arial" w:cs="Arial"/>
                <w:b/>
              </w:rPr>
              <w:t>Lecture</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709" w:type="dxa"/>
          </w:tcPr>
          <w:p w:rsidR="00425776" w:rsidRPr="001E01CF" w:rsidRDefault="00425776" w:rsidP="00313C17">
            <w:pPr>
              <w:spacing w:line="276" w:lineRule="auto"/>
              <w:rPr>
                <w:rFonts w:ascii="Arial" w:hAnsi="Arial" w:cs="Arial"/>
                <w:b/>
              </w:rPr>
            </w:pPr>
          </w:p>
        </w:tc>
      </w:tr>
      <w:tr w:rsidR="00425776" w:rsidRPr="001E01CF" w:rsidTr="00425776">
        <w:tc>
          <w:tcPr>
            <w:tcW w:w="1730" w:type="dxa"/>
          </w:tcPr>
          <w:p w:rsidR="00425776" w:rsidRPr="001E01CF" w:rsidRDefault="00425776" w:rsidP="00313C17">
            <w:pPr>
              <w:spacing w:line="276" w:lineRule="auto"/>
              <w:rPr>
                <w:rFonts w:ascii="Arial" w:hAnsi="Arial" w:cs="Arial"/>
                <w:b/>
              </w:rPr>
            </w:pPr>
            <w:r w:rsidRPr="001E01CF">
              <w:rPr>
                <w:rFonts w:ascii="Arial" w:hAnsi="Arial" w:cs="Arial"/>
                <w:b/>
              </w:rPr>
              <w:t>Seminar</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709" w:type="dxa"/>
          </w:tcPr>
          <w:p w:rsidR="00425776" w:rsidRPr="001E01CF" w:rsidRDefault="00425776" w:rsidP="00313C17">
            <w:pPr>
              <w:spacing w:line="276" w:lineRule="auto"/>
              <w:rPr>
                <w:rFonts w:ascii="Arial" w:hAnsi="Arial" w:cs="Arial"/>
                <w:b/>
              </w:rPr>
            </w:pPr>
          </w:p>
        </w:tc>
      </w:tr>
      <w:tr w:rsidR="00425776" w:rsidRPr="001E01CF" w:rsidTr="00425776">
        <w:tc>
          <w:tcPr>
            <w:tcW w:w="1730"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709" w:type="dxa"/>
          </w:tcPr>
          <w:p w:rsidR="00425776" w:rsidRPr="001E01CF" w:rsidRDefault="00425776" w:rsidP="00313C17">
            <w:pPr>
              <w:spacing w:line="276" w:lineRule="auto"/>
              <w:rPr>
                <w:rFonts w:ascii="Arial" w:hAnsi="Arial" w:cs="Arial"/>
                <w:b/>
              </w:rPr>
            </w:pPr>
          </w:p>
        </w:tc>
      </w:tr>
      <w:tr w:rsidR="00425776" w:rsidRPr="001E01CF" w:rsidTr="00425776">
        <w:tc>
          <w:tcPr>
            <w:tcW w:w="1730" w:type="dxa"/>
          </w:tcPr>
          <w:p w:rsidR="00425776" w:rsidRPr="001E01CF" w:rsidRDefault="00425776" w:rsidP="00313C17">
            <w:pPr>
              <w:spacing w:line="276" w:lineRule="auto"/>
              <w:rPr>
                <w:rFonts w:ascii="Arial" w:hAnsi="Arial" w:cs="Arial"/>
                <w:i/>
              </w:rPr>
            </w:pPr>
            <w:r w:rsidRPr="001E01CF">
              <w:rPr>
                <w:rFonts w:ascii="Arial" w:hAnsi="Arial" w:cs="Arial"/>
                <w:b/>
              </w:rPr>
              <w:t>Private Study</w:t>
            </w:r>
            <w:r w:rsidRPr="001E01CF">
              <w:rPr>
                <w:rFonts w:ascii="Arial" w:hAnsi="Arial" w:cs="Arial"/>
                <w:i/>
              </w:rPr>
              <w:t xml:space="preserve"> </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709" w:type="dxa"/>
          </w:tcPr>
          <w:p w:rsidR="00425776" w:rsidRPr="001E01CF" w:rsidRDefault="00425776" w:rsidP="00313C17">
            <w:pPr>
              <w:spacing w:line="276" w:lineRule="auto"/>
              <w:rPr>
                <w:rFonts w:ascii="Arial" w:hAnsi="Arial" w:cs="Arial"/>
                <w:b/>
              </w:rPr>
            </w:pPr>
          </w:p>
        </w:tc>
      </w:tr>
      <w:tr w:rsidR="00425776" w:rsidRPr="001E01CF" w:rsidTr="00425776">
        <w:tc>
          <w:tcPr>
            <w:tcW w:w="1730" w:type="dxa"/>
            <w:shd w:val="clear" w:color="auto" w:fill="D9D9D9" w:themeFill="background1" w:themeFillShade="D9"/>
          </w:tcPr>
          <w:p w:rsidR="00425776" w:rsidRPr="001E01CF" w:rsidRDefault="00425776" w:rsidP="00313C17">
            <w:pPr>
              <w:spacing w:line="276" w:lineRule="auto"/>
              <w:rPr>
                <w:rFonts w:ascii="Arial" w:hAnsi="Arial" w:cs="Arial"/>
                <w:b/>
              </w:rPr>
            </w:pPr>
            <w:r w:rsidRPr="001E01CF">
              <w:rPr>
                <w:rFonts w:ascii="Arial" w:hAnsi="Arial" w:cs="Arial"/>
                <w:b/>
              </w:rPr>
              <w:t>Assessment method</w:t>
            </w: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567" w:type="dxa"/>
          </w:tcPr>
          <w:p w:rsidR="00425776" w:rsidRPr="001E01CF" w:rsidRDefault="00425776" w:rsidP="00313C17">
            <w:pPr>
              <w:spacing w:line="276" w:lineRule="auto"/>
              <w:rPr>
                <w:rFonts w:ascii="Arial" w:hAnsi="Arial" w:cs="Arial"/>
                <w:b/>
              </w:rPr>
            </w:pPr>
          </w:p>
        </w:tc>
        <w:tc>
          <w:tcPr>
            <w:tcW w:w="709" w:type="dxa"/>
          </w:tcPr>
          <w:p w:rsidR="00425776" w:rsidRPr="001E01CF" w:rsidRDefault="00425776" w:rsidP="00313C17">
            <w:pPr>
              <w:spacing w:line="276" w:lineRule="auto"/>
              <w:rPr>
                <w:rFonts w:ascii="Arial" w:hAnsi="Arial" w:cs="Arial"/>
                <w:b/>
              </w:rPr>
            </w:pPr>
          </w:p>
        </w:tc>
      </w:tr>
      <w:tr w:rsidR="00425776" w:rsidRPr="001E01CF" w:rsidTr="00425776">
        <w:tc>
          <w:tcPr>
            <w:tcW w:w="1730" w:type="dxa"/>
          </w:tcPr>
          <w:p w:rsidR="00425776" w:rsidRPr="001E01CF" w:rsidRDefault="00425776" w:rsidP="00313C17">
            <w:pPr>
              <w:spacing w:line="276" w:lineRule="auto"/>
              <w:rPr>
                <w:rFonts w:ascii="Arial" w:hAnsi="Arial" w:cs="Arial"/>
                <w:i/>
              </w:rPr>
            </w:pPr>
            <w:r w:rsidRPr="001E01CF">
              <w:rPr>
                <w:rFonts w:ascii="Arial" w:hAnsi="Arial" w:cs="Arial"/>
                <w:i/>
              </w:rPr>
              <w:t xml:space="preserve">5000 word essay </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r w:rsidRPr="001E01CF">
              <w:rPr>
                <w:rFonts w:ascii="Arial" w:hAnsi="Arial" w:cs="Arial"/>
                <w:b/>
              </w:rPr>
              <w:t>x</w:t>
            </w:r>
          </w:p>
        </w:tc>
        <w:tc>
          <w:tcPr>
            <w:tcW w:w="567" w:type="dxa"/>
          </w:tcPr>
          <w:p w:rsidR="00425776" w:rsidRPr="001E01CF" w:rsidRDefault="00425776" w:rsidP="00313C17">
            <w:pPr>
              <w:spacing w:line="276" w:lineRule="auto"/>
              <w:rPr>
                <w:rFonts w:ascii="Arial" w:hAnsi="Arial" w:cs="Arial"/>
                <w:b/>
              </w:rPr>
            </w:pPr>
          </w:p>
        </w:tc>
        <w:tc>
          <w:tcPr>
            <w:tcW w:w="709" w:type="dxa"/>
          </w:tcPr>
          <w:p w:rsidR="00425776" w:rsidRPr="001E01CF" w:rsidRDefault="00425776" w:rsidP="00313C17">
            <w:pPr>
              <w:spacing w:line="276" w:lineRule="auto"/>
              <w:rPr>
                <w:rFonts w:ascii="Arial" w:hAnsi="Arial" w:cs="Arial"/>
                <w:b/>
              </w:rPr>
            </w:pPr>
            <w:r w:rsidRPr="001E01CF">
              <w:rPr>
                <w:rFonts w:ascii="Arial" w:hAnsi="Arial" w:cs="Arial"/>
                <w:b/>
              </w:rPr>
              <w:t>x</w:t>
            </w:r>
          </w:p>
        </w:tc>
      </w:tr>
    </w:tbl>
    <w:p w:rsidR="00425776" w:rsidRDefault="00425776"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1895">
        <w:rPr>
          <w:rFonts w:ascii="Arial" w:hAnsi="Arial" w:cs="Arial"/>
        </w:rPr>
        <w:t xml:space="preserve">The </w:t>
      </w:r>
      <w:r w:rsidR="00351895" w:rsidRPr="00351895">
        <w:rPr>
          <w:rFonts w:ascii="Arial" w:hAnsi="Arial" w:cs="Arial"/>
        </w:rPr>
        <w:t>School</w:t>
      </w:r>
      <w:r w:rsidRPr="0035189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rsidR="009A2D37" w:rsidRPr="00351895" w:rsidRDefault="00351895" w:rsidP="00696FF5">
      <w:pPr>
        <w:spacing w:after="120" w:line="240" w:lineRule="auto"/>
        <w:ind w:left="567" w:right="260"/>
        <w:jc w:val="both"/>
        <w:rPr>
          <w:rFonts w:ascii="Arial" w:hAnsi="Arial" w:cs="Arial"/>
          <w:b/>
        </w:rPr>
      </w:pPr>
      <w:r w:rsidRPr="00351895">
        <w:rPr>
          <w:rFonts w:ascii="Arial" w:hAnsi="Arial" w:cs="Arial"/>
        </w:rPr>
        <w:t>Brussels and Canterbury</w:t>
      </w:r>
      <w:r w:rsidR="009A2D37" w:rsidRPr="00351895">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Default="00351895" w:rsidP="00351895">
      <w:pPr>
        <w:autoSpaceDE w:val="0"/>
        <w:autoSpaceDN w:val="0"/>
        <w:adjustRightInd w:val="0"/>
        <w:spacing w:after="120" w:line="240" w:lineRule="auto"/>
        <w:ind w:left="567" w:right="261"/>
        <w:jc w:val="both"/>
        <w:rPr>
          <w:rFonts w:ascii="Arial" w:hAnsi="Arial" w:cs="Arial"/>
          <w:i/>
          <w:iCs/>
        </w:rPr>
      </w:pPr>
      <w:r w:rsidRPr="00351895">
        <w:rPr>
          <w:rFonts w:ascii="Arial" w:hAnsi="Arial" w:cs="Arial"/>
        </w:rPr>
        <w:t>This module is inherently internationally focussed, examining the nature of forced migration; exploring the nature of borders, border control and the securitisation of borders. The module will draw on expertise within the School of Politics and International Relations, which is international in its academic staff. Furthermore, the School typically attracts an international student body at the Masters level, and staff are experienced in teaching and supporting international students.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71" w:rsidRDefault="00682471" w:rsidP="009A2D37">
      <w:pPr>
        <w:spacing w:after="0" w:line="240" w:lineRule="auto"/>
      </w:pPr>
      <w:r>
        <w:separator/>
      </w:r>
    </w:p>
  </w:endnote>
  <w:endnote w:type="continuationSeparator" w:id="0">
    <w:p w:rsidR="00682471" w:rsidRDefault="00682471" w:rsidP="009A2D37">
      <w:pPr>
        <w:spacing w:after="0" w:line="240" w:lineRule="auto"/>
      </w:pPr>
      <w:r>
        <w:continuationSeparator/>
      </w:r>
    </w:p>
  </w:endnote>
  <w:endnote w:type="continuationNotice" w:id="1">
    <w:p w:rsidR="00682471" w:rsidRDefault="00682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50A4">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71" w:rsidRDefault="00682471" w:rsidP="009A2D37">
      <w:pPr>
        <w:spacing w:after="0" w:line="240" w:lineRule="auto"/>
      </w:pPr>
      <w:r>
        <w:separator/>
      </w:r>
    </w:p>
  </w:footnote>
  <w:footnote w:type="continuationSeparator" w:id="0">
    <w:p w:rsidR="00682471" w:rsidRDefault="00682471" w:rsidP="009A2D37">
      <w:pPr>
        <w:spacing w:after="0" w:line="240" w:lineRule="auto"/>
      </w:pPr>
      <w:r>
        <w:continuationSeparator/>
      </w:r>
    </w:p>
  </w:footnote>
  <w:footnote w:type="continuationNotice" w:id="1">
    <w:p w:rsidR="00682471" w:rsidRDefault="006824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7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0A4"/>
    <w:rsid w:val="000678D3"/>
    <w:rsid w:val="00093C95"/>
    <w:rsid w:val="00094810"/>
    <w:rsid w:val="00096DA4"/>
    <w:rsid w:val="000A281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93A"/>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F55"/>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89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776"/>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47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097"/>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3D91"/>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60F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503"/>
    <w:rsid w:val="009F3A2A"/>
    <w:rsid w:val="009F731F"/>
    <w:rsid w:val="009F7D33"/>
    <w:rsid w:val="00A021FE"/>
    <w:rsid w:val="00A023EC"/>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516F"/>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7FDE"/>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11B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D404CB-69B0-4B87-8D51-6007266B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5B22-88B9-4EC0-87AB-D2C97872C06C}"/>
</file>

<file path=customXml/itemProps2.xml><?xml version="1.0" encoding="utf-8"?>
<ds:datastoreItem xmlns:ds="http://schemas.openxmlformats.org/officeDocument/2006/customXml" ds:itemID="{1DDB82F3-48B4-4EE1-8298-0D5A51BD655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83BAC169-C93C-4E46-95B1-2D7076E22CE1}">
  <ds:schemaRefs>
    <ds:schemaRef ds:uri="http://schemas.microsoft.com/sharepoint/v3/contenttype/forms"/>
  </ds:schemaRefs>
</ds:datastoreItem>
</file>

<file path=customXml/itemProps4.xml><?xml version="1.0" encoding="utf-8"?>
<ds:datastoreItem xmlns:ds="http://schemas.openxmlformats.org/officeDocument/2006/customXml" ds:itemID="{644230B1-6D3C-45BC-BF1E-4F52F575B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B6A76-7CDF-4567-8BD9-A96C13DB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19</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Daiva Nacyte</cp:lastModifiedBy>
  <cp:revision>15</cp:revision>
  <cp:lastPrinted>2015-09-09T08:37:00Z</cp:lastPrinted>
  <dcterms:created xsi:type="dcterms:W3CDTF">2018-03-14T11:50:00Z</dcterms:created>
  <dcterms:modified xsi:type="dcterms:W3CDTF">2018-09-27T10:11:00Z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63904c4a-0c56-4c49-939e-850ba3a23107</vt:lpwstr>
  </property>
  <property fmtid="{D5CDD505-2E9C-101B-9397-08002B2CF9AE}" pid="4" name="Order">
    <vt:r8>23200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