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C" w:rsidRDefault="006520FC">
      <w:pPr>
        <w:spacing w:after="120" w:line="240" w:lineRule="auto"/>
        <w:ind w:left="502" w:right="2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Title of the module</w:t>
      </w:r>
    </w:p>
    <w:p w:rsidR="00A14D45" w:rsidRDefault="002B3A00">
      <w:pPr>
        <w:spacing w:after="120" w:line="240" w:lineRule="auto"/>
        <w:ind w:left="567" w:right="260" w:hanging="567"/>
        <w:jc w:val="both"/>
      </w:pPr>
      <w:r>
        <w:rPr>
          <w:rFonts w:ascii="Arial" w:hAnsi="Arial" w:cs="Arial"/>
        </w:rPr>
        <w:tab/>
        <w:t>PHYS7520 (PH752) - Magnetism and Superconductivity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School or partner institution which will be responsible for management of the module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>School of Physical Sciences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The level of the module (Level 4, Level 5, Level 6 or Level 7)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  <w:iCs/>
        </w:rPr>
        <w:lastRenderedPageBreak/>
        <w:t xml:space="preserve">Level </w:t>
      </w:r>
      <w:proofErr w:type="gramStart"/>
      <w:r>
        <w:rPr>
          <w:rFonts w:ascii="Arial" w:hAnsi="Arial" w:cs="Arial"/>
          <w:iCs/>
        </w:rPr>
        <w:t>7</w:t>
      </w:r>
      <w:proofErr w:type="gramEnd"/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>15 (ECTS 7.5)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Which term(s) the module is to be taught in (or other teaching pattern)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 xml:space="preserve">Autumn and </w:t>
      </w:r>
      <w:proofErr w:type="gramStart"/>
      <w:r>
        <w:rPr>
          <w:rFonts w:ascii="Arial" w:hAnsi="Arial" w:cs="Arial"/>
          <w:iCs/>
        </w:rPr>
        <w:t>Spring</w:t>
      </w:r>
      <w:proofErr w:type="gramEnd"/>
      <w:r>
        <w:rPr>
          <w:rFonts w:ascii="Arial" w:hAnsi="Arial" w:cs="Arial"/>
          <w:iCs/>
        </w:rPr>
        <w:t>.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Prerequisite and co-requisite modules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>Prerequisite: PHYS6060 Solid State Physics.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The programmes of study to which the module contributes</w:t>
      </w:r>
    </w:p>
    <w:p w:rsidR="00A14D45" w:rsidRDefault="002B3A00">
      <w:pPr>
        <w:spacing w:after="120" w:line="240" w:lineRule="auto"/>
        <w:ind w:left="502" w:right="260"/>
        <w:jc w:val="both"/>
      </w:pP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 xml:space="preserve"> Physics/Physics with Astrophysics.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  <w:iCs/>
        </w:rPr>
        <w:t>MSc (</w:t>
      </w:r>
      <w:proofErr w:type="spellStart"/>
      <w:r>
        <w:rPr>
          <w:rFonts w:ascii="Arial" w:hAnsi="Arial" w:cs="Arial"/>
          <w:iCs/>
        </w:rPr>
        <w:t>Euromasters</w:t>
      </w:r>
      <w:proofErr w:type="spellEnd"/>
      <w:r>
        <w:rPr>
          <w:rFonts w:ascii="Arial" w:hAnsi="Arial" w:cs="Arial"/>
          <w:iCs/>
        </w:rPr>
        <w:t xml:space="preserve">) in Physics.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  <w:iCs/>
        </w:rPr>
        <w:t>This is not available as a wild module.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</w:rPr>
        <w:t>Have:</w:t>
      </w:r>
    </w:p>
    <w:p w:rsidR="00A14D45" w:rsidRDefault="002B3A00">
      <w:pPr>
        <w:numPr>
          <w:ilvl w:val="1"/>
          <w:numId w:val="3"/>
        </w:numPr>
        <w:spacing w:after="120" w:line="240" w:lineRule="auto"/>
      </w:pPr>
      <w:r>
        <w:rPr>
          <w:rFonts w:ascii="Arial" w:hAnsi="Arial" w:cs="Arial"/>
        </w:rPr>
        <w:t>An understanding of the underlying physics of magnets and superconductors.</w:t>
      </w:r>
      <w:r>
        <w:t xml:space="preserve"> </w:t>
      </w:r>
      <w:r>
        <w:rPr>
          <w:rFonts w:ascii="Arial" w:hAnsi="Arial" w:cs="Arial"/>
        </w:rPr>
        <w:t>(A2, A3, B7)</w:t>
      </w:r>
    </w:p>
    <w:p w:rsidR="00A14D45" w:rsidRDefault="002B3A00">
      <w:pPr>
        <w:numPr>
          <w:ilvl w:val="1"/>
          <w:numId w:val="3"/>
        </w:numPr>
        <w:spacing w:after="120" w:line="240" w:lineRule="auto"/>
      </w:pPr>
      <w:r>
        <w:rPr>
          <w:rFonts w:ascii="Arial" w:hAnsi="Arial" w:cs="Arial"/>
        </w:rPr>
        <w:t>An appreciation of the rich variety of physics dependent correlated electrons.</w:t>
      </w:r>
      <w:r>
        <w:t xml:space="preserve"> </w:t>
      </w:r>
      <w:r>
        <w:rPr>
          <w:rFonts w:ascii="Arial" w:hAnsi="Arial" w:cs="Arial"/>
        </w:rPr>
        <w:t>(A2, B7, C2)</w:t>
      </w:r>
    </w:p>
    <w:p w:rsidR="00A14D45" w:rsidRDefault="002B3A00">
      <w:pPr>
        <w:numPr>
          <w:ilvl w:val="1"/>
          <w:numId w:val="3"/>
        </w:numPr>
        <w:spacing w:after="120" w:line="240" w:lineRule="auto"/>
      </w:pPr>
      <w:r>
        <w:rPr>
          <w:rFonts w:ascii="Arial" w:hAnsi="Arial" w:cs="Arial"/>
        </w:rPr>
        <w:t>An ability to solve problems in the science of magnetism and superconductivity.</w:t>
      </w:r>
      <w:r>
        <w:t xml:space="preserve"> </w:t>
      </w:r>
      <w:r>
        <w:rPr>
          <w:rFonts w:ascii="Arial" w:hAnsi="Arial" w:cs="Arial"/>
        </w:rPr>
        <w:t>(B1, B2, B4, B6, B7, D1, D4)</w:t>
      </w:r>
    </w:p>
    <w:p w:rsidR="00A14D45" w:rsidRDefault="002B3A00">
      <w:pPr>
        <w:numPr>
          <w:ilvl w:val="1"/>
          <w:numId w:val="3"/>
        </w:numPr>
        <w:spacing w:after="120" w:line="240" w:lineRule="auto"/>
      </w:pPr>
      <w:r>
        <w:rPr>
          <w:rFonts w:ascii="Arial" w:hAnsi="Arial" w:cs="Arial"/>
        </w:rPr>
        <w:t>An appreciation of the role of magnets and superconductors in devices and industry.</w:t>
      </w:r>
      <w:r>
        <w:t xml:space="preserve"> </w:t>
      </w:r>
      <w:r>
        <w:rPr>
          <w:rFonts w:ascii="Arial" w:hAnsi="Arial" w:cs="Arial"/>
        </w:rPr>
        <w:t>(A2, B10)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</w:pPr>
      <w:r>
        <w:rPr>
          <w:rFonts w:ascii="Arial" w:hAnsi="Arial" w:cs="Arial"/>
          <w:b/>
        </w:rPr>
        <w:t>The intended 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</w:rPr>
        <w:tab/>
        <w:t xml:space="preserve">Have a knowledge and understanding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>:</w:t>
      </w:r>
    </w:p>
    <w:p w:rsidR="00A14D45" w:rsidRDefault="002B3A00">
      <w:pPr>
        <w:pStyle w:val="ListParagraph"/>
        <w:numPr>
          <w:ilvl w:val="0"/>
          <w:numId w:val="4"/>
        </w:numPr>
        <w:spacing w:after="120" w:line="240" w:lineRule="auto"/>
      </w:pPr>
      <w:r>
        <w:rPr>
          <w:rFonts w:ascii="Arial" w:hAnsi="Arial" w:cs="Arial"/>
        </w:rPr>
        <w:t>Enhancement of problem solving abilities, particularly mathematical approaches to problem solving.</w:t>
      </w:r>
      <w:r>
        <w:t xml:space="preserve"> </w:t>
      </w:r>
      <w:r>
        <w:rPr>
          <w:rFonts w:ascii="Arial" w:hAnsi="Arial" w:cs="Arial"/>
        </w:rPr>
        <w:t>(B1, B2, B4, B5, B6, C7, D1, D4)</w:t>
      </w:r>
    </w:p>
    <w:p w:rsidR="00A14D45" w:rsidRDefault="002B3A00">
      <w:pPr>
        <w:pStyle w:val="ListParagraph"/>
        <w:numPr>
          <w:ilvl w:val="0"/>
          <w:numId w:val="4"/>
        </w:numPr>
        <w:spacing w:after="120" w:line="240" w:lineRule="auto"/>
      </w:pPr>
      <w:r>
        <w:rPr>
          <w:rFonts w:ascii="Arial" w:hAnsi="Arial" w:cs="Arial"/>
        </w:rPr>
        <w:t>To use appropriate sources as part of directed self-learning.</w:t>
      </w:r>
      <w:r>
        <w:t xml:space="preserve"> </w:t>
      </w:r>
      <w:r>
        <w:rPr>
          <w:rFonts w:ascii="Arial" w:hAnsi="Arial" w:cs="Arial"/>
        </w:rPr>
        <w:t>(C6, C10)</w:t>
      </w:r>
    </w:p>
    <w:p w:rsidR="00A14D45" w:rsidRDefault="002B3A00">
      <w:pPr>
        <w:pStyle w:val="ListParagraph"/>
        <w:numPr>
          <w:ilvl w:val="0"/>
          <w:numId w:val="4"/>
        </w:numPr>
        <w:spacing w:after="120" w:line="240" w:lineRule="auto"/>
      </w:pPr>
      <w:r>
        <w:rPr>
          <w:rFonts w:ascii="Arial" w:hAnsi="Arial" w:cs="Arial"/>
        </w:rPr>
        <w:t>Enhancement of the ability to interpret theory.</w:t>
      </w:r>
      <w:r>
        <w:t xml:space="preserve"> </w:t>
      </w:r>
      <w:r>
        <w:rPr>
          <w:rFonts w:ascii="Arial" w:hAnsi="Arial" w:cs="Arial"/>
        </w:rPr>
        <w:t>(C2, C6, C7)</w:t>
      </w:r>
    </w:p>
    <w:p w:rsidR="00A14D45" w:rsidRDefault="002B3A00">
      <w:pPr>
        <w:pStyle w:val="ListParagraph"/>
        <w:numPr>
          <w:ilvl w:val="0"/>
          <w:numId w:val="4"/>
        </w:numPr>
        <w:spacing w:after="120" w:line="240" w:lineRule="auto"/>
      </w:pPr>
      <w:r>
        <w:rPr>
          <w:rFonts w:ascii="Arial" w:hAnsi="Arial" w:cs="Arial"/>
        </w:rPr>
        <w:t>A deeper appreciation of the connection of the role played by fundamental science in society generally. (A3)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A synopsis of the curriculum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 xml:space="preserve">Introduction. Magnetism, </w:t>
      </w:r>
      <w:proofErr w:type="spellStart"/>
      <w:r>
        <w:rPr>
          <w:rFonts w:ascii="Arial" w:hAnsi="Arial" w:cs="Arial"/>
          <w:iCs/>
        </w:rPr>
        <w:t>magnetometry</w:t>
      </w:r>
      <w:proofErr w:type="spellEnd"/>
      <w:r>
        <w:rPr>
          <w:rFonts w:ascii="Arial" w:hAnsi="Arial" w:cs="Arial"/>
          <w:iCs/>
        </w:rPr>
        <w:t xml:space="preserve"> and measuring techniques, </w:t>
      </w:r>
      <w:proofErr w:type="gramStart"/>
      <w:r>
        <w:rPr>
          <w:rFonts w:ascii="Arial" w:hAnsi="Arial" w:cs="Arial"/>
          <w:iCs/>
        </w:rPr>
        <w:t>Localised  magnetic</w:t>
      </w:r>
      <w:proofErr w:type="gramEnd"/>
      <w:r>
        <w:rPr>
          <w:rFonts w:ascii="Arial" w:hAnsi="Arial" w:cs="Arial"/>
          <w:iCs/>
        </w:rPr>
        <w:t xml:space="preserve"> moments, spin and orbital moments, magnetic moments in solids. </w:t>
      </w:r>
      <w:proofErr w:type="spellStart"/>
      <w:r>
        <w:rPr>
          <w:rFonts w:ascii="Arial" w:hAnsi="Arial" w:cs="Arial"/>
          <w:iCs/>
        </w:rPr>
        <w:t>Paramagnetism</w:t>
      </w:r>
      <w:proofErr w:type="spellEnd"/>
      <w:r>
        <w:rPr>
          <w:rFonts w:ascii="Arial" w:hAnsi="Arial" w:cs="Arial"/>
          <w:iCs/>
        </w:rPr>
        <w:t xml:space="preserve">. Exchange interactions, direct, indirect and </w:t>
      </w:r>
      <w:proofErr w:type="spellStart"/>
      <w:r>
        <w:rPr>
          <w:rFonts w:ascii="Arial" w:hAnsi="Arial" w:cs="Arial"/>
          <w:iCs/>
        </w:rPr>
        <w:t>superexchange</w:t>
      </w:r>
      <w:proofErr w:type="spellEnd"/>
      <w:r>
        <w:rPr>
          <w:rFonts w:ascii="Arial" w:hAnsi="Arial" w:cs="Arial"/>
          <w:iCs/>
        </w:rPr>
        <w:t xml:space="preserve">, Magnetic structures, </w:t>
      </w:r>
      <w:proofErr w:type="spellStart"/>
      <w:r>
        <w:rPr>
          <w:rFonts w:ascii="Arial" w:hAnsi="Arial" w:cs="Arial"/>
          <w:iCs/>
        </w:rPr>
        <w:t>ferro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ferri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antiferromagnetism</w:t>
      </w:r>
      <w:proofErr w:type="spellEnd"/>
      <w:r>
        <w:rPr>
          <w:rFonts w:ascii="Arial" w:hAnsi="Arial" w:cs="Arial"/>
          <w:iCs/>
        </w:rPr>
        <w:t xml:space="preserve">. Neutron and X-ray scattering. Spin waves, </w:t>
      </w:r>
      <w:proofErr w:type="spellStart"/>
      <w:r>
        <w:rPr>
          <w:rFonts w:ascii="Arial" w:hAnsi="Arial" w:cs="Arial"/>
          <w:iCs/>
        </w:rPr>
        <w:t>magnons</w:t>
      </w:r>
      <w:proofErr w:type="spellEnd"/>
      <w:r>
        <w:rPr>
          <w:rFonts w:ascii="Arial" w:hAnsi="Arial" w:cs="Arial"/>
          <w:iCs/>
        </w:rPr>
        <w:t xml:space="preserve">. Magnetic phase transitions. Superconductivity: Introduction to properties of superconductors, Thermodynamics and electrodynamics of superconductors, Type I and Type II superconductors, the flux lattice Superconducting phase transitions. Microscopic superconductivity, correlations lengths, isotope effect, Cooper pairs, Froehlich Interaction, BCS theory. High Tc superconductors, </w:t>
      </w:r>
      <w:proofErr w:type="spellStart"/>
      <w:r>
        <w:rPr>
          <w:rFonts w:ascii="Arial" w:hAnsi="Arial" w:cs="Arial"/>
          <w:iCs/>
        </w:rPr>
        <w:t>superfluids</w:t>
      </w:r>
      <w:proofErr w:type="spellEnd"/>
      <w:r>
        <w:rPr>
          <w:rFonts w:ascii="Arial" w:hAnsi="Arial" w:cs="Arial"/>
          <w:iCs/>
        </w:rPr>
        <w:t xml:space="preserve">, liquid helium. 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Reading list (Indicative list, current at time of publication. Reading lists will be published annually)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 xml:space="preserve">S. Blundell; Magnetism in Condensed Matter (2001).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 xml:space="preserve">J. F. Annett; Superconductivity, </w:t>
      </w:r>
      <w:proofErr w:type="spellStart"/>
      <w:r>
        <w:rPr>
          <w:rFonts w:ascii="Arial" w:hAnsi="Arial" w:cs="Arial"/>
        </w:rPr>
        <w:t>Superfluids</w:t>
      </w:r>
      <w:proofErr w:type="spellEnd"/>
      <w:r>
        <w:rPr>
          <w:rFonts w:ascii="Arial" w:hAnsi="Arial" w:cs="Arial"/>
        </w:rPr>
        <w:t xml:space="preserve"> and Condensates (2004).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 xml:space="preserve">R. M. White; Quantum theory of magnetism: magnetic properties of materials (2010). </w:t>
      </w:r>
    </w:p>
    <w:p w:rsidR="00A14D45" w:rsidRDefault="002B3A00">
      <w:pPr>
        <w:spacing w:after="120" w:line="240" w:lineRule="auto"/>
        <w:ind w:left="502" w:right="260"/>
        <w:jc w:val="both"/>
      </w:pPr>
      <w:r>
        <w:rPr>
          <w:rFonts w:ascii="Arial" w:hAnsi="Arial" w:cs="Arial"/>
        </w:rPr>
        <w:t xml:space="preserve">P. G. de </w:t>
      </w:r>
      <w:proofErr w:type="spellStart"/>
      <w:r>
        <w:rPr>
          <w:rFonts w:ascii="Arial" w:hAnsi="Arial" w:cs="Arial"/>
        </w:rPr>
        <w:t>Gennes</w:t>
      </w:r>
      <w:proofErr w:type="spellEnd"/>
      <w:r>
        <w:rPr>
          <w:rFonts w:ascii="Arial" w:hAnsi="Arial" w:cs="Arial"/>
        </w:rPr>
        <w:t>; Superconductivity of Metals and Alloys (1999).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</w:pPr>
      <w:r>
        <w:rPr>
          <w:rFonts w:ascii="Arial" w:hAnsi="Arial" w:cs="Arial"/>
          <w:b/>
        </w:rPr>
        <w:lastRenderedPageBreak/>
        <w:t>Learning and teaching methods</w:t>
      </w:r>
    </w:p>
    <w:p w:rsidR="00A14D45" w:rsidRDefault="00DC7D24">
      <w:pPr>
        <w:spacing w:after="120" w:line="240" w:lineRule="auto"/>
        <w:ind w:left="567" w:right="260"/>
        <w:jc w:val="both"/>
      </w:pPr>
      <w:r>
        <w:rPr>
          <w:rFonts w:ascii="Arial" w:hAnsi="Arial" w:cs="Arial"/>
          <w:iCs/>
        </w:rPr>
        <w:t>Total contact hours: 3</w:t>
      </w:r>
      <w:r w:rsidR="002B3A00">
        <w:rPr>
          <w:rFonts w:ascii="Arial" w:hAnsi="Arial" w:cs="Arial"/>
          <w:iCs/>
        </w:rPr>
        <w:t>0</w:t>
      </w:r>
    </w:p>
    <w:p w:rsidR="00A14D45" w:rsidRDefault="002B3A00">
      <w:pPr>
        <w:spacing w:after="120" w:line="240" w:lineRule="auto"/>
        <w:ind w:left="567" w:right="260"/>
        <w:jc w:val="both"/>
      </w:pPr>
      <w:r>
        <w:rPr>
          <w:rFonts w:ascii="Arial" w:hAnsi="Arial" w:cs="Arial"/>
          <w:iCs/>
        </w:rPr>
        <w:t>Private study hours: 120</w:t>
      </w:r>
    </w:p>
    <w:p w:rsidR="00A14D45" w:rsidRDefault="002B3A00">
      <w:pPr>
        <w:spacing w:after="120" w:line="240" w:lineRule="auto"/>
        <w:ind w:left="567" w:right="260"/>
        <w:jc w:val="both"/>
      </w:pPr>
      <w:r>
        <w:rPr>
          <w:rFonts w:ascii="Arial" w:hAnsi="Arial" w:cs="Arial"/>
          <w:iCs/>
        </w:rPr>
        <w:t>Total study hours: 150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>Achievement of module learning outcomes: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 xml:space="preserve">    • Lectures and workshops (8.1-4, 9.1-4)</w:t>
      </w:r>
    </w:p>
    <w:p w:rsidR="00A14D45" w:rsidRDefault="002B3A00">
      <w:pPr>
        <w:spacing w:after="120" w:line="240" w:lineRule="auto"/>
        <w:ind w:left="567" w:right="260" w:hanging="567"/>
      </w:pPr>
      <w:r>
        <w:rPr>
          <w:rFonts w:ascii="Arial" w:hAnsi="Arial" w:cs="Arial"/>
          <w:iCs/>
        </w:rPr>
        <w:tab/>
        <w:t xml:space="preserve">    • Private study (8.1-4, 9.1-4)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</w:pPr>
      <w:r>
        <w:rPr>
          <w:rFonts w:ascii="Arial" w:hAnsi="Arial" w:cs="Arial"/>
          <w:b/>
        </w:rPr>
        <w:t>Assessment methods</w:t>
      </w:r>
    </w:p>
    <w:p w:rsidR="00A14D45" w:rsidRDefault="002B3A00">
      <w:pPr>
        <w:pStyle w:val="ListParagraph"/>
        <w:numPr>
          <w:ilvl w:val="1"/>
          <w:numId w:val="1"/>
        </w:numPr>
        <w:spacing w:after="120"/>
        <w:ind w:left="567" w:hanging="567"/>
      </w:pPr>
      <w:r>
        <w:rPr>
          <w:rFonts w:ascii="Arial" w:hAnsi="Arial" w:cs="Arial"/>
          <w:iCs/>
        </w:rPr>
        <w:t>Main assessment methods</w:t>
      </w:r>
    </w:p>
    <w:p w:rsidR="00A14D45" w:rsidRDefault="00A14D45">
      <w:pPr>
        <w:pStyle w:val="ListParagraph"/>
        <w:spacing w:after="120"/>
        <w:ind w:left="567" w:hanging="567"/>
        <w:rPr>
          <w:rFonts w:ascii="Arial" w:hAnsi="Arial" w:cs="Arial"/>
          <w:iCs/>
        </w:rPr>
      </w:pPr>
    </w:p>
    <w:p w:rsidR="00A14D45" w:rsidRDefault="002B3A00">
      <w:pPr>
        <w:pStyle w:val="ListParagraph"/>
        <w:spacing w:after="120"/>
        <w:ind w:left="567" w:hanging="567"/>
      </w:pPr>
      <w:r>
        <w:rPr>
          <w:rFonts w:ascii="Arial" w:hAnsi="Arial" w:cs="Arial"/>
          <w:iCs/>
        </w:rPr>
        <w:tab/>
        <w:t>Assignment (15%)</w:t>
      </w:r>
    </w:p>
    <w:p w:rsidR="00A14D45" w:rsidRDefault="002B3A00">
      <w:pPr>
        <w:pStyle w:val="ListParagraph"/>
        <w:spacing w:after="120"/>
        <w:ind w:left="567" w:hanging="567"/>
      </w:pPr>
      <w:r>
        <w:rPr>
          <w:rFonts w:ascii="Arial" w:hAnsi="Arial" w:cs="Arial"/>
          <w:iCs/>
        </w:rPr>
        <w:tab/>
        <w:t>Assignment (15%)</w:t>
      </w:r>
    </w:p>
    <w:p w:rsidR="00A14D45" w:rsidRDefault="002B3A00">
      <w:pPr>
        <w:pStyle w:val="ListParagraph"/>
        <w:spacing w:after="120"/>
        <w:ind w:left="567" w:hanging="567"/>
      </w:pPr>
      <w:r>
        <w:rPr>
          <w:rFonts w:ascii="Arial" w:hAnsi="Arial" w:cs="Arial"/>
          <w:iCs/>
        </w:rPr>
        <w:tab/>
        <w:t>Examination (70%)</w:t>
      </w:r>
    </w:p>
    <w:p w:rsidR="00A14D45" w:rsidRDefault="00A14D45">
      <w:pPr>
        <w:pStyle w:val="ListParagraph"/>
        <w:spacing w:after="120"/>
        <w:ind w:left="567" w:hanging="567"/>
        <w:rPr>
          <w:rFonts w:ascii="Arial" w:hAnsi="Arial" w:cs="Arial"/>
          <w:iCs/>
        </w:rPr>
      </w:pPr>
    </w:p>
    <w:p w:rsidR="00A14D45" w:rsidRDefault="002B3A00">
      <w:pPr>
        <w:pStyle w:val="ListParagraph"/>
        <w:numPr>
          <w:ilvl w:val="1"/>
          <w:numId w:val="1"/>
        </w:numPr>
        <w:spacing w:after="120"/>
        <w:ind w:left="567" w:hanging="567"/>
      </w:pPr>
      <w:r>
        <w:rPr>
          <w:rFonts w:ascii="Arial" w:hAnsi="Arial" w:cs="Arial"/>
          <w:iCs/>
        </w:rPr>
        <w:t xml:space="preserve">Reassessment methods </w:t>
      </w:r>
    </w:p>
    <w:p w:rsidR="00A14D45" w:rsidRDefault="002B3A00">
      <w:pPr>
        <w:pStyle w:val="ListParagraph"/>
        <w:spacing w:after="120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like.</w:t>
      </w:r>
    </w:p>
    <w:p w:rsidR="00DD6A90" w:rsidRDefault="00DD6A90">
      <w:pPr>
        <w:pStyle w:val="ListParagraph"/>
        <w:spacing w:after="120"/>
        <w:ind w:left="1080"/>
      </w:pP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9923" w:type="dxa"/>
        <w:tblInd w:w="1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93"/>
        <w:gridCol w:w="1195"/>
        <w:gridCol w:w="707"/>
        <w:gridCol w:w="707"/>
        <w:gridCol w:w="707"/>
        <w:gridCol w:w="707"/>
        <w:gridCol w:w="707"/>
        <w:gridCol w:w="707"/>
        <w:gridCol w:w="707"/>
        <w:gridCol w:w="707"/>
        <w:gridCol w:w="355"/>
        <w:gridCol w:w="354"/>
        <w:gridCol w:w="355"/>
        <w:gridCol w:w="415"/>
      </w:tblGrid>
      <w:tr w:rsidR="00A14D45">
        <w:tc>
          <w:tcPr>
            <w:tcW w:w="1730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14D45">
        <w:tc>
          <w:tcPr>
            <w:tcW w:w="1730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1247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hd w:val="clear" w:color="auto" w:fill="D9D9D9"/>
              </w:rPr>
              <w:t>Hours allocated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18.75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Workshops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1247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1247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4D45"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Coursework</w:t>
            </w:r>
          </w:p>
        </w:tc>
        <w:tc>
          <w:tcPr>
            <w:tcW w:w="1247" w:type="dxa"/>
            <w:shd w:val="clear" w:color="auto" w:fill="D9D9D9" w:themeFill="background1" w:themeFillShade="D9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left="33"/>
              <w:rPr>
                <w:rFonts w:ascii="Arial" w:hAnsi="Arial" w:cs="Arial"/>
                <w:b/>
              </w:rPr>
            </w:pPr>
          </w:p>
        </w:tc>
      </w:tr>
    </w:tbl>
    <w:p w:rsidR="00A14D45" w:rsidRDefault="00A14D45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DD6A90" w:rsidRDefault="00DD6A90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  <w:bCs/>
        </w:rPr>
        <w:t xml:space="preserve">Inclusive module design </w:t>
      </w:r>
    </w:p>
    <w:p w:rsidR="00A14D45" w:rsidRDefault="002B3A00">
      <w:pPr>
        <w:spacing w:after="120" w:line="240" w:lineRule="auto"/>
        <w:ind w:left="567" w:right="260"/>
        <w:jc w:val="both"/>
      </w:pPr>
      <w:proofErr w:type="gramStart"/>
      <w:r>
        <w:rPr>
          <w:rFonts w:ascii="Arial" w:hAnsi="Arial" w:cs="Arial"/>
        </w:rPr>
        <w:t xml:space="preserve">The School/Collaborative Partner </w:t>
      </w:r>
      <w:r>
        <w:rPr>
          <w:rFonts w:ascii="Arial" w:hAnsi="Arial" w:cs="Arial"/>
          <w:i/>
        </w:rPr>
        <w:t>(delete as applicable)</w:t>
      </w:r>
      <w:r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>
        <w:rPr>
          <w:rFonts w:ascii="Arial" w:hAnsi="Arial" w:cs="Arial"/>
        </w:rPr>
        <w:t xml:space="preserve"> Additional alternative arrangements for students with Inclusive Learning Plans (ILPs)/ declared disabilities </w:t>
      </w:r>
      <w:proofErr w:type="gramStart"/>
      <w:r>
        <w:rPr>
          <w:rFonts w:ascii="Arial" w:hAnsi="Arial" w:cs="Arial"/>
        </w:rPr>
        <w:t>will be made</w:t>
      </w:r>
      <w:proofErr w:type="gramEnd"/>
      <w:r>
        <w:rPr>
          <w:rFonts w:ascii="Arial" w:hAnsi="Arial" w:cs="Arial"/>
        </w:rPr>
        <w:t xml:space="preserve"> on an individual basis, in consultation with the relevant policies and support services.</w:t>
      </w:r>
    </w:p>
    <w:p w:rsidR="00A14D45" w:rsidRDefault="002B3A00">
      <w:pPr>
        <w:spacing w:after="120" w:line="240" w:lineRule="auto"/>
        <w:ind w:left="567" w:right="260"/>
        <w:jc w:val="both"/>
      </w:pPr>
      <w:r>
        <w:rPr>
          <w:rFonts w:ascii="Arial" w:hAnsi="Arial" w:cs="Arial"/>
        </w:rPr>
        <w:t xml:space="preserve">The inclusive practices in the guidance (see Annex B Appendix A) </w:t>
      </w:r>
      <w:proofErr w:type="gramStart"/>
      <w:r>
        <w:rPr>
          <w:rFonts w:ascii="Arial" w:hAnsi="Arial" w:cs="Arial"/>
        </w:rPr>
        <w:t>have been considered</w:t>
      </w:r>
      <w:proofErr w:type="gramEnd"/>
      <w:r>
        <w:rPr>
          <w:rFonts w:ascii="Arial" w:hAnsi="Arial" w:cs="Arial"/>
        </w:rPr>
        <w:t xml:space="preserve"> in order to support all students in the following areas:</w:t>
      </w:r>
    </w:p>
    <w:p w:rsidR="00A14D45" w:rsidRDefault="002B3A00">
      <w:pPr>
        <w:spacing w:after="120" w:line="240" w:lineRule="auto"/>
        <w:ind w:left="567" w:right="260"/>
        <w:jc w:val="both"/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Cs/>
        </w:rPr>
        <w:t>Accessible resources and curriculum</w:t>
      </w:r>
    </w:p>
    <w:p w:rsidR="00A14D45" w:rsidRDefault="002B3A00">
      <w:pPr>
        <w:tabs>
          <w:tab w:val="left" w:pos="567"/>
        </w:tabs>
        <w:spacing w:after="120" w:line="240" w:lineRule="auto"/>
        <w:ind w:left="567" w:right="260"/>
        <w:jc w:val="both"/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assessment methods</w:t>
      </w:r>
    </w:p>
    <w:p w:rsidR="00A14D45" w:rsidRDefault="00A14D45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0" w:hanging="567"/>
        <w:jc w:val="both"/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centre(s) where module will be delivered</w:t>
      </w:r>
    </w:p>
    <w:p w:rsidR="00A14D45" w:rsidRDefault="002B3A00">
      <w:pPr>
        <w:spacing w:after="120" w:line="240" w:lineRule="auto"/>
        <w:ind w:left="567" w:right="260" w:hanging="567"/>
        <w:jc w:val="both"/>
      </w:pPr>
      <w:r>
        <w:rPr>
          <w:rFonts w:ascii="Arial" w:hAnsi="Arial" w:cs="Arial"/>
        </w:rPr>
        <w:tab/>
        <w:t>Canterbury</w:t>
      </w:r>
    </w:p>
    <w:p w:rsidR="00A14D45" w:rsidRDefault="002B3A00">
      <w:pPr>
        <w:numPr>
          <w:ilvl w:val="0"/>
          <w:numId w:val="1"/>
        </w:numPr>
        <w:spacing w:after="120" w:line="240" w:lineRule="auto"/>
        <w:ind w:left="567" w:right="261" w:hanging="567"/>
        <w:jc w:val="both"/>
      </w:pPr>
      <w:r>
        <w:rPr>
          <w:rFonts w:ascii="Arial" w:hAnsi="Arial" w:cs="Arial"/>
          <w:b/>
        </w:rPr>
        <w:t xml:space="preserve">Internationalisation </w:t>
      </w:r>
    </w:p>
    <w:p w:rsidR="00A14D45" w:rsidRDefault="002B3A00">
      <w:pPr>
        <w:spacing w:after="120" w:line="240" w:lineRule="auto"/>
        <w:ind w:left="567" w:right="261"/>
        <w:jc w:val="both"/>
      </w:pPr>
      <w:r>
        <w:rPr>
          <w:rFonts w:ascii="Arial" w:hAnsi="Arial" w:cs="Arial"/>
        </w:rPr>
        <w:t xml:space="preserve">Please highlight aspects of this module where internationalisation </w:t>
      </w:r>
      <w:proofErr w:type="gramStart"/>
      <w:r>
        <w:rPr>
          <w:rFonts w:ascii="Arial" w:hAnsi="Arial" w:cs="Arial"/>
        </w:rPr>
        <w:t>is actively incorporated or intended</w:t>
      </w:r>
      <w:proofErr w:type="gramEnd"/>
      <w:r>
        <w:rPr>
          <w:rFonts w:ascii="Arial" w:hAnsi="Arial" w:cs="Arial"/>
        </w:rPr>
        <w:t xml:space="preserve">. Refer to any relevant </w:t>
      </w:r>
      <w:proofErr w:type="gramStart"/>
      <w:r>
        <w:rPr>
          <w:rFonts w:ascii="Arial" w:hAnsi="Arial" w:cs="Arial"/>
        </w:rPr>
        <w:t>internationally-focused</w:t>
      </w:r>
      <w:proofErr w:type="gramEnd"/>
      <w:r>
        <w:rPr>
          <w:rFonts w:ascii="Arial" w:hAnsi="Arial" w:cs="Arial"/>
        </w:rPr>
        <w:t xml:space="preserve"> learning outcomes and, where possible, identify internationalisation in any of the following: subject content, assessment tasks, teaching methods/activities and support activity. </w:t>
      </w:r>
    </w:p>
    <w:p w:rsidR="00A14D45" w:rsidRDefault="002B3A00">
      <w:pPr>
        <w:spacing w:after="120" w:line="240" w:lineRule="auto"/>
        <w:ind w:left="567" w:right="261"/>
        <w:jc w:val="both"/>
      </w:pPr>
      <w:r>
        <w:rPr>
          <w:rFonts w:ascii="Arial" w:hAnsi="Arial" w:cs="Arial"/>
        </w:rPr>
        <w:t xml:space="preserve">The topics to </w:t>
      </w:r>
      <w:proofErr w:type="gramStart"/>
      <w:r>
        <w:rPr>
          <w:rFonts w:ascii="Arial" w:hAnsi="Arial" w:cs="Arial"/>
        </w:rPr>
        <w:t>be covered</w:t>
      </w:r>
      <w:proofErr w:type="gramEnd"/>
      <w:r>
        <w:rPr>
          <w:rFonts w:ascii="Arial" w:hAnsi="Arial" w:cs="Arial"/>
        </w:rPr>
        <w:t xml:space="preserve"> in this module were developed collaboratively by scientists all over the world over many centuries. For example, the oldest magnetic instrument was a compass from the Han Dynasty in China, while the discovery of superconductivity </w:t>
      </w:r>
      <w:proofErr w:type="gramStart"/>
      <w:r>
        <w:rPr>
          <w:rFonts w:ascii="Arial" w:hAnsi="Arial" w:cs="Arial"/>
        </w:rPr>
        <w:t>was carried out</w:t>
      </w:r>
      <w:proofErr w:type="gramEnd"/>
      <w:r>
        <w:rPr>
          <w:rFonts w:ascii="Arial" w:hAnsi="Arial" w:cs="Arial"/>
        </w:rPr>
        <w:t xml:space="preserve"> in the Netherlands (as a by-product of the fierce competition to be the first to liquefy Helium between </w:t>
      </w:r>
      <w:proofErr w:type="spellStart"/>
      <w:r>
        <w:rPr>
          <w:rFonts w:ascii="Arial" w:hAnsi="Arial" w:cs="Arial"/>
        </w:rPr>
        <w:t>Kammerlingh-Onnes</w:t>
      </w:r>
      <w:proofErr w:type="spellEnd"/>
      <w:r>
        <w:rPr>
          <w:rFonts w:ascii="Arial" w:hAnsi="Arial" w:cs="Arial"/>
        </w:rPr>
        <w:t xml:space="preserve"> in Leiden and Dewar at the Royal Institution in London). These and other fascinating stories of international collaboration and competition </w:t>
      </w:r>
      <w:proofErr w:type="gramStart"/>
      <w:r>
        <w:rPr>
          <w:rFonts w:ascii="Arial" w:hAnsi="Arial" w:cs="Arial"/>
        </w:rPr>
        <w:t>are emphasized</w:t>
      </w:r>
      <w:proofErr w:type="gramEnd"/>
      <w:r>
        <w:rPr>
          <w:rFonts w:ascii="Arial" w:hAnsi="Arial" w:cs="Arial"/>
        </w:rPr>
        <w:t xml:space="preserve"> throughout the module.</w:t>
      </w:r>
    </w:p>
    <w:p w:rsidR="00A14D45" w:rsidRDefault="002B3A00">
      <w:pPr>
        <w:spacing w:after="120" w:line="240" w:lineRule="auto"/>
        <w:ind w:right="260"/>
        <w:jc w:val="both"/>
      </w:pPr>
      <w:r>
        <w:rPr>
          <w:rFonts w:ascii="Arial" w:hAnsi="Arial" w:cs="Arial"/>
          <w:b/>
        </w:rPr>
        <w:t xml:space="preserve">If the module is part of a programme in a Partner College or Validated Institution, please complete sections 18 and 19. If the module is not part of a programme in a Partner College or Validated Institution these sections </w:t>
      </w:r>
      <w:proofErr w:type="gramStart"/>
      <w:r>
        <w:rPr>
          <w:rFonts w:ascii="Arial" w:hAnsi="Arial" w:cs="Arial"/>
          <w:b/>
        </w:rPr>
        <w:t>can be deleted</w:t>
      </w:r>
      <w:proofErr w:type="gramEnd"/>
      <w:r>
        <w:rPr>
          <w:rFonts w:ascii="Arial" w:hAnsi="Arial" w:cs="Arial"/>
          <w:b/>
        </w:rPr>
        <w:t>.</w:t>
      </w:r>
    </w:p>
    <w:p w:rsidR="00A14D45" w:rsidRDefault="00A14D45">
      <w:pPr>
        <w:spacing w:after="120" w:line="240" w:lineRule="auto"/>
        <w:ind w:right="260"/>
        <w:rPr>
          <w:rFonts w:ascii="Arial" w:hAnsi="Arial" w:cs="Arial"/>
        </w:rPr>
      </w:pPr>
    </w:p>
    <w:p w:rsidR="00A14D45" w:rsidRDefault="002B3A00">
      <w:pPr>
        <w:pStyle w:val="ListParagraph"/>
        <w:numPr>
          <w:ilvl w:val="0"/>
          <w:numId w:val="1"/>
        </w:numPr>
        <w:spacing w:after="120" w:line="240" w:lineRule="auto"/>
        <w:ind w:left="567" w:right="261" w:hanging="567"/>
      </w:pPr>
      <w:r>
        <w:rPr>
          <w:rFonts w:ascii="Arial" w:hAnsi="Arial" w:cs="Arial"/>
          <w:b/>
        </w:rPr>
        <w:t>Partner College/Validated Institution</w:t>
      </w:r>
    </w:p>
    <w:p w:rsidR="00A14D45" w:rsidRDefault="00A14D45">
      <w:pPr>
        <w:pStyle w:val="ListParagraph"/>
        <w:spacing w:after="120" w:line="240" w:lineRule="auto"/>
        <w:ind w:left="567" w:right="261" w:hanging="567"/>
        <w:rPr>
          <w:rFonts w:ascii="Arial" w:hAnsi="Arial" w:cs="Arial"/>
        </w:rPr>
      </w:pPr>
    </w:p>
    <w:p w:rsidR="00A14D45" w:rsidRDefault="002B3A00">
      <w:pPr>
        <w:pStyle w:val="ListParagraph"/>
        <w:numPr>
          <w:ilvl w:val="0"/>
          <w:numId w:val="1"/>
        </w:numPr>
        <w:spacing w:after="120" w:line="240" w:lineRule="auto"/>
        <w:ind w:left="567" w:right="261" w:hanging="567"/>
      </w:pPr>
      <w:r>
        <w:rPr>
          <w:rFonts w:ascii="Arial" w:hAnsi="Arial" w:cs="Arial"/>
          <w:b/>
        </w:rPr>
        <w:t>University School responsible for the programme</w:t>
      </w:r>
    </w:p>
    <w:p w:rsidR="00A14D45" w:rsidRDefault="00A14D45">
      <w:pPr>
        <w:spacing w:after="120" w:line="240" w:lineRule="auto"/>
        <w:ind w:right="261"/>
        <w:rPr>
          <w:rFonts w:ascii="Arial" w:hAnsi="Arial" w:cs="Arial"/>
          <w:b/>
        </w:rPr>
      </w:pPr>
    </w:p>
    <w:p w:rsidR="00A14D45" w:rsidRDefault="00A14D45">
      <w:pPr>
        <w:pBdr>
          <w:bottom w:val="single" w:sz="6" w:space="1" w:color="00000A"/>
        </w:pBdr>
        <w:spacing w:after="120" w:line="240" w:lineRule="auto"/>
        <w:ind w:right="261"/>
        <w:rPr>
          <w:rFonts w:ascii="Arial" w:hAnsi="Arial" w:cs="Arial"/>
        </w:rPr>
      </w:pPr>
    </w:p>
    <w:p w:rsidR="00A14D45" w:rsidRDefault="002B3A00">
      <w:pPr>
        <w:spacing w:after="120" w:line="240" w:lineRule="auto"/>
        <w:ind w:right="260"/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:rsidR="00A14D45" w:rsidRDefault="002B3A00">
      <w:pPr>
        <w:spacing w:after="120" w:line="240" w:lineRule="auto"/>
        <w:ind w:right="260"/>
      </w:pPr>
      <w:r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A14D45" w:rsidRDefault="00A14D45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2407"/>
        <w:gridCol w:w="2452"/>
        <w:gridCol w:w="2399"/>
      </w:tblGrid>
      <w:tr w:rsidR="00A14D45">
        <w:trPr>
          <w:trHeight w:val="317"/>
        </w:trPr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ind w:right="-330"/>
            </w:pPr>
            <w:r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ind w:right="-34"/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ind w:right="-330"/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399" w:type="dxa"/>
            <w:shd w:val="clear" w:color="auto" w:fill="auto"/>
            <w:tcMar>
              <w:left w:w="98" w:type="dxa"/>
            </w:tcMar>
          </w:tcPr>
          <w:p w:rsidR="00A14D45" w:rsidRDefault="002B3A00">
            <w:pPr>
              <w:spacing w:after="0" w:line="240" w:lineRule="auto"/>
              <w:ind w:right="-330"/>
            </w:pPr>
            <w:r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A14D45">
        <w:trPr>
          <w:trHeight w:val="305"/>
        </w:trPr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A14D45" w:rsidRDefault="007B357C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A14D45" w:rsidRDefault="007B357C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A14D45" w:rsidRDefault="007B357C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A14D45" w:rsidRDefault="007B357C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99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  <w:tr w:rsidR="00A14D45">
        <w:trPr>
          <w:trHeight w:val="305"/>
        </w:trPr>
        <w:tc>
          <w:tcPr>
            <w:tcW w:w="1526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2452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auto"/>
            <w:tcMar>
              <w:left w:w="98" w:type="dxa"/>
            </w:tcMar>
          </w:tcPr>
          <w:p w:rsidR="00A14D45" w:rsidRDefault="00A14D45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:rsidR="00A14D45" w:rsidRDefault="00A14D45">
      <w:pPr>
        <w:spacing w:after="120" w:line="240" w:lineRule="auto"/>
        <w:ind w:right="-330"/>
      </w:pPr>
    </w:p>
    <w:sectPr w:rsidR="00A14D45">
      <w:headerReference w:type="default" r:id="rId8"/>
      <w:footerReference w:type="default" r:id="rId9"/>
      <w:headerReference w:type="first" r:id="rId10"/>
      <w:pgSz w:w="11906" w:h="16838"/>
      <w:pgMar w:top="766" w:right="720" w:bottom="766" w:left="720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00" w:rsidRDefault="002B3A00">
      <w:pPr>
        <w:spacing w:after="0" w:line="240" w:lineRule="auto"/>
      </w:pPr>
      <w:r>
        <w:separator/>
      </w:r>
    </w:p>
  </w:endnote>
  <w:endnote w:type="continuationSeparator" w:id="0">
    <w:p w:rsidR="002B3A00" w:rsidRDefault="002B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495846"/>
      <w:docPartObj>
        <w:docPartGallery w:val="Page Numbers (Bottom of Page)"/>
        <w:docPartUnique/>
      </w:docPartObj>
    </w:sdtPr>
    <w:sdtEndPr/>
    <w:sdtContent>
      <w:p w:rsidR="00A14D45" w:rsidRDefault="002B3A0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0D33">
          <w:rPr>
            <w:noProof/>
          </w:rPr>
          <w:t>3</w:t>
        </w:r>
        <w:r>
          <w:fldChar w:fldCharType="end"/>
        </w:r>
      </w:p>
    </w:sdtContent>
  </w:sdt>
  <w:p w:rsidR="00A14D45" w:rsidRDefault="002B3A00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Module Specification Template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00" w:rsidRDefault="002B3A00">
      <w:pPr>
        <w:spacing w:after="0" w:line="240" w:lineRule="auto"/>
      </w:pPr>
      <w:r>
        <w:separator/>
      </w:r>
    </w:p>
  </w:footnote>
  <w:footnote w:type="continuationSeparator" w:id="0">
    <w:p w:rsidR="002B3A00" w:rsidRDefault="002B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7C" w:rsidRPr="007B357C" w:rsidRDefault="007B357C" w:rsidP="007B357C">
    <w:pPr>
      <w:pStyle w:val="Header"/>
      <w:jc w:val="center"/>
      <w:rPr>
        <w:b/>
        <w:sz w:val="28"/>
        <w:szCs w:val="28"/>
      </w:rPr>
    </w:pPr>
    <w:r w:rsidRPr="007B357C">
      <w:rPr>
        <w:b/>
        <w:sz w:val="28"/>
        <w:szCs w:val="28"/>
      </w:rPr>
      <w:t>MODULE SPECIFICATION</w:t>
    </w:r>
  </w:p>
  <w:p w:rsidR="00A14D45" w:rsidRDefault="00A14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45" w:rsidRDefault="002B3A0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A14D45" w:rsidRDefault="00A14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76"/>
    <w:multiLevelType w:val="multilevel"/>
    <w:tmpl w:val="A59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55138D"/>
    <w:multiLevelType w:val="multilevel"/>
    <w:tmpl w:val="72AE084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BC322B5"/>
    <w:multiLevelType w:val="multilevel"/>
    <w:tmpl w:val="7136B8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84022E"/>
    <w:multiLevelType w:val="multilevel"/>
    <w:tmpl w:val="AA92108E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013F2"/>
    <w:multiLevelType w:val="multilevel"/>
    <w:tmpl w:val="A1328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5"/>
    <w:rsid w:val="00070D33"/>
    <w:rsid w:val="002B3A00"/>
    <w:rsid w:val="006520FC"/>
    <w:rsid w:val="007B0469"/>
    <w:rsid w:val="007B357C"/>
    <w:rsid w:val="00A14D45"/>
    <w:rsid w:val="00B11E58"/>
    <w:rsid w:val="00DC7D24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DC36"/>
  <w15:docId w15:val="{5E42588E-DC6D-49EB-BE2D-10A9A6F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pPr>
      <w:spacing w:after="200" w:line="276" w:lineRule="auto"/>
    </w:pPr>
    <w:rPr>
      <w:rFonts w:ascii="Calibri" w:eastAsiaTheme="minorEastAsia" w:hAnsi="Calibri"/>
      <w:color w:val="00000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A2D3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D37"/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A6BB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semiHidden/>
    <w:qFormat/>
    <w:rsid w:val="006A6BB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6B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6BB4"/>
    <w:rPr>
      <w:rFonts w:eastAsiaTheme="minorEastAsia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6BB4"/>
    <w:rPr>
      <w:rFonts w:eastAsiaTheme="minorEastAsia"/>
      <w:b/>
      <w:bCs/>
      <w:sz w:val="20"/>
      <w:szCs w:val="20"/>
      <w:lang w:eastAsia="en-GB"/>
    </w:rPr>
  </w:style>
  <w:style w:type="character" w:customStyle="1" w:styleId="s15">
    <w:name w:val="s15"/>
    <w:basedOn w:val="DefaultParagraphFont"/>
    <w:qFormat/>
    <w:rsid w:val="002F05F4"/>
  </w:style>
  <w:style w:type="character" w:customStyle="1" w:styleId="PlainTextChar">
    <w:name w:val="Plain Text Char"/>
    <w:basedOn w:val="DefaultParagraphFont"/>
    <w:link w:val="PlainText"/>
    <w:uiPriority w:val="99"/>
    <w:qFormat/>
    <w:rsid w:val="005F040F"/>
    <w:rPr>
      <w:rFonts w:ascii="Calibri" w:hAnsi="Calibri"/>
      <w:szCs w:val="21"/>
    </w:rPr>
  </w:style>
  <w:style w:type="character" w:customStyle="1" w:styleId="ListLabel1">
    <w:name w:val="ListLabel 1"/>
    <w:qFormat/>
    <w:rPr>
      <w:rFonts w:ascii="Arial" w:hAnsi="Arial"/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b/>
      <w:i w:val="0"/>
    </w:rPr>
  </w:style>
  <w:style w:type="character" w:customStyle="1" w:styleId="ListLabel12">
    <w:name w:val="ListLabel 12"/>
    <w:qFormat/>
    <w:rPr>
      <w:rFonts w:ascii="Arial" w:hAnsi="Arial"/>
      <w:b/>
      <w:i w:val="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Arial" w:hAnsi="Arial"/>
      <w:b/>
      <w:i w:val="0"/>
    </w:rPr>
  </w:style>
  <w:style w:type="character" w:customStyle="1" w:styleId="ListLabel14">
    <w:name w:val="ListLabel 14"/>
    <w:qFormat/>
    <w:rPr>
      <w:rFonts w:ascii="Arial" w:hAnsi="Arial"/>
      <w:b/>
      <w:i w:val="0"/>
    </w:rPr>
  </w:style>
  <w:style w:type="character" w:customStyle="1" w:styleId="NumberingSymbols">
    <w:name w:val="Numbering Symbols"/>
    <w:qFormat/>
  </w:style>
  <w:style w:type="character" w:customStyle="1" w:styleId="ListLabel149">
    <w:name w:val="ListLabel 149"/>
    <w:qFormat/>
    <w:rPr>
      <w:rFonts w:ascii="Arial" w:hAnsi="Arial" w:cs="Aria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A2D37"/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A2D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paragraph" w:styleId="ListBullet">
    <w:name w:val="List Bullet"/>
    <w:basedOn w:val="Normal"/>
    <w:uiPriority w:val="99"/>
    <w:unhideWhenUsed/>
    <w:qFormat/>
    <w:rsid w:val="006A6BB4"/>
    <w:pPr>
      <w:contextualSpacing/>
    </w:p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qFormat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6BB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6BB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5F040F"/>
    <w:pPr>
      <w:spacing w:after="0" w:line="240" w:lineRule="auto"/>
    </w:pPr>
    <w:rPr>
      <w:rFonts w:eastAsiaTheme="minorHAnsi"/>
      <w:szCs w:val="21"/>
      <w:lang w:eastAsia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6BB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4564DD8C-DF1C-4352-8ADB-33C239793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13700-D29A-4687-A8CA-B53C9A0B93A4}"/>
</file>

<file path=customXml/itemProps3.xml><?xml version="1.0" encoding="utf-8"?>
<ds:datastoreItem xmlns:ds="http://schemas.openxmlformats.org/officeDocument/2006/customXml" ds:itemID="{58AAA9C0-A36A-4DEE-B631-F73B8CC9EF06}"/>
</file>

<file path=customXml/itemProps4.xml><?xml version="1.0" encoding="utf-8"?>
<ds:datastoreItem xmlns:ds="http://schemas.openxmlformats.org/officeDocument/2006/customXml" ds:itemID="{4930BDC9-2E30-485D-B35B-F52E9D93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Flowers</dc:creator>
  <dc:description/>
  <cp:lastModifiedBy>Kit Williams</cp:lastModifiedBy>
  <cp:revision>8</cp:revision>
  <cp:lastPrinted>2015-09-09T08:37:00Z</cp:lastPrinted>
  <dcterms:created xsi:type="dcterms:W3CDTF">2019-05-24T09:27:00Z</dcterms:created>
  <dcterms:modified xsi:type="dcterms:W3CDTF">2019-09-18T14:38:00Z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Kent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0x010100C9183167D435B34DA3A58A7D3B779F73</vt:lpwstr>
  </property>
</Properties>
</file>