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154D48" w:rsidRPr="00154D48" w:rsidRDefault="00F3773F" w:rsidP="00154D48">
      <w:pPr>
        <w:spacing w:after="120" w:line="240" w:lineRule="auto"/>
        <w:ind w:left="567" w:right="260"/>
        <w:jc w:val="both"/>
        <w:rPr>
          <w:rFonts w:ascii="Arial" w:hAnsi="Arial" w:cs="Arial"/>
        </w:rPr>
      </w:pPr>
      <w:r w:rsidRPr="00F3773F">
        <w:rPr>
          <w:rFonts w:ascii="Arial" w:hAnsi="Arial" w:cs="Arial"/>
        </w:rPr>
        <w:t>PHIL3150 (PL315) – Philosophical Reading and Writing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F3773F">
        <w:rPr>
          <w:rFonts w:ascii="Arial" w:hAnsi="Arial" w:cs="Arial"/>
          <w:iCs/>
        </w:rPr>
        <w:t>4</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154D48" w:rsidRPr="00154D48" w:rsidRDefault="00F3773F" w:rsidP="00154D48">
      <w:pPr>
        <w:spacing w:after="120" w:line="240" w:lineRule="auto"/>
        <w:ind w:left="567" w:right="260"/>
        <w:rPr>
          <w:rFonts w:ascii="Arial" w:hAnsi="Arial" w:cs="Arial"/>
        </w:rPr>
      </w:pPr>
      <w:r w:rsidRPr="00F3773F">
        <w:rPr>
          <w:rFonts w:ascii="Arial" w:hAnsi="Arial" w:cs="Arial"/>
        </w:rPr>
        <w:t>15 Credits (7.5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154D48" w:rsidRDefault="00F3773F" w:rsidP="00154D48">
      <w:pPr>
        <w:spacing w:after="120" w:line="240" w:lineRule="auto"/>
        <w:ind w:left="567" w:right="260"/>
        <w:rPr>
          <w:rFonts w:ascii="Arial" w:hAnsi="Arial" w:cs="Arial"/>
          <w:iCs/>
        </w:rPr>
      </w:pPr>
      <w:r w:rsidRPr="00F3773F">
        <w:rPr>
          <w:rFonts w:ascii="Arial" w:hAnsi="Arial" w:cs="Arial"/>
          <w:iCs/>
        </w:rPr>
        <w:t>Autumn</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154D48" w:rsidRPr="00154D48" w:rsidRDefault="00F3773F" w:rsidP="00154D48">
      <w:pPr>
        <w:spacing w:after="120" w:line="240" w:lineRule="auto"/>
        <w:ind w:left="567" w:right="260"/>
        <w:rPr>
          <w:rFonts w:ascii="Arial" w:hAnsi="Arial" w:cs="Arial"/>
          <w:iCs/>
        </w:rPr>
      </w:pPr>
      <w:r w:rsidRPr="00F3773F">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F3773F" w:rsidP="00154D48">
      <w:pPr>
        <w:spacing w:after="120" w:line="240" w:lineRule="auto"/>
        <w:ind w:left="567" w:right="260"/>
        <w:rPr>
          <w:rFonts w:ascii="Arial" w:hAnsi="Arial" w:cs="Arial"/>
          <w:iCs/>
        </w:rPr>
      </w:pPr>
      <w:r w:rsidRPr="00F3773F">
        <w:rPr>
          <w:rFonts w:ascii="Arial" w:hAnsi="Arial" w:cs="Arial"/>
          <w:iCs/>
        </w:rPr>
        <w:t>Compulsory for BA Philosophy</w:t>
      </w:r>
      <w:r>
        <w:rPr>
          <w:rFonts w:ascii="Arial" w:hAnsi="Arial" w:cs="Arial"/>
          <w:iCs/>
        </w:rPr>
        <w:t xml:space="preserve"> (Single and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3773F" w:rsidRPr="00F3773F" w:rsidRDefault="00F3773F" w:rsidP="00F3773F">
      <w:pPr>
        <w:spacing w:after="120" w:line="240" w:lineRule="auto"/>
        <w:ind w:left="1430" w:right="260" w:hanging="550"/>
        <w:jc w:val="both"/>
        <w:rPr>
          <w:rFonts w:ascii="Arial" w:hAnsi="Arial" w:cs="Arial"/>
        </w:rPr>
      </w:pPr>
      <w:r w:rsidRPr="00F3773F">
        <w:rPr>
          <w:rFonts w:ascii="Arial" w:hAnsi="Arial" w:cs="Arial"/>
        </w:rPr>
        <w:t>8.1</w:t>
      </w:r>
      <w:r w:rsidRPr="00F3773F">
        <w:rPr>
          <w:rFonts w:ascii="Arial" w:hAnsi="Arial" w:cs="Arial"/>
        </w:rPr>
        <w:tab/>
        <w:t>Demonstrate understanding of some basic questions in philosophy about a range of issues;</w:t>
      </w:r>
    </w:p>
    <w:p w:rsidR="00F3773F" w:rsidRPr="00F3773F" w:rsidRDefault="00F3773F" w:rsidP="00F3773F">
      <w:pPr>
        <w:spacing w:after="120" w:line="240" w:lineRule="auto"/>
        <w:ind w:left="1430" w:right="260" w:hanging="550"/>
        <w:jc w:val="both"/>
        <w:rPr>
          <w:rFonts w:ascii="Arial" w:hAnsi="Arial" w:cs="Arial"/>
        </w:rPr>
      </w:pPr>
      <w:r w:rsidRPr="00F3773F">
        <w:rPr>
          <w:rFonts w:ascii="Arial" w:hAnsi="Arial" w:cs="Arial"/>
        </w:rPr>
        <w:t>8.2</w:t>
      </w:r>
      <w:r w:rsidRPr="00F3773F">
        <w:rPr>
          <w:rFonts w:ascii="Arial" w:hAnsi="Arial" w:cs="Arial"/>
        </w:rPr>
        <w:tab/>
        <w:t>Appreciate various philosophical topics;</w:t>
      </w:r>
    </w:p>
    <w:p w:rsidR="00F3773F" w:rsidRPr="00F3773F" w:rsidRDefault="00F3773F" w:rsidP="00F3773F">
      <w:pPr>
        <w:spacing w:after="120" w:line="240" w:lineRule="auto"/>
        <w:ind w:left="1430" w:right="260" w:hanging="550"/>
        <w:jc w:val="both"/>
        <w:rPr>
          <w:rFonts w:ascii="Arial" w:hAnsi="Arial" w:cs="Arial"/>
        </w:rPr>
      </w:pPr>
      <w:r w:rsidRPr="00F3773F">
        <w:rPr>
          <w:rFonts w:ascii="Arial" w:hAnsi="Arial" w:cs="Arial"/>
        </w:rPr>
        <w:t>8.3</w:t>
      </w:r>
      <w:r w:rsidRPr="00F3773F">
        <w:rPr>
          <w:rFonts w:ascii="Arial" w:hAnsi="Arial" w:cs="Arial"/>
        </w:rPr>
        <w:tab/>
        <w:t xml:space="preserve">Read analytical philosophy in a way that is considered, reflective, and imaginative; </w:t>
      </w:r>
    </w:p>
    <w:p w:rsidR="00154D48" w:rsidRPr="00154D48" w:rsidRDefault="00F3773F" w:rsidP="00F3773F">
      <w:pPr>
        <w:spacing w:after="120" w:line="240" w:lineRule="auto"/>
        <w:ind w:left="1430" w:right="260" w:hanging="550"/>
        <w:jc w:val="both"/>
        <w:rPr>
          <w:rFonts w:ascii="Arial" w:hAnsi="Arial" w:cs="Arial"/>
        </w:rPr>
      </w:pPr>
      <w:r w:rsidRPr="00F3773F">
        <w:rPr>
          <w:rFonts w:ascii="Arial" w:hAnsi="Arial" w:cs="Arial"/>
        </w:rPr>
        <w:t>8.4</w:t>
      </w:r>
      <w:r w:rsidRPr="00F3773F">
        <w:rPr>
          <w:rFonts w:ascii="Arial" w:hAnsi="Arial" w:cs="Arial"/>
        </w:rPr>
        <w:tab/>
        <w:t xml:space="preserve">Write analytical philosophy in a way that is careful, logical, structured and </w:t>
      </w:r>
      <w:r w:rsidRPr="00F3773F">
        <w:rPr>
          <w:rFonts w:ascii="Arial" w:hAnsi="Arial" w:cs="Arial"/>
        </w:rPr>
        <w:tab/>
        <w:t>coherent</w:t>
      </w:r>
      <w:r>
        <w:rPr>
          <w:rFonts w:ascii="Arial" w:hAnsi="Arial" w:cs="Arial"/>
        </w:rPr>
        <w:t>.</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F3773F" w:rsidRPr="00F3773F" w:rsidRDefault="00F3773F" w:rsidP="00F3773F">
      <w:pPr>
        <w:pStyle w:val="Default"/>
        <w:spacing w:after="120"/>
        <w:ind w:left="1430" w:right="260" w:hanging="550"/>
        <w:jc w:val="both"/>
        <w:rPr>
          <w:color w:val="auto"/>
          <w:sz w:val="22"/>
          <w:szCs w:val="22"/>
        </w:rPr>
      </w:pPr>
      <w:r w:rsidRPr="00F3773F">
        <w:rPr>
          <w:color w:val="auto"/>
          <w:sz w:val="22"/>
          <w:szCs w:val="22"/>
        </w:rPr>
        <w:t>9.1</w:t>
      </w:r>
      <w:r w:rsidRPr="00F3773F">
        <w:rPr>
          <w:color w:val="auto"/>
          <w:sz w:val="22"/>
          <w:szCs w:val="22"/>
        </w:rPr>
        <w:tab/>
        <w:t>Demonstrate skills in critical analysis and argument through reading and listening to others;</w:t>
      </w:r>
    </w:p>
    <w:p w:rsidR="00F3773F" w:rsidRPr="00F3773F" w:rsidRDefault="00F3773F" w:rsidP="00F3773F">
      <w:pPr>
        <w:pStyle w:val="Default"/>
        <w:spacing w:after="120"/>
        <w:ind w:left="1430" w:right="260" w:hanging="550"/>
        <w:jc w:val="both"/>
        <w:rPr>
          <w:color w:val="auto"/>
          <w:sz w:val="22"/>
          <w:szCs w:val="22"/>
        </w:rPr>
      </w:pPr>
      <w:r w:rsidRPr="00F3773F">
        <w:rPr>
          <w:color w:val="auto"/>
          <w:sz w:val="22"/>
          <w:szCs w:val="22"/>
        </w:rPr>
        <w:t>9.2</w:t>
      </w:r>
      <w:r w:rsidRPr="00F3773F">
        <w:rPr>
          <w:color w:val="auto"/>
          <w:sz w:val="22"/>
          <w:szCs w:val="22"/>
        </w:rPr>
        <w:tab/>
        <w:t>Demonstrate their ability to make basic ideas understandable in their writing;</w:t>
      </w:r>
    </w:p>
    <w:p w:rsidR="00F3773F" w:rsidRPr="00F3773F" w:rsidRDefault="00F3773F" w:rsidP="00F3773F">
      <w:pPr>
        <w:pStyle w:val="Default"/>
        <w:spacing w:after="120"/>
        <w:ind w:left="1430" w:right="260" w:hanging="550"/>
        <w:jc w:val="both"/>
        <w:rPr>
          <w:color w:val="auto"/>
          <w:sz w:val="22"/>
          <w:szCs w:val="22"/>
        </w:rPr>
      </w:pPr>
      <w:r w:rsidRPr="00F3773F">
        <w:rPr>
          <w:color w:val="auto"/>
          <w:sz w:val="22"/>
          <w:szCs w:val="22"/>
        </w:rPr>
        <w:t>9.3</w:t>
      </w:r>
      <w:r w:rsidRPr="00F3773F">
        <w:rPr>
          <w:color w:val="auto"/>
          <w:sz w:val="22"/>
          <w:szCs w:val="22"/>
        </w:rPr>
        <w:tab/>
        <w:t>Demonstrate their ability to make basic ideas clearly understandable in their public speaking;</w:t>
      </w:r>
    </w:p>
    <w:p w:rsidR="00154D48" w:rsidRDefault="00F3773F" w:rsidP="00F3773F">
      <w:pPr>
        <w:pStyle w:val="Default"/>
        <w:spacing w:after="120"/>
        <w:ind w:left="1430" w:right="260" w:hanging="550"/>
        <w:jc w:val="both"/>
        <w:rPr>
          <w:color w:val="auto"/>
          <w:sz w:val="22"/>
          <w:szCs w:val="22"/>
        </w:rPr>
      </w:pPr>
      <w:r w:rsidRPr="00F3773F">
        <w:rPr>
          <w:color w:val="auto"/>
          <w:sz w:val="22"/>
          <w:szCs w:val="22"/>
        </w:rPr>
        <w:t>9.4</w:t>
      </w:r>
      <w:r w:rsidRPr="00F3773F">
        <w:rPr>
          <w:color w:val="auto"/>
          <w:sz w:val="22"/>
          <w:szCs w:val="22"/>
        </w:rPr>
        <w:tab/>
        <w:t>Demonstrate their ability to work autonomously and to take responsibility for their learning.</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F3773F" w:rsidRPr="00F3773F" w:rsidRDefault="00F3773F" w:rsidP="00F3773F">
      <w:pPr>
        <w:spacing w:after="120" w:line="240" w:lineRule="auto"/>
        <w:ind w:left="567" w:right="260"/>
        <w:jc w:val="both"/>
        <w:rPr>
          <w:rFonts w:ascii="Arial" w:hAnsi="Arial" w:cs="Arial"/>
          <w:iCs/>
        </w:rPr>
      </w:pPr>
      <w:r w:rsidRPr="00F3773F">
        <w:rPr>
          <w:rFonts w:ascii="Arial" w:hAnsi="Arial" w:cs="Arial"/>
          <w:iCs/>
        </w:rPr>
        <w:lastRenderedPageBreak/>
        <w:t>What do philosophers do?  How do they think?  What do they typically think about?  How do philosophers write?  What sorts of writing are acceptable in philosophy?  How should you write?  How should philosophy best be read in order to be understood and assessed?’</w:t>
      </w:r>
    </w:p>
    <w:p w:rsidR="00154D48" w:rsidRPr="00154D48" w:rsidRDefault="00F3773F" w:rsidP="00F3773F">
      <w:pPr>
        <w:spacing w:after="120" w:line="240" w:lineRule="auto"/>
        <w:ind w:left="567" w:right="260"/>
        <w:jc w:val="both"/>
        <w:rPr>
          <w:rFonts w:ascii="Arial" w:hAnsi="Arial" w:cs="Arial"/>
          <w:iCs/>
        </w:rPr>
      </w:pPr>
      <w:r w:rsidRPr="00F3773F">
        <w:rPr>
          <w:rFonts w:ascii="Arial" w:hAnsi="Arial" w:cs="Arial"/>
          <w:iCs/>
        </w:rPr>
        <w:t>In this module we will introduce you to some of the most interesting questions in philosophy, both from its history and from current debates.  As we do this we will show you how to think, read and write as a philosopher.</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F3773F" w:rsidRPr="001A11E8" w:rsidRDefault="00F3773F" w:rsidP="00F3773F">
      <w:pPr>
        <w:spacing w:after="120" w:line="240" w:lineRule="auto"/>
        <w:ind w:left="567" w:right="260"/>
        <w:jc w:val="both"/>
        <w:rPr>
          <w:rFonts w:ascii="Arial" w:hAnsi="Arial" w:cs="Arial"/>
        </w:rPr>
      </w:pPr>
      <w:proofErr w:type="spellStart"/>
      <w:r w:rsidRPr="001A11E8">
        <w:rPr>
          <w:rFonts w:ascii="Arial" w:hAnsi="Arial" w:cs="Arial"/>
        </w:rPr>
        <w:t>Martinich</w:t>
      </w:r>
      <w:proofErr w:type="spellEnd"/>
      <w:r>
        <w:rPr>
          <w:rFonts w:ascii="Arial" w:hAnsi="Arial" w:cs="Arial"/>
        </w:rPr>
        <w:t>, A.P.</w:t>
      </w:r>
      <w:r w:rsidRPr="001A11E8">
        <w:rPr>
          <w:rFonts w:ascii="Arial" w:hAnsi="Arial" w:cs="Arial"/>
        </w:rPr>
        <w:t xml:space="preserve"> (2005)</w:t>
      </w:r>
      <w:r>
        <w:rPr>
          <w:rFonts w:ascii="Arial" w:hAnsi="Arial" w:cs="Arial"/>
        </w:rPr>
        <w:t>.</w:t>
      </w:r>
      <w:r w:rsidRPr="001A11E8">
        <w:rPr>
          <w:rFonts w:ascii="Arial" w:hAnsi="Arial" w:cs="Arial"/>
        </w:rPr>
        <w:t xml:space="preserve"> </w:t>
      </w:r>
      <w:r w:rsidRPr="00F3773F">
        <w:rPr>
          <w:rFonts w:ascii="Arial" w:hAnsi="Arial" w:cs="Arial"/>
          <w:i/>
        </w:rPr>
        <w:t>Philosophical Writing: An Introduction</w:t>
      </w:r>
      <w:r w:rsidRPr="001A11E8">
        <w:rPr>
          <w:rFonts w:ascii="Arial" w:hAnsi="Arial" w:cs="Arial"/>
        </w:rPr>
        <w:t xml:space="preserve"> (Oxford: Blackwell)</w:t>
      </w:r>
    </w:p>
    <w:p w:rsidR="00154D48" w:rsidRPr="00154D48" w:rsidRDefault="00F3773F" w:rsidP="00F3773F">
      <w:pPr>
        <w:spacing w:after="120" w:line="240" w:lineRule="auto"/>
        <w:ind w:left="567" w:right="260"/>
        <w:jc w:val="both"/>
        <w:rPr>
          <w:rFonts w:ascii="Arial" w:hAnsi="Arial" w:cs="Arial"/>
        </w:rPr>
      </w:pPr>
      <w:r w:rsidRPr="001A11E8">
        <w:rPr>
          <w:rFonts w:ascii="Arial" w:hAnsi="Arial" w:cs="Arial"/>
        </w:rPr>
        <w:t>Warburton</w:t>
      </w:r>
      <w:r>
        <w:rPr>
          <w:rFonts w:ascii="Arial" w:hAnsi="Arial" w:cs="Arial"/>
        </w:rPr>
        <w:t>, N.</w:t>
      </w:r>
      <w:r w:rsidRPr="001A11E8">
        <w:rPr>
          <w:rFonts w:ascii="Arial" w:hAnsi="Arial" w:cs="Arial"/>
        </w:rPr>
        <w:t xml:space="preserve"> (2004)</w:t>
      </w:r>
      <w:r>
        <w:rPr>
          <w:rFonts w:ascii="Arial" w:hAnsi="Arial" w:cs="Arial"/>
        </w:rPr>
        <w:t>.</w:t>
      </w:r>
      <w:r w:rsidRPr="001A11E8">
        <w:rPr>
          <w:rFonts w:ascii="Arial" w:hAnsi="Arial" w:cs="Arial"/>
        </w:rPr>
        <w:t xml:space="preserve"> </w:t>
      </w:r>
      <w:r w:rsidRPr="00F3773F">
        <w:rPr>
          <w:rFonts w:ascii="Arial" w:hAnsi="Arial" w:cs="Arial"/>
          <w:i/>
        </w:rPr>
        <w:t xml:space="preserve">Philosophy: </w:t>
      </w:r>
      <w:r>
        <w:rPr>
          <w:rFonts w:ascii="Arial" w:hAnsi="Arial" w:cs="Arial"/>
          <w:i/>
        </w:rPr>
        <w:t>T</w:t>
      </w:r>
      <w:r w:rsidRPr="00F3773F">
        <w:rPr>
          <w:rFonts w:ascii="Arial" w:hAnsi="Arial" w:cs="Arial"/>
          <w:i/>
        </w:rPr>
        <w:t>he Essential Study Guide</w:t>
      </w:r>
      <w:r w:rsidRPr="001A11E8">
        <w:rPr>
          <w:rFonts w:ascii="Arial" w:hAnsi="Arial" w:cs="Arial"/>
        </w:rPr>
        <w:t xml:space="preserve"> (London: Routledge)</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F3773F">
        <w:rPr>
          <w:rFonts w:ascii="Arial" w:hAnsi="Arial" w:cs="Arial"/>
          <w:iCs/>
        </w:rPr>
        <w:t>20</w:t>
      </w:r>
    </w:p>
    <w:p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F3773F">
        <w:rPr>
          <w:rFonts w:ascii="Arial" w:hAnsi="Arial" w:cs="Arial"/>
          <w:iCs/>
        </w:rPr>
        <w:t>130</w:t>
      </w:r>
    </w:p>
    <w:p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F3773F">
        <w:rPr>
          <w:rFonts w:ascii="Arial" w:hAnsi="Arial" w:cs="Arial"/>
          <w:iCs/>
        </w:rPr>
        <w:t>150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F3773F" w:rsidRDefault="00F3773F" w:rsidP="00F3773F">
      <w:pPr>
        <w:pStyle w:val="ListParagraph"/>
        <w:numPr>
          <w:ilvl w:val="0"/>
          <w:numId w:val="11"/>
        </w:numPr>
        <w:spacing w:after="120"/>
        <w:ind w:right="260"/>
        <w:contextualSpacing w:val="0"/>
        <w:rPr>
          <w:rFonts w:ascii="Arial" w:hAnsi="Arial" w:cs="Arial"/>
          <w:iCs/>
        </w:rPr>
      </w:pPr>
      <w:r>
        <w:rPr>
          <w:rFonts w:ascii="Arial" w:hAnsi="Arial" w:cs="Arial"/>
          <w:iCs/>
        </w:rPr>
        <w:t>Paraphrase Exercise (500 words) – 30%</w:t>
      </w:r>
    </w:p>
    <w:p w:rsidR="00F3773F" w:rsidRDefault="00F3773F" w:rsidP="00F3773F">
      <w:pPr>
        <w:pStyle w:val="ListParagraph"/>
        <w:numPr>
          <w:ilvl w:val="0"/>
          <w:numId w:val="11"/>
        </w:numPr>
        <w:spacing w:after="120"/>
        <w:ind w:right="260"/>
        <w:contextualSpacing w:val="0"/>
        <w:rPr>
          <w:rFonts w:ascii="Arial" w:hAnsi="Arial" w:cs="Arial"/>
          <w:iCs/>
        </w:rPr>
      </w:pPr>
      <w:r>
        <w:rPr>
          <w:rFonts w:ascii="Arial" w:hAnsi="Arial" w:cs="Arial"/>
          <w:iCs/>
        </w:rPr>
        <w:t>Essay (1,200 words) – 30%</w:t>
      </w:r>
    </w:p>
    <w:p w:rsidR="00F3773F" w:rsidRDefault="00F3773F" w:rsidP="00F3773F">
      <w:pPr>
        <w:pStyle w:val="ListParagraph"/>
        <w:numPr>
          <w:ilvl w:val="0"/>
          <w:numId w:val="11"/>
        </w:numPr>
        <w:spacing w:after="120"/>
        <w:ind w:right="260"/>
        <w:contextualSpacing w:val="0"/>
        <w:rPr>
          <w:rFonts w:ascii="Arial" w:hAnsi="Arial" w:cs="Arial"/>
          <w:iCs/>
        </w:rPr>
      </w:pPr>
      <w:r>
        <w:rPr>
          <w:rFonts w:ascii="Arial" w:hAnsi="Arial" w:cs="Arial"/>
          <w:iCs/>
        </w:rPr>
        <w:t>Public Philosophy Assignment (750 words) – 30%</w:t>
      </w:r>
    </w:p>
    <w:p w:rsidR="00154D48" w:rsidRPr="00D21873" w:rsidRDefault="00F3773F" w:rsidP="00F3773F">
      <w:pPr>
        <w:pStyle w:val="ListParagraph"/>
        <w:numPr>
          <w:ilvl w:val="0"/>
          <w:numId w:val="10"/>
        </w:numPr>
        <w:spacing w:after="120" w:line="240" w:lineRule="auto"/>
        <w:ind w:right="260"/>
        <w:rPr>
          <w:rFonts w:ascii="Arial" w:hAnsi="Arial" w:cs="Arial"/>
          <w:iCs/>
        </w:rPr>
      </w:pPr>
      <w:r>
        <w:rPr>
          <w:rFonts w:ascii="Arial" w:hAnsi="Arial" w:cs="Arial"/>
          <w:iCs/>
        </w:rPr>
        <w:t>Seminar Participation – 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F3773F">
        <w:rPr>
          <w:rFonts w:ascii="Arial" w:hAnsi="Arial" w:cs="Arial"/>
          <w:iCs/>
        </w:rPr>
        <w:t xml:space="preserve"> 100% Coursework</w:t>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797" w:type="dxa"/>
        <w:tblInd w:w="562" w:type="dxa"/>
        <w:tblLayout w:type="fixed"/>
        <w:tblLook w:val="04A0" w:firstRow="1" w:lastRow="0" w:firstColumn="1" w:lastColumn="0" w:noHBand="0" w:noVBand="1"/>
      </w:tblPr>
      <w:tblGrid>
        <w:gridCol w:w="3261"/>
        <w:gridCol w:w="567"/>
        <w:gridCol w:w="567"/>
        <w:gridCol w:w="567"/>
        <w:gridCol w:w="567"/>
        <w:gridCol w:w="567"/>
        <w:gridCol w:w="567"/>
        <w:gridCol w:w="567"/>
        <w:gridCol w:w="567"/>
      </w:tblGrid>
      <w:tr w:rsidR="00F3773F" w:rsidRPr="00302082" w:rsidTr="00A25D4A">
        <w:tc>
          <w:tcPr>
            <w:tcW w:w="3261" w:type="dxa"/>
            <w:shd w:val="clear" w:color="auto" w:fill="D9D9D9" w:themeFill="background1" w:themeFillShade="D9"/>
          </w:tcPr>
          <w:p w:rsidR="00F3773F" w:rsidRPr="00302082" w:rsidRDefault="00F3773F" w:rsidP="00A25D4A">
            <w:pPr>
              <w:spacing w:after="120"/>
              <w:rPr>
                <w:rFonts w:ascii="Arial" w:hAnsi="Arial" w:cs="Arial"/>
                <w:i/>
              </w:rPr>
            </w:pPr>
            <w:r w:rsidRPr="00302082">
              <w:rPr>
                <w:rFonts w:ascii="Arial" w:hAnsi="Arial" w:cs="Arial"/>
                <w:b/>
              </w:rPr>
              <w:t>Module learning outcome</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8.1</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8.2</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8.3</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8.4</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9.1</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9.2</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9.3</w:t>
            </w:r>
          </w:p>
        </w:tc>
        <w:tc>
          <w:tcPr>
            <w:tcW w:w="567" w:type="dxa"/>
          </w:tcPr>
          <w:p w:rsidR="00F3773F" w:rsidRPr="00302082" w:rsidRDefault="00F3773F" w:rsidP="00A25D4A">
            <w:pPr>
              <w:spacing w:after="120"/>
              <w:rPr>
                <w:rFonts w:ascii="Arial" w:hAnsi="Arial" w:cs="Arial"/>
                <w:i/>
              </w:rPr>
            </w:pPr>
            <w:r w:rsidRPr="00302082">
              <w:rPr>
                <w:rFonts w:ascii="Arial" w:hAnsi="Arial" w:cs="Arial"/>
                <w:i/>
              </w:rPr>
              <w:t>9.4</w:t>
            </w:r>
          </w:p>
        </w:tc>
      </w:tr>
      <w:tr w:rsidR="00F3773F" w:rsidRPr="00302082" w:rsidTr="00A25D4A">
        <w:tc>
          <w:tcPr>
            <w:tcW w:w="3261" w:type="dxa"/>
            <w:shd w:val="clear" w:color="auto" w:fill="D9D9D9" w:themeFill="background1" w:themeFillShade="D9"/>
          </w:tcPr>
          <w:p w:rsidR="00F3773F" w:rsidRPr="00302082" w:rsidRDefault="00F3773F" w:rsidP="00A25D4A">
            <w:pPr>
              <w:spacing w:after="120"/>
              <w:rPr>
                <w:rFonts w:ascii="Arial" w:hAnsi="Arial" w:cs="Arial"/>
                <w:b/>
              </w:rPr>
            </w:pPr>
            <w:r w:rsidRPr="00302082">
              <w:rPr>
                <w:rFonts w:ascii="Arial" w:hAnsi="Arial" w:cs="Arial"/>
                <w:b/>
              </w:rPr>
              <w:t>Learning/ teaching method</w:t>
            </w: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c>
          <w:tcPr>
            <w:tcW w:w="567" w:type="dxa"/>
          </w:tcPr>
          <w:p w:rsidR="00F3773F" w:rsidRPr="00302082" w:rsidRDefault="00F3773F" w:rsidP="00A25D4A">
            <w:pPr>
              <w:spacing w:after="120"/>
              <w:rPr>
                <w:rFonts w:ascii="Arial" w:hAnsi="Arial" w:cs="Arial"/>
                <w:b/>
              </w:rPr>
            </w:pPr>
          </w:p>
        </w:tc>
      </w:tr>
      <w:tr w:rsidR="00F3773F" w:rsidRPr="00302082" w:rsidTr="00A25D4A">
        <w:tc>
          <w:tcPr>
            <w:tcW w:w="3261" w:type="dxa"/>
            <w:vAlign w:val="center"/>
          </w:tcPr>
          <w:p w:rsidR="00F3773F" w:rsidRPr="00606F6C" w:rsidRDefault="00F3773F" w:rsidP="00A25D4A">
            <w:pPr>
              <w:spacing w:after="120"/>
              <w:rPr>
                <w:rFonts w:ascii="Arial" w:hAnsi="Arial" w:cs="Arial"/>
              </w:rPr>
            </w:pPr>
            <w:r w:rsidRPr="00606F6C">
              <w:rPr>
                <w:rFonts w:ascii="Arial" w:hAnsi="Arial" w:cs="Arial"/>
              </w:rPr>
              <w:t>Private Study</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vAlign w:val="center"/>
          </w:tcPr>
          <w:p w:rsidR="00F3773F" w:rsidRPr="00606F6C" w:rsidRDefault="00F3773F" w:rsidP="00A25D4A">
            <w:pPr>
              <w:spacing w:after="120"/>
              <w:rPr>
                <w:rFonts w:ascii="Arial" w:hAnsi="Arial" w:cs="Arial"/>
              </w:rPr>
            </w:pPr>
            <w:r>
              <w:rPr>
                <w:rFonts w:ascii="Arial" w:hAnsi="Arial" w:cs="Arial"/>
              </w:rPr>
              <w:t>Lecture</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vAlign w:val="center"/>
          </w:tcPr>
          <w:p w:rsidR="00F3773F" w:rsidRPr="00606F6C" w:rsidRDefault="00F3773F" w:rsidP="00A25D4A">
            <w:pPr>
              <w:spacing w:after="120"/>
              <w:rPr>
                <w:rFonts w:ascii="Arial" w:hAnsi="Arial" w:cs="Arial"/>
              </w:rPr>
            </w:pPr>
            <w:r>
              <w:rPr>
                <w:rFonts w:ascii="Arial" w:hAnsi="Arial" w:cs="Arial"/>
              </w:rPr>
              <w:t>Seminar</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shd w:val="clear" w:color="auto" w:fill="D9D9D9" w:themeFill="background1" w:themeFillShade="D9"/>
          </w:tcPr>
          <w:p w:rsidR="00F3773F" w:rsidRPr="00302082" w:rsidRDefault="00F3773F" w:rsidP="00A25D4A">
            <w:pPr>
              <w:spacing w:after="120"/>
              <w:rPr>
                <w:rFonts w:ascii="Arial" w:hAnsi="Arial" w:cs="Arial"/>
                <w:b/>
              </w:rPr>
            </w:pPr>
            <w:r w:rsidRPr="00302082">
              <w:rPr>
                <w:rFonts w:ascii="Arial" w:hAnsi="Arial" w:cs="Arial"/>
                <w:b/>
              </w:rPr>
              <w:t>Assessment method</w:t>
            </w: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c>
          <w:tcPr>
            <w:tcW w:w="567" w:type="dxa"/>
          </w:tcPr>
          <w:p w:rsidR="00F3773F" w:rsidRPr="005106AA" w:rsidRDefault="00F3773F" w:rsidP="00A25D4A">
            <w:pPr>
              <w:spacing w:after="120"/>
              <w:rPr>
                <w:rFonts w:ascii="Arial" w:hAnsi="Arial" w:cs="Arial"/>
                <w:b/>
              </w:rPr>
            </w:pPr>
          </w:p>
        </w:tc>
      </w:tr>
      <w:tr w:rsidR="00F3773F" w:rsidRPr="00302082" w:rsidTr="00A25D4A">
        <w:tc>
          <w:tcPr>
            <w:tcW w:w="3261" w:type="dxa"/>
          </w:tcPr>
          <w:p w:rsidR="00F3773F" w:rsidRDefault="00F3773F" w:rsidP="00A25D4A">
            <w:pPr>
              <w:spacing w:after="120"/>
              <w:rPr>
                <w:rFonts w:ascii="Arial" w:hAnsi="Arial" w:cs="Arial"/>
              </w:rPr>
            </w:pPr>
            <w:r>
              <w:rPr>
                <w:rFonts w:ascii="Arial" w:hAnsi="Arial" w:cs="Arial"/>
                <w:iCs/>
              </w:rPr>
              <w:t>Paraphrase Exercise</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tcPr>
          <w:p w:rsidR="00F3773F" w:rsidRPr="00606F6C" w:rsidRDefault="00F3773F" w:rsidP="00A25D4A">
            <w:pPr>
              <w:spacing w:after="120"/>
              <w:rPr>
                <w:rFonts w:ascii="Arial" w:hAnsi="Arial" w:cs="Arial"/>
              </w:rPr>
            </w:pPr>
            <w:r>
              <w:rPr>
                <w:rFonts w:ascii="Arial" w:hAnsi="Arial" w:cs="Arial"/>
                <w:iCs/>
              </w:rPr>
              <w:t>Essay</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tcPr>
          <w:p w:rsidR="00F3773F" w:rsidRPr="00606F6C" w:rsidRDefault="00F3773F" w:rsidP="00A25D4A">
            <w:pPr>
              <w:spacing w:after="120"/>
              <w:rPr>
                <w:rFonts w:ascii="Arial" w:hAnsi="Arial" w:cs="Arial"/>
              </w:rPr>
            </w:pPr>
            <w:r>
              <w:rPr>
                <w:rFonts w:ascii="Arial" w:hAnsi="Arial" w:cs="Arial"/>
                <w:iCs/>
              </w:rPr>
              <w:lastRenderedPageBreak/>
              <w:t>Public Philosophy Assignment</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r w:rsidR="00F3773F" w:rsidRPr="00302082" w:rsidTr="00A25D4A">
        <w:tc>
          <w:tcPr>
            <w:tcW w:w="3261" w:type="dxa"/>
          </w:tcPr>
          <w:p w:rsidR="00F3773F" w:rsidRPr="00606F6C" w:rsidRDefault="00F3773F" w:rsidP="00A25D4A">
            <w:pPr>
              <w:spacing w:after="120"/>
              <w:rPr>
                <w:rFonts w:ascii="Arial" w:hAnsi="Arial" w:cs="Arial"/>
              </w:rPr>
            </w:pPr>
            <w:r w:rsidRPr="003E27E1">
              <w:rPr>
                <w:rFonts w:ascii="Arial" w:hAnsi="Arial" w:cs="Arial"/>
              </w:rPr>
              <w:t>Seminar Participation</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c>
          <w:tcPr>
            <w:tcW w:w="567" w:type="dxa"/>
            <w:vAlign w:val="center"/>
          </w:tcPr>
          <w:p w:rsidR="00F3773F" w:rsidRPr="005106AA" w:rsidRDefault="00F3773F" w:rsidP="00A25D4A">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F3773F"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F3773F"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154D48" w:rsidRPr="00154D48" w:rsidRDefault="00F3773F" w:rsidP="00F3773F">
      <w:pPr>
        <w:spacing w:after="120" w:line="240" w:lineRule="auto"/>
        <w:ind w:left="567" w:right="260"/>
        <w:jc w:val="both"/>
        <w:rPr>
          <w:rFonts w:ascii="Arial" w:hAnsi="Arial" w:cs="Arial"/>
          <w:iCs/>
        </w:rPr>
      </w:pPr>
      <w:r w:rsidRPr="00F3773F">
        <w:rPr>
          <w:rFonts w:ascii="Arial" w:hAnsi="Arial" w:cs="Arial"/>
          <w:iCs/>
        </w:rPr>
        <w:t xml:space="preserve">The subject content of this module is international in character, in that students will study the work of philosophers and practitioners whose work has had truly global influence. The questions and debates the module covers—including the nature of reasoning, rhetoric, and writing for an audience—figure in international as well as local debate, and this is reflected in the material and examples we will examine in lectures and seminar discussion. The public philosophy </w:t>
      </w:r>
      <w:r>
        <w:rPr>
          <w:rFonts w:ascii="Arial" w:hAnsi="Arial" w:cs="Arial"/>
          <w:iCs/>
        </w:rPr>
        <w:t>assignment</w:t>
      </w:r>
      <w:r w:rsidRPr="00F3773F">
        <w:rPr>
          <w:rFonts w:ascii="Arial" w:hAnsi="Arial" w:cs="Arial"/>
          <w:iCs/>
        </w:rPr>
        <w:t>, in particular, aims to make salient the public-facing character of philosophy, which invites reflection on international considerations. Where the module may incorporate reference to the law, international differences in legal theory and practice will offer practical material for evaluation and debate.</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r w:rsidR="00302082" w:rsidRPr="00302082" w:rsidTr="00154D48">
        <w:trPr>
          <w:trHeight w:val="305"/>
        </w:trPr>
        <w:tc>
          <w:tcPr>
            <w:tcW w:w="1526" w:type="dxa"/>
          </w:tcPr>
          <w:p w:rsidR="00422B69" w:rsidRPr="00613708" w:rsidRDefault="00422B69" w:rsidP="00613708">
            <w:pPr>
              <w:spacing w:after="120"/>
              <w:ind w:right="-115"/>
              <w:rPr>
                <w:rFonts w:ascii="Arial" w:hAnsi="Arial" w:cs="Arial"/>
                <w:sz w:val="18"/>
                <w:szCs w:val="18"/>
              </w:rPr>
            </w:pPr>
          </w:p>
        </w:tc>
        <w:tc>
          <w:tcPr>
            <w:tcW w:w="1701" w:type="dxa"/>
          </w:tcPr>
          <w:p w:rsidR="00422B69" w:rsidRPr="00613708" w:rsidRDefault="00422B69" w:rsidP="00613708">
            <w:pPr>
              <w:spacing w:after="120"/>
              <w:rPr>
                <w:rFonts w:ascii="Arial" w:hAnsi="Arial" w:cs="Arial"/>
                <w:sz w:val="18"/>
                <w:szCs w:val="18"/>
              </w:rPr>
            </w:pPr>
          </w:p>
        </w:tc>
        <w:tc>
          <w:tcPr>
            <w:tcW w:w="1871" w:type="dxa"/>
          </w:tcPr>
          <w:p w:rsidR="00422B69" w:rsidRPr="00613708" w:rsidRDefault="00422B69" w:rsidP="00613708">
            <w:pPr>
              <w:spacing w:after="120"/>
              <w:rPr>
                <w:rFonts w:ascii="Arial" w:hAnsi="Arial" w:cs="Arial"/>
                <w:sz w:val="18"/>
                <w:szCs w:val="18"/>
              </w:rPr>
            </w:pPr>
          </w:p>
        </w:tc>
        <w:tc>
          <w:tcPr>
            <w:tcW w:w="2552" w:type="dxa"/>
          </w:tcPr>
          <w:p w:rsidR="00422B69" w:rsidRPr="00613708" w:rsidRDefault="00422B69" w:rsidP="00613708">
            <w:pPr>
              <w:spacing w:after="120"/>
              <w:rPr>
                <w:rFonts w:ascii="Arial" w:hAnsi="Arial" w:cs="Arial"/>
                <w:sz w:val="18"/>
                <w:szCs w:val="18"/>
              </w:rPr>
            </w:pPr>
          </w:p>
        </w:tc>
        <w:tc>
          <w:tcPr>
            <w:tcW w:w="3032" w:type="dxa"/>
          </w:tcPr>
          <w:p w:rsidR="00422B69" w:rsidRPr="00613708" w:rsidRDefault="00422B69" w:rsidP="00613708">
            <w:pPr>
              <w:spacing w:after="120"/>
              <w:rPr>
                <w:rFonts w:ascii="Arial" w:hAnsi="Arial" w:cs="Arial"/>
                <w:sz w:val="18"/>
                <w:szCs w:val="18"/>
              </w:rPr>
            </w:pPr>
          </w:p>
        </w:tc>
      </w:tr>
    </w:tbl>
    <w:p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F3773F" w:rsidRPr="00F74B16" w:rsidTr="00A25D4A">
        <w:trPr>
          <w:trHeight w:val="305"/>
        </w:trPr>
        <w:tc>
          <w:tcPr>
            <w:tcW w:w="10627" w:type="dxa"/>
            <w:vAlign w:val="center"/>
          </w:tcPr>
          <w:p w:rsidR="00F3773F" w:rsidRPr="00F74B16" w:rsidRDefault="00F3773F" w:rsidP="00A25D4A">
            <w:pPr>
              <w:rPr>
                <w:rFonts w:ascii="Arial" w:hAnsi="Arial" w:cs="Arial"/>
                <w:sz w:val="18"/>
                <w:szCs w:val="18"/>
              </w:rPr>
            </w:pPr>
            <w:r w:rsidRPr="00F74B16">
              <w:rPr>
                <w:rFonts w:ascii="Arial" w:hAnsi="Arial" w:cs="Arial"/>
                <w:sz w:val="18"/>
                <w:szCs w:val="18"/>
              </w:rPr>
              <w:t>Revised FSO Jan 2018</w:t>
            </w:r>
          </w:p>
        </w:tc>
      </w:tr>
    </w:tbl>
    <w:p w:rsidR="00F3773F" w:rsidRPr="00302082" w:rsidRDefault="00F3773F" w:rsidP="00302082">
      <w:pPr>
        <w:spacing w:after="120" w:line="240" w:lineRule="auto"/>
        <w:ind w:right="-330"/>
        <w:rPr>
          <w:rFonts w:ascii="Arial" w:hAnsi="Arial" w:cs="Arial"/>
        </w:rPr>
      </w:pPr>
    </w:p>
    <w:sectPr w:rsidR="00F3773F"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F35BF">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35BF">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95515C"/>
    <w:multiLevelType w:val="hybridMultilevel"/>
    <w:tmpl w:val="1B3652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353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35BF"/>
    <w:rsid w:val="00903DF6"/>
    <w:rsid w:val="00921CF6"/>
    <w:rsid w:val="00922E9E"/>
    <w:rsid w:val="00924EF0"/>
    <w:rsid w:val="00934D7B"/>
    <w:rsid w:val="00944B1E"/>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3773F"/>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F377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5005A62C-D543-4F87-9627-36D444EC391F}">
  <ds:schemaRefs>
    <ds:schemaRef ds:uri="http://schemas.openxmlformats.org/officeDocument/2006/bibliography"/>
  </ds:schemaRefs>
</ds:datastoreItem>
</file>

<file path=customXml/itemProps2.xml><?xml version="1.0" encoding="utf-8"?>
<ds:datastoreItem xmlns:ds="http://schemas.openxmlformats.org/officeDocument/2006/customXml" ds:itemID="{3F135ACB-AAFD-4479-9F32-4B8EF369ED37}"/>
</file>

<file path=customXml/itemProps3.xml><?xml version="1.0" encoding="utf-8"?>
<ds:datastoreItem xmlns:ds="http://schemas.openxmlformats.org/officeDocument/2006/customXml" ds:itemID="{33042024-27FE-4750-8738-D9AF3318FC3C}"/>
</file>

<file path=customXml/itemProps4.xml><?xml version="1.0" encoding="utf-8"?>
<ds:datastoreItem xmlns:ds="http://schemas.openxmlformats.org/officeDocument/2006/customXml" ds:itemID="{F634E501-0B7C-4844-9AD4-293A6CC61880}"/>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4208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P.Z.Howell</cp:lastModifiedBy>
  <cp:revision>2</cp:revision>
  <cp:lastPrinted>2015-09-09T08:37:00Z</cp:lastPrinted>
  <dcterms:created xsi:type="dcterms:W3CDTF">2018-12-03T14:56:00Z</dcterms:created>
  <dcterms:modified xsi:type="dcterms:W3CDTF">2018-12-03T14:56:00Z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