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lastRenderedPageBreak/>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2C26D-7971-483D-BD48-6494A9D45665}"/>
</file>

<file path=customXml/itemProps2.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2021-09-23T14:01:00Z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e08e6f04-c3b4-4f45-a110-43b6b10c189a</vt:lpwstr>
  </property>
</Properties>
</file>