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EC44" w14:textId="77777777" w:rsidR="009A2D37" w:rsidRPr="00DE4687" w:rsidRDefault="009A2D37" w:rsidP="00696FF5">
      <w:pPr>
        <w:numPr>
          <w:ilvl w:val="0"/>
          <w:numId w:val="1"/>
        </w:numPr>
        <w:spacing w:after="120" w:line="240" w:lineRule="auto"/>
        <w:ind w:left="567" w:right="260" w:hanging="567"/>
        <w:jc w:val="both"/>
        <w:rPr>
          <w:rFonts w:ascii="Arial" w:hAnsi="Arial" w:cs="Arial"/>
          <w:b/>
        </w:rPr>
      </w:pPr>
      <w:r w:rsidRPr="00DE4687">
        <w:rPr>
          <w:rFonts w:ascii="Arial" w:hAnsi="Arial" w:cs="Arial"/>
          <w:b/>
        </w:rPr>
        <w:t>Title of the module</w:t>
      </w:r>
    </w:p>
    <w:p w14:paraId="6BC4CB69" w14:textId="77777777" w:rsidR="0083074C" w:rsidRPr="00FE3605" w:rsidRDefault="00FE3605" w:rsidP="00FE3605">
      <w:pPr>
        <w:spacing w:after="120" w:line="240" w:lineRule="auto"/>
        <w:ind w:left="567" w:right="260"/>
        <w:jc w:val="both"/>
        <w:rPr>
          <w:rFonts w:ascii="Arial" w:hAnsi="Arial" w:cs="Arial"/>
        </w:rPr>
      </w:pPr>
      <w:r w:rsidRPr="00DE4687">
        <w:rPr>
          <w:rFonts w:ascii="Arial" w:hAnsi="Arial" w:cs="Arial"/>
        </w:rPr>
        <w:t>LAWS9881</w:t>
      </w:r>
      <w:r w:rsidRPr="00FE3605">
        <w:rPr>
          <w:rFonts w:ascii="Arial" w:hAnsi="Arial" w:cs="Arial"/>
        </w:rPr>
        <w:t xml:space="preserve"> (LW9881) - Fundamentals of Dissertation and Research in Law</w:t>
      </w:r>
    </w:p>
    <w:p w14:paraId="77BC6BC2" w14:textId="77777777" w:rsidR="009A2D37" w:rsidRPr="00302082" w:rsidRDefault="009A2D37" w:rsidP="00302082">
      <w:pPr>
        <w:spacing w:after="120" w:line="240" w:lineRule="auto"/>
        <w:ind w:left="426" w:right="260"/>
        <w:jc w:val="both"/>
        <w:rPr>
          <w:rFonts w:ascii="Arial" w:hAnsi="Arial" w:cs="Arial"/>
        </w:rPr>
      </w:pPr>
    </w:p>
    <w:p w14:paraId="127EF1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B15F171" w14:textId="77777777" w:rsidR="009A2D37" w:rsidRPr="00FE3605" w:rsidRDefault="00FE3605" w:rsidP="00696FF5">
      <w:pPr>
        <w:spacing w:after="120" w:line="240" w:lineRule="auto"/>
        <w:ind w:left="567" w:right="260"/>
        <w:rPr>
          <w:rFonts w:ascii="Arial" w:hAnsi="Arial" w:cs="Arial"/>
          <w:iCs/>
        </w:rPr>
      </w:pPr>
      <w:r w:rsidRPr="00FE3605">
        <w:rPr>
          <w:rFonts w:ascii="Arial" w:hAnsi="Arial" w:cs="Arial"/>
          <w:iCs/>
        </w:rPr>
        <w:t xml:space="preserve">Kent Law School </w:t>
      </w:r>
    </w:p>
    <w:p w14:paraId="03DC4BEE" w14:textId="77777777" w:rsidR="009A2D37" w:rsidRPr="00302082" w:rsidRDefault="009A2D37" w:rsidP="00302082">
      <w:pPr>
        <w:spacing w:after="120" w:line="240" w:lineRule="auto"/>
        <w:ind w:left="426" w:right="260"/>
        <w:rPr>
          <w:rFonts w:ascii="Arial" w:hAnsi="Arial" w:cs="Arial"/>
          <w:i/>
          <w:iCs/>
        </w:rPr>
      </w:pPr>
    </w:p>
    <w:p w14:paraId="35598EB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C44D6E" w14:textId="77777777" w:rsidR="009A2D37" w:rsidRPr="00FE3605" w:rsidRDefault="00FE3605" w:rsidP="00696FF5">
      <w:pPr>
        <w:spacing w:after="120" w:line="240" w:lineRule="auto"/>
        <w:ind w:left="567" w:right="260"/>
        <w:jc w:val="both"/>
        <w:rPr>
          <w:rFonts w:ascii="Arial" w:hAnsi="Arial" w:cs="Arial"/>
        </w:rPr>
      </w:pPr>
      <w:r w:rsidRPr="00FE3605">
        <w:rPr>
          <w:rFonts w:ascii="Arial" w:hAnsi="Arial" w:cs="Arial"/>
        </w:rPr>
        <w:t>Level 7</w:t>
      </w:r>
    </w:p>
    <w:p w14:paraId="50DB5E16" w14:textId="77777777" w:rsidR="009A2D37" w:rsidRPr="00302082" w:rsidRDefault="009A2D37" w:rsidP="00302082">
      <w:pPr>
        <w:spacing w:after="120" w:line="240" w:lineRule="auto"/>
        <w:ind w:left="426" w:right="260"/>
        <w:rPr>
          <w:rFonts w:ascii="Arial" w:hAnsi="Arial" w:cs="Arial"/>
          <w:i/>
          <w:iCs/>
        </w:rPr>
      </w:pPr>
    </w:p>
    <w:p w14:paraId="0AB545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422686" w14:textId="77777777" w:rsidR="009A2D37" w:rsidRPr="00FE3605" w:rsidRDefault="00FE3605" w:rsidP="00696FF5">
      <w:pPr>
        <w:pStyle w:val="NormalWeb"/>
        <w:spacing w:before="0" w:beforeAutospacing="0" w:after="120" w:afterAutospacing="0"/>
        <w:ind w:left="567" w:right="260"/>
        <w:rPr>
          <w:rFonts w:ascii="Arial" w:hAnsi="Arial" w:cs="Arial"/>
          <w:sz w:val="22"/>
          <w:szCs w:val="22"/>
        </w:rPr>
      </w:pPr>
      <w:r w:rsidRPr="00FE3605">
        <w:rPr>
          <w:rFonts w:ascii="Arial" w:hAnsi="Arial" w:cs="Arial"/>
          <w:sz w:val="22"/>
          <w:szCs w:val="22"/>
        </w:rPr>
        <w:t>4</w:t>
      </w:r>
      <w:r w:rsidR="009A2D37" w:rsidRPr="00FE3605">
        <w:rPr>
          <w:rFonts w:ascii="Arial" w:hAnsi="Arial" w:cs="Arial"/>
          <w:sz w:val="22"/>
          <w:szCs w:val="22"/>
        </w:rPr>
        <w:t xml:space="preserve"> credits (</w:t>
      </w:r>
      <w:r w:rsidRPr="00FE3605">
        <w:rPr>
          <w:rFonts w:ascii="Arial" w:hAnsi="Arial" w:cs="Arial"/>
          <w:sz w:val="22"/>
          <w:szCs w:val="22"/>
        </w:rPr>
        <w:t>2</w:t>
      </w:r>
      <w:r w:rsidR="009A2D37" w:rsidRPr="00FE3605">
        <w:rPr>
          <w:rFonts w:ascii="Arial" w:hAnsi="Arial" w:cs="Arial"/>
          <w:sz w:val="22"/>
          <w:szCs w:val="22"/>
        </w:rPr>
        <w:t xml:space="preserve"> ECTS)</w:t>
      </w:r>
      <w:r w:rsidRPr="00FE3605">
        <w:rPr>
          <w:rFonts w:ascii="Arial" w:hAnsi="Arial" w:cs="Arial"/>
          <w:sz w:val="22"/>
          <w:szCs w:val="22"/>
        </w:rPr>
        <w:t xml:space="preserve"> – non-contributory </w:t>
      </w:r>
    </w:p>
    <w:p w14:paraId="6FCCD6F7" w14:textId="77777777" w:rsidR="009A2D37" w:rsidRPr="00302082" w:rsidRDefault="009A2D37" w:rsidP="00302082">
      <w:pPr>
        <w:spacing w:after="120" w:line="240" w:lineRule="auto"/>
        <w:ind w:left="426" w:right="260"/>
        <w:rPr>
          <w:rFonts w:ascii="Arial" w:hAnsi="Arial" w:cs="Arial"/>
          <w:i/>
        </w:rPr>
      </w:pPr>
    </w:p>
    <w:p w14:paraId="205FBE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15C5C8" w14:textId="77777777" w:rsidR="009A2D37" w:rsidRPr="00FE3605" w:rsidRDefault="009A2D37" w:rsidP="00696FF5">
      <w:pPr>
        <w:spacing w:after="120" w:line="240" w:lineRule="auto"/>
        <w:ind w:left="567" w:right="260"/>
        <w:jc w:val="both"/>
        <w:rPr>
          <w:rFonts w:ascii="Arial" w:hAnsi="Arial" w:cs="Arial"/>
          <w:iCs/>
        </w:rPr>
      </w:pPr>
      <w:r w:rsidRPr="00FE3605">
        <w:rPr>
          <w:rFonts w:ascii="Arial" w:hAnsi="Arial" w:cs="Arial"/>
          <w:iCs/>
        </w:rPr>
        <w:t>Autumn or Spring</w:t>
      </w:r>
    </w:p>
    <w:p w14:paraId="225149A6" w14:textId="77777777" w:rsidR="009A2D37" w:rsidRPr="00302082" w:rsidRDefault="009A2D37" w:rsidP="00302082">
      <w:pPr>
        <w:spacing w:after="120" w:line="240" w:lineRule="auto"/>
        <w:ind w:left="426" w:right="260"/>
        <w:rPr>
          <w:rFonts w:ascii="Arial" w:hAnsi="Arial" w:cs="Arial"/>
          <w:i/>
          <w:iCs/>
        </w:rPr>
      </w:pPr>
    </w:p>
    <w:p w14:paraId="23831D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0CBA4F" w14:textId="77777777" w:rsidR="009A2D37" w:rsidRDefault="00FE3605" w:rsidP="00FE3605">
      <w:pPr>
        <w:spacing w:after="120" w:line="240" w:lineRule="auto"/>
        <w:ind w:left="567" w:right="260"/>
        <w:rPr>
          <w:rFonts w:ascii="Arial" w:hAnsi="Arial" w:cs="Arial"/>
          <w:iCs/>
        </w:rPr>
      </w:pPr>
      <w:r w:rsidRPr="00FE3605">
        <w:rPr>
          <w:rFonts w:ascii="Arial" w:hAnsi="Arial" w:cs="Arial"/>
          <w:iCs/>
        </w:rPr>
        <w:t xml:space="preserve">Co-requisite: </w:t>
      </w:r>
      <w:r w:rsidRPr="00DE4687">
        <w:rPr>
          <w:rFonts w:ascii="Arial" w:hAnsi="Arial" w:cs="Arial"/>
          <w:iCs/>
        </w:rPr>
        <w:t>LAWS9880</w:t>
      </w:r>
      <w:r w:rsidRPr="00FE3605">
        <w:rPr>
          <w:rFonts w:ascii="Arial" w:hAnsi="Arial" w:cs="Arial"/>
          <w:iCs/>
        </w:rPr>
        <w:t xml:space="preserve"> Dissertation in Law (Brussels)</w:t>
      </w:r>
    </w:p>
    <w:p w14:paraId="1B544F21" w14:textId="77777777" w:rsidR="00FE3605" w:rsidRPr="00FE3605" w:rsidRDefault="00FE3605" w:rsidP="00FE3605">
      <w:pPr>
        <w:spacing w:after="120" w:line="240" w:lineRule="auto"/>
        <w:ind w:left="567" w:right="260"/>
        <w:rPr>
          <w:rFonts w:ascii="Arial" w:hAnsi="Arial" w:cs="Arial"/>
          <w:iCs/>
        </w:rPr>
      </w:pPr>
    </w:p>
    <w:p w14:paraId="0C6C64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4B0ABA" w14:textId="10657286" w:rsidR="009A2D37" w:rsidRPr="00FE3605" w:rsidRDefault="00B47397" w:rsidP="00FE3605">
      <w:pPr>
        <w:spacing w:after="120" w:line="240" w:lineRule="auto"/>
        <w:ind w:left="567" w:right="260"/>
        <w:rPr>
          <w:rFonts w:ascii="Arial" w:hAnsi="Arial" w:cs="Arial"/>
          <w:iCs/>
        </w:rPr>
      </w:pPr>
      <w:r>
        <w:rPr>
          <w:rFonts w:ascii="Arial" w:hAnsi="Arial" w:cs="Arial"/>
          <w:iCs/>
        </w:rPr>
        <w:t xml:space="preserve">Compulsory to the </w:t>
      </w:r>
      <w:r w:rsidR="00FE3605" w:rsidRPr="00FE3605">
        <w:rPr>
          <w:rFonts w:ascii="Arial" w:hAnsi="Arial" w:cs="Arial"/>
          <w:iCs/>
        </w:rPr>
        <w:t>LLM Specialisation (Brussels)</w:t>
      </w:r>
    </w:p>
    <w:p w14:paraId="1AE76441" w14:textId="77777777" w:rsidR="00FE3605" w:rsidRPr="00302082" w:rsidRDefault="00FE3605" w:rsidP="00302082">
      <w:pPr>
        <w:spacing w:after="120" w:line="240" w:lineRule="auto"/>
        <w:ind w:left="426" w:right="260"/>
        <w:rPr>
          <w:rFonts w:ascii="Arial" w:hAnsi="Arial" w:cs="Arial"/>
          <w:i/>
          <w:iCs/>
        </w:rPr>
      </w:pPr>
    </w:p>
    <w:p w14:paraId="39FDCD8E" w14:textId="6A7184B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C3A66A" w14:textId="77777777" w:rsidR="00FE3605" w:rsidRPr="00FE3605" w:rsidRDefault="00FE3605" w:rsidP="00831639">
      <w:pPr>
        <w:pStyle w:val="ListParagraph"/>
        <w:numPr>
          <w:ilvl w:val="0"/>
          <w:numId w:val="10"/>
        </w:numPr>
        <w:spacing w:after="120" w:line="240" w:lineRule="auto"/>
        <w:ind w:right="260"/>
        <w:jc w:val="both"/>
        <w:rPr>
          <w:rFonts w:ascii="Arial" w:hAnsi="Arial" w:cs="Arial"/>
        </w:rPr>
      </w:pPr>
      <w:r w:rsidRPr="00FE3605">
        <w:rPr>
          <w:rFonts w:ascii="Arial" w:hAnsi="Arial" w:cs="Arial"/>
        </w:rPr>
        <w:t>Conceptualise a question for investigation, and to design the appropriate research methodology.</w:t>
      </w:r>
    </w:p>
    <w:p w14:paraId="64D40493" w14:textId="77777777" w:rsidR="00FE3605" w:rsidRPr="00FE3605" w:rsidRDefault="00FE3605" w:rsidP="00831639">
      <w:pPr>
        <w:pStyle w:val="ListParagraph"/>
        <w:numPr>
          <w:ilvl w:val="0"/>
          <w:numId w:val="10"/>
        </w:numPr>
        <w:spacing w:after="120" w:line="240" w:lineRule="auto"/>
        <w:ind w:right="260"/>
        <w:jc w:val="both"/>
        <w:rPr>
          <w:rFonts w:ascii="Arial" w:hAnsi="Arial" w:cs="Arial"/>
        </w:rPr>
      </w:pPr>
      <w:r w:rsidRPr="00FE3605">
        <w:rPr>
          <w:rFonts w:ascii="Arial" w:hAnsi="Arial" w:cs="Arial"/>
        </w:rPr>
        <w:t>Demonstrate a sophisticated understanding of the relationship between a problem, theoretical approach, research design, and analysis.</w:t>
      </w:r>
    </w:p>
    <w:p w14:paraId="34C073F7" w14:textId="77777777" w:rsidR="00FE3605" w:rsidRPr="00FE3605" w:rsidRDefault="00FE3605" w:rsidP="00831639">
      <w:pPr>
        <w:pStyle w:val="ListParagraph"/>
        <w:numPr>
          <w:ilvl w:val="0"/>
          <w:numId w:val="10"/>
        </w:numPr>
        <w:spacing w:after="120" w:line="240" w:lineRule="auto"/>
        <w:ind w:right="260"/>
        <w:jc w:val="both"/>
        <w:rPr>
          <w:rFonts w:ascii="Arial" w:hAnsi="Arial" w:cs="Arial"/>
        </w:rPr>
      </w:pPr>
      <w:r w:rsidRPr="00FE3605">
        <w:rPr>
          <w:rFonts w:ascii="Arial" w:hAnsi="Arial" w:cs="Arial"/>
        </w:rPr>
        <w:t>Follow logically the research design, overcoming any anticipated and unanticipated problems in the empirical research, realising the successful conclusion of the product in the form of a research paper.</w:t>
      </w:r>
    </w:p>
    <w:p w14:paraId="562D882C" w14:textId="77777777" w:rsidR="00FE3605" w:rsidRPr="00FE3605" w:rsidRDefault="00FE3605" w:rsidP="00831639">
      <w:pPr>
        <w:pStyle w:val="ListParagraph"/>
        <w:numPr>
          <w:ilvl w:val="0"/>
          <w:numId w:val="10"/>
        </w:numPr>
        <w:spacing w:after="120" w:line="240" w:lineRule="auto"/>
        <w:ind w:right="260"/>
        <w:jc w:val="both"/>
        <w:rPr>
          <w:rFonts w:ascii="Arial" w:hAnsi="Arial" w:cs="Arial"/>
        </w:rPr>
      </w:pPr>
      <w:r w:rsidRPr="00FE3605">
        <w:rPr>
          <w:rFonts w:ascii="Arial" w:hAnsi="Arial" w:cs="Arial"/>
        </w:rPr>
        <w:t>Apply theoretical perspectives in law, politics and international relations to case studies.</w:t>
      </w:r>
    </w:p>
    <w:p w14:paraId="2BCDD7BA" w14:textId="77777777" w:rsidR="00FE3605" w:rsidRPr="00302082" w:rsidRDefault="00FE3605" w:rsidP="00FE3605">
      <w:pPr>
        <w:spacing w:after="120" w:line="240" w:lineRule="auto"/>
        <w:ind w:left="567" w:right="260"/>
        <w:rPr>
          <w:rFonts w:ascii="Arial" w:hAnsi="Arial" w:cs="Arial"/>
          <w:i/>
        </w:rPr>
      </w:pPr>
    </w:p>
    <w:p w14:paraId="12D9C8F3" w14:textId="26D3D2CE" w:rsidR="00C729D7" w:rsidRDefault="009A2D37" w:rsidP="00FE360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FEC59A" w14:textId="77777777" w:rsidR="00FE3605" w:rsidRPr="00FE3605"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t>Engage theoretical debates with empirical issues.</w:t>
      </w:r>
    </w:p>
    <w:p w14:paraId="13EF8F0C" w14:textId="77777777" w:rsidR="00FE3605" w:rsidRPr="00FE3605"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t xml:space="preserve">Demonstrate a critical awareness of the ethical, theoretical, and methodological dimensions of the scholarly work done in their discipline in general and in their own work. </w:t>
      </w:r>
    </w:p>
    <w:p w14:paraId="7971E1D6" w14:textId="602FFFCD" w:rsidR="00FE3605" w:rsidRPr="00831639"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t>Undertake an analysis of complex, incomplete or contradictory areas of knowledge and make carefully constructed arguments.</w:t>
      </w:r>
    </w:p>
    <w:p w14:paraId="4C203FF7" w14:textId="77777777" w:rsidR="00FE3605" w:rsidRPr="00FE3605"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t>Demonstrate a level of conceptual understanding that will allow them to critically evaluate research, policies, and practices.</w:t>
      </w:r>
    </w:p>
    <w:p w14:paraId="0C42B988" w14:textId="77777777" w:rsidR="00FE3605" w:rsidRPr="00FE3605"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lastRenderedPageBreak/>
        <w:t>Be reflective and self-critical in their work.</w:t>
      </w:r>
    </w:p>
    <w:p w14:paraId="76D43EDD" w14:textId="77777777" w:rsidR="00FE3605" w:rsidRPr="00FE3605"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t>Use the libraries, the internet, bibliographic search engines, online resources, and effectively conduct complex research.</w:t>
      </w:r>
    </w:p>
    <w:p w14:paraId="477CA7C9" w14:textId="77777777" w:rsidR="009A2D37" w:rsidRDefault="00FE3605" w:rsidP="00831639">
      <w:pPr>
        <w:pStyle w:val="ListParagraph"/>
        <w:numPr>
          <w:ilvl w:val="0"/>
          <w:numId w:val="11"/>
        </w:numPr>
        <w:spacing w:after="120" w:line="240" w:lineRule="auto"/>
        <w:ind w:right="260"/>
        <w:jc w:val="both"/>
        <w:rPr>
          <w:rFonts w:ascii="Arial" w:hAnsi="Arial" w:cs="Arial"/>
        </w:rPr>
      </w:pPr>
      <w:r w:rsidRPr="00FE3605">
        <w:rPr>
          <w:rFonts w:ascii="Arial" w:hAnsi="Arial" w:cs="Arial"/>
        </w:rPr>
        <w:t>Engage in sophisticated academic and professional communication with others.</w:t>
      </w:r>
    </w:p>
    <w:p w14:paraId="143D9B78" w14:textId="77777777" w:rsidR="00FE3605" w:rsidRPr="00FE3605" w:rsidRDefault="00FE3605" w:rsidP="00FE3605">
      <w:pPr>
        <w:pStyle w:val="ListParagraph"/>
        <w:spacing w:after="120" w:line="240" w:lineRule="auto"/>
        <w:ind w:left="927" w:right="260"/>
        <w:rPr>
          <w:rFonts w:ascii="Arial" w:hAnsi="Arial" w:cs="Arial"/>
        </w:rPr>
      </w:pPr>
    </w:p>
    <w:p w14:paraId="1A820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894CDC" w14:textId="77777777" w:rsidR="00FE3605" w:rsidRPr="00FE3605" w:rsidRDefault="00FE3605" w:rsidP="00831639">
      <w:pPr>
        <w:spacing w:after="120"/>
        <w:ind w:left="567" w:right="260"/>
        <w:jc w:val="both"/>
        <w:rPr>
          <w:rFonts w:ascii="Arial" w:hAnsi="Arial" w:cs="Arial"/>
        </w:rPr>
      </w:pPr>
      <w:r w:rsidRPr="00FE3605">
        <w:rPr>
          <w:rFonts w:ascii="Arial" w:hAnsi="Arial" w:cs="Arial"/>
          <w:iCs/>
        </w:rPr>
        <w:t>This module does not form part of the formal 180 credits (for the standard) or 240 credits (for the extended) LLM. Therefore, assessment of this module does not formally ‘count’ for the degree. The module represents extra learning and an opportunity to gain advanced legal research skills, including transferable skills to enhance employability.</w:t>
      </w:r>
      <w:r w:rsidRPr="00FE3605">
        <w:rPr>
          <w:rFonts w:ascii="Arial" w:hAnsi="Arial" w:cs="Arial"/>
        </w:rPr>
        <w:t xml:space="preserve"> The module is built around 12 practical, discussion, and in-class research seminars, delivered weekly over the course of one term.  They cover the ethical, ontological, epistemological, and methodological issues in Law and modes of reasoning (deduction, induction) and levels of analysis (agency, structure, and co-determination).  The module will problematize how these questions are reflected in different subject-specific contexts that represent the main fields of inquiry at BSIS, including legal analysis, political analysis, historical analysis, and economic analysis.  The module also involves practical questions of research and dissertation writing, including the construction of a paper proposal, the Dissertation Proposal, and the Dissertation and research papers themselves, the use of research materials (qualitative and quantitative data) and resources (libraries, documentation, and the internet); and drafting and writing, including the use of appropriate academic style and format.</w:t>
      </w:r>
    </w:p>
    <w:p w14:paraId="50563830" w14:textId="77777777" w:rsidR="009A2D37" w:rsidRPr="00302082" w:rsidRDefault="009A2D37" w:rsidP="00302082">
      <w:pPr>
        <w:spacing w:after="120" w:line="240" w:lineRule="auto"/>
        <w:ind w:left="426" w:right="260"/>
        <w:rPr>
          <w:rFonts w:ascii="Arial" w:hAnsi="Arial" w:cs="Arial"/>
          <w:i/>
          <w:iCs/>
        </w:rPr>
      </w:pPr>
    </w:p>
    <w:p w14:paraId="16B65FFC" w14:textId="514245B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D8CF227" w14:textId="77777777" w:rsidR="008F7C92" w:rsidRPr="008F7C92" w:rsidRDefault="008F7C92" w:rsidP="00831639">
      <w:pPr>
        <w:pStyle w:val="ListParagraph"/>
        <w:numPr>
          <w:ilvl w:val="0"/>
          <w:numId w:val="13"/>
        </w:numPr>
        <w:spacing w:after="120" w:line="240" w:lineRule="auto"/>
        <w:ind w:left="993" w:right="260" w:hanging="426"/>
        <w:jc w:val="both"/>
        <w:rPr>
          <w:rStyle w:val="selectable"/>
          <w:rFonts w:ascii="Arial" w:eastAsia="Times New Roman" w:hAnsi="Arial" w:cs="Arial"/>
          <w:szCs w:val="20"/>
        </w:rPr>
      </w:pPr>
      <w:proofErr w:type="spellStart"/>
      <w:r w:rsidRPr="008F7C92">
        <w:rPr>
          <w:rStyle w:val="selectable"/>
          <w:rFonts w:ascii="Arial" w:eastAsia="Times New Roman" w:hAnsi="Arial" w:cs="Arial"/>
          <w:szCs w:val="20"/>
        </w:rPr>
        <w:t>Béland</w:t>
      </w:r>
      <w:proofErr w:type="spellEnd"/>
      <w:r w:rsidRPr="008F7C92">
        <w:rPr>
          <w:rStyle w:val="selectable"/>
          <w:rFonts w:ascii="Arial" w:eastAsia="Times New Roman" w:hAnsi="Arial" w:cs="Arial"/>
          <w:szCs w:val="20"/>
        </w:rPr>
        <w:t xml:space="preserve">, D. and Cox, R. (2011). </w:t>
      </w:r>
      <w:r w:rsidRPr="008F7C92">
        <w:rPr>
          <w:rStyle w:val="selectable"/>
          <w:rFonts w:ascii="Arial" w:eastAsia="Times New Roman" w:hAnsi="Arial" w:cs="Arial"/>
          <w:i/>
          <w:iCs/>
          <w:szCs w:val="20"/>
        </w:rPr>
        <w:t>Ideas and Politics in Social Science Research</w:t>
      </w:r>
      <w:r w:rsidRPr="008F7C92">
        <w:rPr>
          <w:rStyle w:val="selectable"/>
          <w:rFonts w:ascii="Arial" w:eastAsia="Times New Roman" w:hAnsi="Arial" w:cs="Arial"/>
          <w:szCs w:val="20"/>
        </w:rPr>
        <w:t>. 1</w:t>
      </w:r>
      <w:r w:rsidRPr="008F7C92">
        <w:rPr>
          <w:rStyle w:val="selectable"/>
          <w:rFonts w:ascii="Arial" w:eastAsia="Times New Roman" w:hAnsi="Arial" w:cs="Arial"/>
          <w:szCs w:val="20"/>
          <w:vertAlign w:val="superscript"/>
        </w:rPr>
        <w:t>st</w:t>
      </w:r>
      <w:r w:rsidRPr="008F7C92">
        <w:rPr>
          <w:rStyle w:val="selectable"/>
          <w:rFonts w:ascii="Arial" w:eastAsia="Times New Roman" w:hAnsi="Arial" w:cs="Arial"/>
          <w:szCs w:val="20"/>
        </w:rPr>
        <w:t xml:space="preserve"> ed. Oxford: Oxford University Press.</w:t>
      </w:r>
    </w:p>
    <w:p w14:paraId="5332B76E" w14:textId="77777777" w:rsidR="008F7C92" w:rsidRPr="008F7C92" w:rsidRDefault="008F7C92" w:rsidP="00831639">
      <w:pPr>
        <w:pStyle w:val="ListParagraph"/>
        <w:numPr>
          <w:ilvl w:val="0"/>
          <w:numId w:val="13"/>
        </w:numPr>
        <w:spacing w:after="120" w:line="240" w:lineRule="auto"/>
        <w:ind w:left="993" w:right="260" w:hanging="426"/>
        <w:jc w:val="both"/>
        <w:rPr>
          <w:rStyle w:val="selectable"/>
          <w:rFonts w:ascii="Arial" w:eastAsia="Times New Roman" w:hAnsi="Arial" w:cs="Arial"/>
          <w:szCs w:val="20"/>
        </w:rPr>
      </w:pPr>
      <w:r w:rsidRPr="008F7C92">
        <w:rPr>
          <w:rStyle w:val="selectable"/>
          <w:rFonts w:ascii="Arial" w:eastAsia="Times New Roman" w:hAnsi="Arial" w:cs="Arial"/>
          <w:szCs w:val="20"/>
        </w:rPr>
        <w:t xml:space="preserve">de Vaus, D. (2014). </w:t>
      </w:r>
      <w:r w:rsidRPr="008F7C92">
        <w:rPr>
          <w:rStyle w:val="selectable"/>
          <w:rFonts w:ascii="Arial" w:eastAsia="Times New Roman" w:hAnsi="Arial" w:cs="Arial"/>
          <w:i/>
          <w:iCs/>
          <w:szCs w:val="20"/>
        </w:rPr>
        <w:t>Surveys in Social Research</w:t>
      </w:r>
      <w:r w:rsidRPr="008F7C92">
        <w:rPr>
          <w:rStyle w:val="selectable"/>
          <w:rFonts w:ascii="Arial" w:eastAsia="Times New Roman" w:hAnsi="Arial" w:cs="Arial"/>
          <w:szCs w:val="20"/>
        </w:rPr>
        <w:t>. 1</w:t>
      </w:r>
      <w:r w:rsidRPr="008F7C92">
        <w:rPr>
          <w:rStyle w:val="selectable"/>
          <w:rFonts w:ascii="Arial" w:eastAsia="Times New Roman" w:hAnsi="Arial" w:cs="Arial"/>
          <w:szCs w:val="20"/>
          <w:vertAlign w:val="superscript"/>
        </w:rPr>
        <w:t>st</w:t>
      </w:r>
      <w:r w:rsidRPr="008F7C92">
        <w:rPr>
          <w:rStyle w:val="selectable"/>
          <w:rFonts w:ascii="Arial" w:eastAsia="Times New Roman" w:hAnsi="Arial" w:cs="Arial"/>
          <w:szCs w:val="20"/>
        </w:rPr>
        <w:t xml:space="preserve"> ed. New York: Routledge.</w:t>
      </w:r>
    </w:p>
    <w:p w14:paraId="5BB3DB24" w14:textId="77777777" w:rsidR="008F7C92" w:rsidRPr="008F7C92" w:rsidRDefault="008F7C92" w:rsidP="00831639">
      <w:pPr>
        <w:pStyle w:val="ListParagraph"/>
        <w:numPr>
          <w:ilvl w:val="0"/>
          <w:numId w:val="13"/>
        </w:numPr>
        <w:spacing w:after="120" w:line="240" w:lineRule="auto"/>
        <w:ind w:left="993" w:right="260" w:hanging="426"/>
        <w:jc w:val="both"/>
        <w:rPr>
          <w:rStyle w:val="selectable"/>
          <w:rFonts w:ascii="Arial" w:eastAsia="Times New Roman" w:hAnsi="Arial" w:cs="Arial"/>
          <w:szCs w:val="20"/>
        </w:rPr>
      </w:pPr>
      <w:proofErr w:type="spellStart"/>
      <w:r w:rsidRPr="008F7C92">
        <w:rPr>
          <w:rStyle w:val="selectable"/>
          <w:rFonts w:ascii="Arial" w:eastAsia="Times New Roman" w:hAnsi="Arial" w:cs="Arial"/>
          <w:szCs w:val="20"/>
        </w:rPr>
        <w:t>Husa</w:t>
      </w:r>
      <w:proofErr w:type="spellEnd"/>
      <w:r w:rsidRPr="008F7C92">
        <w:rPr>
          <w:rStyle w:val="selectable"/>
          <w:rFonts w:ascii="Arial" w:eastAsia="Times New Roman" w:hAnsi="Arial" w:cs="Arial"/>
          <w:szCs w:val="20"/>
        </w:rPr>
        <w:t xml:space="preserve">, J. and van </w:t>
      </w:r>
      <w:proofErr w:type="spellStart"/>
      <w:r w:rsidRPr="008F7C92">
        <w:rPr>
          <w:rStyle w:val="selectable"/>
          <w:rFonts w:ascii="Arial" w:eastAsia="Times New Roman" w:hAnsi="Arial" w:cs="Arial"/>
          <w:szCs w:val="20"/>
        </w:rPr>
        <w:t>Hoecke</w:t>
      </w:r>
      <w:proofErr w:type="spellEnd"/>
      <w:r w:rsidRPr="008F7C92">
        <w:rPr>
          <w:rStyle w:val="selectable"/>
          <w:rFonts w:ascii="Arial" w:eastAsia="Times New Roman" w:hAnsi="Arial" w:cs="Arial"/>
          <w:szCs w:val="20"/>
        </w:rPr>
        <w:t xml:space="preserve">, M. (2013). </w:t>
      </w:r>
      <w:r w:rsidRPr="008F7C92">
        <w:rPr>
          <w:rStyle w:val="selectable"/>
          <w:rFonts w:ascii="Arial" w:eastAsia="Times New Roman" w:hAnsi="Arial" w:cs="Arial"/>
          <w:i/>
          <w:szCs w:val="20"/>
        </w:rPr>
        <w:t>Objectivity in Law and Legal Reasoning</w:t>
      </w:r>
      <w:r w:rsidRPr="008F7C92">
        <w:rPr>
          <w:rStyle w:val="selectable"/>
          <w:rFonts w:ascii="Arial" w:eastAsia="Times New Roman" w:hAnsi="Arial" w:cs="Arial"/>
          <w:szCs w:val="20"/>
        </w:rPr>
        <w:t>, Oxford: Hart Publishing.</w:t>
      </w:r>
    </w:p>
    <w:p w14:paraId="1DEAC84D" w14:textId="77777777" w:rsidR="008F7C92" w:rsidRPr="008F7C92" w:rsidRDefault="008F7C92" w:rsidP="00831639">
      <w:pPr>
        <w:pStyle w:val="ListParagraph"/>
        <w:numPr>
          <w:ilvl w:val="0"/>
          <w:numId w:val="13"/>
        </w:numPr>
        <w:spacing w:after="120" w:line="240" w:lineRule="auto"/>
        <w:ind w:left="993" w:right="260" w:hanging="426"/>
        <w:jc w:val="both"/>
        <w:rPr>
          <w:rStyle w:val="selectable"/>
          <w:rFonts w:ascii="Arial" w:eastAsia="Times New Roman" w:hAnsi="Arial" w:cs="Arial"/>
          <w:szCs w:val="20"/>
        </w:rPr>
      </w:pPr>
      <w:r w:rsidRPr="008F7C92">
        <w:rPr>
          <w:rStyle w:val="selectable"/>
          <w:rFonts w:ascii="Arial" w:eastAsia="Times New Roman" w:hAnsi="Arial" w:cs="Arial"/>
          <w:szCs w:val="20"/>
        </w:rPr>
        <w:t xml:space="preserve">Johnstone, I. (2011). </w:t>
      </w:r>
      <w:r w:rsidRPr="008F7C92">
        <w:rPr>
          <w:rStyle w:val="selectable"/>
          <w:rFonts w:ascii="Arial" w:eastAsia="Times New Roman" w:hAnsi="Arial" w:cs="Arial"/>
          <w:i/>
          <w:szCs w:val="20"/>
        </w:rPr>
        <w:t>The Power of Deliberation: International Law, Politics and Organizations</w:t>
      </w:r>
      <w:r w:rsidRPr="008F7C92">
        <w:rPr>
          <w:rStyle w:val="selectable"/>
          <w:rFonts w:ascii="Arial" w:eastAsia="Times New Roman" w:hAnsi="Arial" w:cs="Arial"/>
          <w:szCs w:val="20"/>
        </w:rPr>
        <w:t>, Oxford: Oxford University Press.</w:t>
      </w:r>
    </w:p>
    <w:p w14:paraId="5312EBBE" w14:textId="77777777" w:rsidR="008F7C92" w:rsidRPr="008F7C92" w:rsidRDefault="008F7C92" w:rsidP="00831639">
      <w:pPr>
        <w:pStyle w:val="ListParagraph"/>
        <w:numPr>
          <w:ilvl w:val="0"/>
          <w:numId w:val="13"/>
        </w:numPr>
        <w:ind w:left="993" w:right="260" w:hanging="426"/>
        <w:jc w:val="both"/>
        <w:rPr>
          <w:rFonts w:ascii="Arial" w:hAnsi="Arial" w:cs="Arial"/>
          <w:szCs w:val="20"/>
        </w:rPr>
      </w:pPr>
      <w:r w:rsidRPr="008F7C92">
        <w:rPr>
          <w:rFonts w:ascii="Arial" w:hAnsi="Arial" w:cs="Arial"/>
          <w:szCs w:val="20"/>
        </w:rPr>
        <w:t xml:space="preserve">King, G., Keohane, R., and </w:t>
      </w:r>
      <w:proofErr w:type="spellStart"/>
      <w:r w:rsidRPr="008F7C92">
        <w:rPr>
          <w:rFonts w:ascii="Arial" w:hAnsi="Arial" w:cs="Arial"/>
          <w:szCs w:val="20"/>
        </w:rPr>
        <w:t>Verba</w:t>
      </w:r>
      <w:proofErr w:type="spellEnd"/>
      <w:r w:rsidRPr="008F7C92">
        <w:rPr>
          <w:rFonts w:ascii="Arial" w:hAnsi="Arial" w:cs="Arial"/>
          <w:szCs w:val="20"/>
        </w:rPr>
        <w:t xml:space="preserve">, S. (1996). </w:t>
      </w:r>
      <w:r w:rsidRPr="008F7C92">
        <w:rPr>
          <w:rFonts w:ascii="Arial" w:hAnsi="Arial" w:cs="Arial"/>
          <w:i/>
          <w:iCs/>
          <w:szCs w:val="20"/>
        </w:rPr>
        <w:t xml:space="preserve">Designing Social Inquiry: Scientific Inference in Qualitative Research, </w:t>
      </w:r>
      <w:r w:rsidRPr="008F7C92">
        <w:rPr>
          <w:rFonts w:ascii="Arial" w:hAnsi="Arial" w:cs="Arial"/>
          <w:iCs/>
          <w:szCs w:val="20"/>
        </w:rPr>
        <w:t>Princeton, NJ</w:t>
      </w:r>
      <w:r w:rsidRPr="008F7C92">
        <w:rPr>
          <w:rFonts w:ascii="Arial" w:hAnsi="Arial" w:cs="Arial"/>
          <w:i/>
          <w:iCs/>
          <w:szCs w:val="20"/>
        </w:rPr>
        <w:t xml:space="preserve">: </w:t>
      </w:r>
      <w:r w:rsidRPr="008F7C92">
        <w:rPr>
          <w:rFonts w:ascii="Arial" w:hAnsi="Arial" w:cs="Arial"/>
          <w:szCs w:val="20"/>
        </w:rPr>
        <w:t>Princeton University Press.</w:t>
      </w:r>
    </w:p>
    <w:p w14:paraId="17EAB397" w14:textId="77777777" w:rsidR="008F7C92" w:rsidRPr="008F7C92" w:rsidRDefault="008F7C92" w:rsidP="00831639">
      <w:pPr>
        <w:pStyle w:val="ListParagraph"/>
        <w:numPr>
          <w:ilvl w:val="0"/>
          <w:numId w:val="13"/>
        </w:numPr>
        <w:ind w:left="993" w:right="260" w:hanging="426"/>
        <w:jc w:val="both"/>
        <w:rPr>
          <w:rFonts w:ascii="Arial" w:hAnsi="Arial" w:cs="Arial"/>
          <w:szCs w:val="20"/>
        </w:rPr>
      </w:pPr>
      <w:r w:rsidRPr="008F7C92">
        <w:rPr>
          <w:rFonts w:ascii="Arial" w:hAnsi="Arial" w:cs="Arial"/>
          <w:szCs w:val="20"/>
        </w:rPr>
        <w:t xml:space="preserve">Klatt, M. (2008). </w:t>
      </w:r>
      <w:r w:rsidRPr="008F7C92">
        <w:rPr>
          <w:rFonts w:ascii="Arial" w:hAnsi="Arial" w:cs="Arial"/>
          <w:i/>
          <w:szCs w:val="20"/>
        </w:rPr>
        <w:t>Making the Law Explicit: The Normativity of Legal Argumentation</w:t>
      </w:r>
      <w:r w:rsidRPr="008F7C92">
        <w:rPr>
          <w:rFonts w:ascii="Arial" w:hAnsi="Arial" w:cs="Arial"/>
          <w:szCs w:val="20"/>
        </w:rPr>
        <w:t>, Oxford: Oxford University Press.</w:t>
      </w:r>
    </w:p>
    <w:p w14:paraId="21F859FC" w14:textId="77777777" w:rsidR="008F7C92" w:rsidRPr="008F7C92" w:rsidRDefault="008F7C92" w:rsidP="00831639">
      <w:pPr>
        <w:pStyle w:val="ListParagraph"/>
        <w:numPr>
          <w:ilvl w:val="0"/>
          <w:numId w:val="13"/>
        </w:numPr>
        <w:spacing w:after="120" w:line="240" w:lineRule="auto"/>
        <w:ind w:left="993" w:right="260" w:hanging="426"/>
        <w:jc w:val="both"/>
        <w:rPr>
          <w:rFonts w:ascii="Arial" w:eastAsia="Times New Roman" w:hAnsi="Arial" w:cs="Arial"/>
          <w:szCs w:val="20"/>
        </w:rPr>
      </w:pPr>
      <w:proofErr w:type="spellStart"/>
      <w:r w:rsidRPr="008F7C92">
        <w:rPr>
          <w:rStyle w:val="selectable"/>
          <w:rFonts w:ascii="Arial" w:eastAsia="Times New Roman" w:hAnsi="Arial" w:cs="Arial"/>
          <w:szCs w:val="20"/>
        </w:rPr>
        <w:t>Orcher</w:t>
      </w:r>
      <w:proofErr w:type="spellEnd"/>
      <w:r w:rsidRPr="008F7C92">
        <w:rPr>
          <w:rStyle w:val="selectable"/>
          <w:rFonts w:ascii="Arial" w:eastAsia="Times New Roman" w:hAnsi="Arial" w:cs="Arial"/>
          <w:szCs w:val="20"/>
        </w:rPr>
        <w:t xml:space="preserve">, L. (2014). </w:t>
      </w:r>
      <w:r w:rsidRPr="008F7C92">
        <w:rPr>
          <w:rStyle w:val="selectable"/>
          <w:rFonts w:ascii="Arial" w:eastAsia="Times New Roman" w:hAnsi="Arial" w:cs="Arial"/>
          <w:i/>
          <w:iCs/>
          <w:szCs w:val="20"/>
        </w:rPr>
        <w:t>Conducting Research</w:t>
      </w:r>
      <w:r w:rsidRPr="008F7C92">
        <w:rPr>
          <w:rStyle w:val="selectable"/>
          <w:rFonts w:ascii="Arial" w:eastAsia="Times New Roman" w:hAnsi="Arial" w:cs="Arial"/>
          <w:szCs w:val="20"/>
        </w:rPr>
        <w:t>. 1</w:t>
      </w:r>
      <w:r w:rsidRPr="008F7C92">
        <w:rPr>
          <w:rStyle w:val="selectable"/>
          <w:rFonts w:ascii="Arial" w:eastAsia="Times New Roman" w:hAnsi="Arial" w:cs="Arial"/>
          <w:szCs w:val="20"/>
          <w:vertAlign w:val="superscript"/>
        </w:rPr>
        <w:t>st</w:t>
      </w:r>
      <w:r w:rsidRPr="008F7C92">
        <w:rPr>
          <w:rStyle w:val="selectable"/>
          <w:rFonts w:ascii="Arial" w:eastAsia="Times New Roman" w:hAnsi="Arial" w:cs="Arial"/>
          <w:szCs w:val="20"/>
        </w:rPr>
        <w:t xml:space="preserve"> ed. Los Angeles: Taylor and Francis. </w:t>
      </w:r>
    </w:p>
    <w:p w14:paraId="4FA0DFE1" w14:textId="77777777" w:rsidR="008F7C92" w:rsidRPr="008F7C92" w:rsidRDefault="008F7C92" w:rsidP="00831639">
      <w:pPr>
        <w:pStyle w:val="ListParagraph"/>
        <w:numPr>
          <w:ilvl w:val="0"/>
          <w:numId w:val="13"/>
        </w:numPr>
        <w:spacing w:after="120" w:line="240" w:lineRule="auto"/>
        <w:ind w:left="993" w:right="260" w:hanging="426"/>
        <w:jc w:val="both"/>
        <w:rPr>
          <w:rFonts w:ascii="Arial" w:hAnsi="Arial" w:cs="Arial"/>
          <w:szCs w:val="20"/>
        </w:rPr>
      </w:pPr>
      <w:r w:rsidRPr="008F7C92">
        <w:rPr>
          <w:rFonts w:ascii="Arial" w:hAnsi="Arial" w:cs="Arial"/>
          <w:szCs w:val="20"/>
        </w:rPr>
        <w:t xml:space="preserve">Watkins, D. and Burton, M. (eds.) (2013). </w:t>
      </w:r>
      <w:r w:rsidRPr="008F7C92">
        <w:rPr>
          <w:rFonts w:ascii="Arial" w:hAnsi="Arial" w:cs="Arial"/>
          <w:i/>
          <w:szCs w:val="20"/>
        </w:rPr>
        <w:t xml:space="preserve">Research Methods in Law. </w:t>
      </w:r>
      <w:r w:rsidRPr="008F7C92">
        <w:rPr>
          <w:rFonts w:ascii="Arial" w:hAnsi="Arial" w:cs="Arial"/>
          <w:szCs w:val="20"/>
        </w:rPr>
        <w:t>1</w:t>
      </w:r>
      <w:r w:rsidRPr="008F7C92">
        <w:rPr>
          <w:rFonts w:ascii="Arial" w:hAnsi="Arial" w:cs="Arial"/>
          <w:szCs w:val="20"/>
          <w:vertAlign w:val="superscript"/>
        </w:rPr>
        <w:t>st</w:t>
      </w:r>
      <w:r w:rsidRPr="008F7C92">
        <w:rPr>
          <w:rFonts w:ascii="Arial" w:hAnsi="Arial" w:cs="Arial"/>
          <w:szCs w:val="20"/>
        </w:rPr>
        <w:t xml:space="preserve"> ed. New York: Routledge.</w:t>
      </w:r>
    </w:p>
    <w:p w14:paraId="69B99194" w14:textId="77777777" w:rsidR="009A2D37" w:rsidRPr="00302082" w:rsidRDefault="009A2D37" w:rsidP="00302082">
      <w:pPr>
        <w:spacing w:after="120" w:line="240" w:lineRule="auto"/>
        <w:ind w:right="260"/>
        <w:jc w:val="both"/>
        <w:rPr>
          <w:rFonts w:ascii="Arial" w:hAnsi="Arial" w:cs="Arial"/>
          <w:b/>
        </w:rPr>
      </w:pPr>
    </w:p>
    <w:p w14:paraId="0F12C89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A6ED73" w14:textId="41B8AC17" w:rsidR="009A2D37" w:rsidRPr="008F7C92" w:rsidRDefault="00C57028" w:rsidP="00696FF5">
      <w:pPr>
        <w:spacing w:after="120" w:line="240" w:lineRule="auto"/>
        <w:ind w:left="567" w:right="260"/>
        <w:jc w:val="both"/>
        <w:rPr>
          <w:rFonts w:ascii="Arial" w:hAnsi="Arial" w:cs="Arial"/>
          <w:iCs/>
        </w:rPr>
      </w:pPr>
      <w:r w:rsidRPr="008F7C92">
        <w:rPr>
          <w:rFonts w:ascii="Arial" w:hAnsi="Arial" w:cs="Arial"/>
          <w:iCs/>
        </w:rPr>
        <w:t>Total contact hours:</w:t>
      </w:r>
      <w:r w:rsidR="008F7C92" w:rsidRPr="008F7C92">
        <w:rPr>
          <w:rFonts w:ascii="Arial" w:hAnsi="Arial" w:cs="Arial"/>
          <w:iCs/>
        </w:rPr>
        <w:t xml:space="preserve"> 3</w:t>
      </w:r>
      <w:r w:rsidR="00412FCA">
        <w:rPr>
          <w:rFonts w:ascii="Arial" w:hAnsi="Arial" w:cs="Arial"/>
          <w:iCs/>
        </w:rPr>
        <w:t>8</w:t>
      </w:r>
    </w:p>
    <w:p w14:paraId="44F03A61" w14:textId="64AEB563" w:rsidR="00C57028" w:rsidRPr="008F7C92" w:rsidRDefault="00C57028" w:rsidP="00C57028">
      <w:pPr>
        <w:spacing w:after="120" w:line="240" w:lineRule="auto"/>
        <w:ind w:left="567" w:right="260"/>
        <w:jc w:val="both"/>
        <w:rPr>
          <w:rFonts w:ascii="Arial" w:hAnsi="Arial" w:cs="Arial"/>
          <w:iCs/>
        </w:rPr>
      </w:pPr>
      <w:r w:rsidRPr="008F7C92">
        <w:rPr>
          <w:rFonts w:ascii="Arial" w:hAnsi="Arial" w:cs="Arial"/>
          <w:iCs/>
        </w:rPr>
        <w:t>Private study hours:</w:t>
      </w:r>
      <w:r w:rsidR="008F7C92" w:rsidRPr="008F7C92">
        <w:rPr>
          <w:rFonts w:ascii="Arial" w:hAnsi="Arial" w:cs="Arial"/>
          <w:iCs/>
        </w:rPr>
        <w:t xml:space="preserve"> </w:t>
      </w:r>
      <w:r w:rsidR="00591D71">
        <w:rPr>
          <w:rFonts w:ascii="Arial" w:hAnsi="Arial" w:cs="Arial"/>
          <w:iCs/>
        </w:rPr>
        <w:t>2</w:t>
      </w:r>
    </w:p>
    <w:p w14:paraId="4EFC80C4" w14:textId="77777777" w:rsidR="00C57028" w:rsidRPr="008F7C92" w:rsidRDefault="00C57028" w:rsidP="00C57028">
      <w:pPr>
        <w:spacing w:after="120" w:line="240" w:lineRule="auto"/>
        <w:ind w:left="567" w:right="260"/>
        <w:jc w:val="both"/>
        <w:rPr>
          <w:rFonts w:ascii="Arial" w:hAnsi="Arial" w:cs="Arial"/>
          <w:iCs/>
        </w:rPr>
      </w:pPr>
      <w:r w:rsidRPr="008F7C92">
        <w:rPr>
          <w:rFonts w:ascii="Arial" w:hAnsi="Arial" w:cs="Arial"/>
          <w:iCs/>
        </w:rPr>
        <w:t>Total study hours:</w:t>
      </w:r>
      <w:r w:rsidR="008F7C92" w:rsidRPr="008F7C92">
        <w:rPr>
          <w:rFonts w:ascii="Arial" w:hAnsi="Arial" w:cs="Arial"/>
          <w:iCs/>
        </w:rPr>
        <w:t xml:space="preserve"> 40</w:t>
      </w:r>
    </w:p>
    <w:p w14:paraId="47E4BDC3" w14:textId="77777777" w:rsidR="009A2D37" w:rsidRPr="00302082" w:rsidRDefault="009A2D37" w:rsidP="00302082">
      <w:pPr>
        <w:spacing w:after="120" w:line="240" w:lineRule="auto"/>
        <w:ind w:left="426" w:right="260"/>
        <w:rPr>
          <w:rFonts w:ascii="Arial" w:hAnsi="Arial" w:cs="Arial"/>
          <w:i/>
          <w:iCs/>
        </w:rPr>
      </w:pPr>
    </w:p>
    <w:p w14:paraId="2D50C48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0E9004A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0E2D97" w14:textId="1D71784D" w:rsidR="00310A44" w:rsidRPr="009E48BB" w:rsidRDefault="00831639" w:rsidP="009E48BB">
      <w:pPr>
        <w:spacing w:after="120" w:line="240" w:lineRule="auto"/>
        <w:ind w:left="567" w:right="260"/>
        <w:jc w:val="both"/>
        <w:rPr>
          <w:rFonts w:ascii="Arial" w:hAnsi="Arial" w:cs="Arial"/>
          <w:iCs/>
        </w:rPr>
      </w:pPr>
      <w:r>
        <w:rPr>
          <w:rFonts w:ascii="Arial" w:hAnsi="Arial" w:cs="Arial"/>
          <w:iCs/>
        </w:rPr>
        <w:t xml:space="preserve">The module is assessed on a pass/fail basis. </w:t>
      </w:r>
      <w:r w:rsidR="00310A44" w:rsidRPr="00310A44">
        <w:rPr>
          <w:rFonts w:ascii="Arial" w:hAnsi="Arial" w:cs="Arial"/>
          <w:iCs/>
        </w:rPr>
        <w:t>Seminar attendance</w:t>
      </w:r>
      <w:r w:rsidR="009E48BB">
        <w:rPr>
          <w:rFonts w:ascii="Arial" w:hAnsi="Arial" w:cs="Arial"/>
          <w:iCs/>
        </w:rPr>
        <w:t xml:space="preserve"> </w:t>
      </w:r>
      <w:r>
        <w:rPr>
          <w:rFonts w:ascii="Arial" w:hAnsi="Arial" w:cs="Arial"/>
          <w:iCs/>
        </w:rPr>
        <w:t xml:space="preserve">of at least </w:t>
      </w:r>
      <w:r w:rsidR="00412FCA">
        <w:rPr>
          <w:rFonts w:ascii="Arial" w:hAnsi="Arial" w:cs="Arial"/>
          <w:iCs/>
        </w:rPr>
        <w:t>12 out of 14</w:t>
      </w:r>
      <w:r w:rsidR="009E48BB">
        <w:rPr>
          <w:rFonts w:ascii="Arial" w:hAnsi="Arial" w:cs="Arial"/>
          <w:iCs/>
        </w:rPr>
        <w:t xml:space="preserve"> hours</w:t>
      </w:r>
      <w:r>
        <w:rPr>
          <w:rFonts w:ascii="Arial" w:hAnsi="Arial" w:cs="Arial"/>
          <w:iCs/>
        </w:rPr>
        <w:t xml:space="preserve"> is required to pass.</w:t>
      </w:r>
      <w:r w:rsidR="009E48BB">
        <w:rPr>
          <w:rFonts w:ascii="Arial" w:hAnsi="Arial" w:cs="Arial"/>
          <w:iCs/>
        </w:rPr>
        <w:t xml:space="preserve"> </w:t>
      </w:r>
      <w:r>
        <w:rPr>
          <w:rFonts w:ascii="Arial" w:hAnsi="Arial" w:cs="Arial"/>
          <w:iCs/>
        </w:rPr>
        <w:t>I</w:t>
      </w:r>
      <w:r w:rsidR="009E48BB">
        <w:rPr>
          <w:rFonts w:ascii="Arial" w:hAnsi="Arial" w:cs="Arial"/>
          <w:iCs/>
        </w:rPr>
        <w:t>f students fail</w:t>
      </w:r>
      <w:r>
        <w:rPr>
          <w:rFonts w:ascii="Arial" w:hAnsi="Arial" w:cs="Arial"/>
          <w:iCs/>
        </w:rPr>
        <w:t xml:space="preserve"> to meet this requirement,</w:t>
      </w:r>
      <w:r w:rsidR="009E48BB">
        <w:rPr>
          <w:rFonts w:ascii="Arial" w:hAnsi="Arial" w:cs="Arial"/>
          <w:iCs/>
        </w:rPr>
        <w:t xml:space="preserve"> this they must complete a r</w:t>
      </w:r>
      <w:r w:rsidR="00310A44" w:rsidRPr="00310A44">
        <w:rPr>
          <w:rFonts w:ascii="Arial" w:hAnsi="Arial" w:cs="Arial"/>
          <w:iCs/>
        </w:rPr>
        <w:t xml:space="preserve">ecovery </w:t>
      </w:r>
      <w:r w:rsidR="009E48BB">
        <w:rPr>
          <w:rFonts w:ascii="Arial" w:hAnsi="Arial" w:cs="Arial"/>
          <w:iCs/>
        </w:rPr>
        <w:t>e</w:t>
      </w:r>
      <w:r w:rsidR="00310A44" w:rsidRPr="00310A44">
        <w:rPr>
          <w:rFonts w:ascii="Arial" w:hAnsi="Arial" w:cs="Arial"/>
          <w:iCs/>
        </w:rPr>
        <w:t>ssay</w:t>
      </w:r>
      <w:r w:rsidR="009E48BB">
        <w:rPr>
          <w:rFonts w:ascii="Arial" w:hAnsi="Arial" w:cs="Arial"/>
          <w:iCs/>
        </w:rPr>
        <w:t xml:space="preserve"> 1500 words</w:t>
      </w:r>
      <w:r w:rsidR="00310A44" w:rsidRPr="00310A44">
        <w:rPr>
          <w:rFonts w:ascii="Arial" w:hAnsi="Arial" w:cs="Arial"/>
          <w:iCs/>
        </w:rPr>
        <w:t xml:space="preserve"> (100%)</w:t>
      </w:r>
      <w:r w:rsidR="009E48BB">
        <w:rPr>
          <w:rFonts w:ascii="Arial" w:hAnsi="Arial" w:cs="Arial"/>
          <w:iCs/>
        </w:rPr>
        <w:t xml:space="preserve"> as an alternative</w:t>
      </w:r>
    </w:p>
    <w:p w14:paraId="28F7CDED" w14:textId="77777777" w:rsidR="006043FC" w:rsidRDefault="006043FC" w:rsidP="00302082">
      <w:pPr>
        <w:spacing w:after="120" w:line="240" w:lineRule="auto"/>
        <w:ind w:left="426" w:right="260"/>
        <w:rPr>
          <w:rFonts w:ascii="Arial" w:hAnsi="Arial" w:cs="Arial"/>
          <w:b/>
          <w:i/>
          <w:iCs/>
        </w:rPr>
      </w:pPr>
    </w:p>
    <w:p w14:paraId="45A3CF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4540D" w14:textId="77777777" w:rsidR="00C57028" w:rsidRPr="00310A44" w:rsidRDefault="00310A44" w:rsidP="00C57028">
      <w:pPr>
        <w:spacing w:after="120" w:line="240" w:lineRule="auto"/>
        <w:ind w:left="567" w:right="260"/>
        <w:jc w:val="both"/>
        <w:rPr>
          <w:rFonts w:ascii="Arial" w:hAnsi="Arial" w:cs="Arial"/>
          <w:b/>
          <w:iCs/>
        </w:rPr>
      </w:pPr>
      <w:r w:rsidRPr="00310A44">
        <w:rPr>
          <w:rFonts w:ascii="Arial" w:hAnsi="Arial" w:cs="Arial"/>
          <w:iCs/>
        </w:rPr>
        <w:t>Reassessment Instrument: 100% coursework</w:t>
      </w:r>
      <w:r w:rsidR="00C57028" w:rsidRPr="00310A44">
        <w:rPr>
          <w:rFonts w:ascii="Arial" w:hAnsi="Arial" w:cs="Arial"/>
          <w:iCs/>
        </w:rPr>
        <w:t xml:space="preserve"> </w:t>
      </w:r>
    </w:p>
    <w:p w14:paraId="16294E77" w14:textId="77777777" w:rsidR="00696FF5" w:rsidRDefault="00696FF5" w:rsidP="00302082">
      <w:pPr>
        <w:spacing w:after="120" w:line="240" w:lineRule="auto"/>
        <w:ind w:left="426" w:right="260"/>
        <w:rPr>
          <w:rFonts w:ascii="Arial" w:hAnsi="Arial" w:cs="Arial"/>
          <w:b/>
          <w:i/>
          <w:iCs/>
        </w:rPr>
      </w:pPr>
    </w:p>
    <w:p w14:paraId="49B3F99B" w14:textId="74B6BA4A" w:rsidR="00274ED7" w:rsidRPr="00D54AF1" w:rsidRDefault="006F3F8B" w:rsidP="00696FF5">
      <w:pPr>
        <w:numPr>
          <w:ilvl w:val="0"/>
          <w:numId w:val="1"/>
        </w:numPr>
        <w:spacing w:after="120" w:line="240" w:lineRule="auto"/>
        <w:ind w:left="567" w:right="261" w:hanging="567"/>
        <w:jc w:val="both"/>
        <w:rPr>
          <w:rFonts w:ascii="Arial" w:hAnsi="Arial" w:cs="Arial"/>
          <w:b/>
        </w:rPr>
      </w:pPr>
      <w:r w:rsidRPr="00D54AF1">
        <w:rPr>
          <w:rFonts w:ascii="Arial" w:hAnsi="Arial" w:cs="Arial"/>
          <w:b/>
        </w:rPr>
        <w:t xml:space="preserve">Map of </w:t>
      </w:r>
      <w:r w:rsidR="00883204" w:rsidRPr="00D54AF1">
        <w:rPr>
          <w:rFonts w:ascii="Arial" w:hAnsi="Arial" w:cs="Arial"/>
          <w:b/>
        </w:rPr>
        <w:t xml:space="preserve">module learning outcomes </w:t>
      </w:r>
      <w:r w:rsidR="00B30E07" w:rsidRPr="00D54AF1">
        <w:rPr>
          <w:rFonts w:ascii="Arial" w:hAnsi="Arial" w:cs="Arial"/>
          <w:b/>
        </w:rPr>
        <w:t>(sections 8 &amp; 9)</w:t>
      </w:r>
      <w:r w:rsidR="00883204" w:rsidRPr="00D54AF1">
        <w:rPr>
          <w:rFonts w:ascii="Arial" w:hAnsi="Arial" w:cs="Arial"/>
          <w:b/>
        </w:rPr>
        <w:t xml:space="preserve"> to l</w:t>
      </w:r>
      <w:r w:rsidRPr="00D54AF1">
        <w:rPr>
          <w:rFonts w:ascii="Arial" w:hAnsi="Arial" w:cs="Arial"/>
          <w:b/>
        </w:rPr>
        <w:t>earning</w:t>
      </w:r>
      <w:r w:rsidR="00B30E07" w:rsidRPr="00D54AF1">
        <w:rPr>
          <w:rFonts w:ascii="Arial" w:hAnsi="Arial" w:cs="Arial"/>
          <w:b/>
        </w:rPr>
        <w:t xml:space="preserve"> and </w:t>
      </w:r>
      <w:r w:rsidR="00883204" w:rsidRPr="00D54AF1">
        <w:rPr>
          <w:rFonts w:ascii="Arial" w:hAnsi="Arial" w:cs="Arial"/>
          <w:b/>
        </w:rPr>
        <w:t>teaching m</w:t>
      </w:r>
      <w:r w:rsidR="00B30E07" w:rsidRPr="00D54AF1">
        <w:rPr>
          <w:rFonts w:ascii="Arial" w:hAnsi="Arial" w:cs="Arial"/>
          <w:b/>
        </w:rPr>
        <w:t>ethods (section</w:t>
      </w:r>
      <w:r w:rsidR="00D54AF1">
        <w:rPr>
          <w:rFonts w:ascii="Arial" w:hAnsi="Arial" w:cs="Arial"/>
          <w:b/>
        </w:rPr>
        <w:t xml:space="preserve"> </w:t>
      </w:r>
      <w:r w:rsidR="00B30E07" w:rsidRPr="00D54AF1">
        <w:rPr>
          <w:rFonts w:ascii="Arial" w:hAnsi="Arial" w:cs="Arial"/>
          <w:b/>
        </w:rPr>
        <w:t>12</w:t>
      </w:r>
      <w:r w:rsidRPr="00D54AF1">
        <w:rPr>
          <w:rFonts w:ascii="Arial" w:hAnsi="Arial" w:cs="Arial"/>
          <w:b/>
        </w:rPr>
        <w:t>) and m</w:t>
      </w:r>
      <w:r w:rsidR="00883204" w:rsidRPr="00D54AF1">
        <w:rPr>
          <w:rFonts w:ascii="Arial" w:hAnsi="Arial" w:cs="Arial"/>
          <w:b/>
        </w:rPr>
        <w:t>ethods of a</w:t>
      </w:r>
      <w:r w:rsidR="00B30E07" w:rsidRPr="00D54AF1">
        <w:rPr>
          <w:rFonts w:ascii="Arial" w:hAnsi="Arial" w:cs="Arial"/>
          <w:b/>
        </w:rPr>
        <w:t>ssessment (section 13</w:t>
      </w:r>
      <w:r w:rsidR="00EF4933" w:rsidRPr="00D54AF1">
        <w:rPr>
          <w:rFonts w:ascii="Arial" w:hAnsi="Arial" w:cs="Arial"/>
          <w:b/>
        </w:rPr>
        <w:t>)</w:t>
      </w:r>
    </w:p>
    <w:p w14:paraId="75F597B9" w14:textId="77777777" w:rsidR="00F55150" w:rsidRDefault="00F55150" w:rsidP="00F55150">
      <w:pPr>
        <w:spacing w:after="120" w:line="240" w:lineRule="auto"/>
        <w:ind w:left="567" w:right="261"/>
        <w:jc w:val="both"/>
        <w:rPr>
          <w:rFonts w:ascii="Arial" w:hAnsi="Arial" w:cs="Arial"/>
          <w:b/>
          <w:i/>
          <w:iCs/>
        </w:rPr>
      </w:pPr>
    </w:p>
    <w:tbl>
      <w:tblPr>
        <w:tblStyle w:val="TableGrid"/>
        <w:tblW w:w="4057" w:type="pct"/>
        <w:jc w:val="center"/>
        <w:tblLayout w:type="fixed"/>
        <w:tblLook w:val="04A0" w:firstRow="1" w:lastRow="0" w:firstColumn="1" w:lastColumn="0" w:noHBand="0" w:noVBand="1"/>
      </w:tblPr>
      <w:tblGrid>
        <w:gridCol w:w="2414"/>
        <w:gridCol w:w="560"/>
        <w:gridCol w:w="558"/>
        <w:gridCol w:w="562"/>
        <w:gridCol w:w="604"/>
        <w:gridCol w:w="570"/>
        <w:gridCol w:w="507"/>
        <w:gridCol w:w="507"/>
        <w:gridCol w:w="507"/>
        <w:gridCol w:w="570"/>
        <w:gridCol w:w="570"/>
        <w:gridCol w:w="555"/>
      </w:tblGrid>
      <w:tr w:rsidR="008F7C92" w:rsidRPr="00373ACB" w14:paraId="0B058460" w14:textId="77777777" w:rsidTr="008F7C92">
        <w:trPr>
          <w:trHeight w:val="397"/>
          <w:jc w:val="center"/>
        </w:trPr>
        <w:tc>
          <w:tcPr>
            <w:tcW w:w="1422" w:type="pct"/>
            <w:shd w:val="clear" w:color="auto" w:fill="D9D9D9" w:themeFill="background1" w:themeFillShade="D9"/>
            <w:vAlign w:val="center"/>
          </w:tcPr>
          <w:p w14:paraId="187B8900" w14:textId="77777777" w:rsidR="008F7C92" w:rsidRPr="00373ACB" w:rsidRDefault="008F7C92" w:rsidP="00344BEA">
            <w:pPr>
              <w:spacing w:after="120"/>
              <w:rPr>
                <w:rFonts w:ascii="Arial" w:hAnsi="Arial" w:cs="Arial"/>
                <w:i/>
                <w:sz w:val="20"/>
                <w:szCs w:val="20"/>
              </w:rPr>
            </w:pPr>
            <w:r w:rsidRPr="00373ACB">
              <w:rPr>
                <w:rFonts w:ascii="Arial" w:hAnsi="Arial" w:cs="Arial"/>
                <w:b/>
                <w:sz w:val="20"/>
                <w:szCs w:val="20"/>
              </w:rPr>
              <w:t>Module learning outcome</w:t>
            </w:r>
          </w:p>
        </w:tc>
        <w:tc>
          <w:tcPr>
            <w:tcW w:w="330" w:type="pct"/>
            <w:vAlign w:val="center"/>
          </w:tcPr>
          <w:p w14:paraId="564388BC"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8.1</w:t>
            </w:r>
          </w:p>
        </w:tc>
        <w:tc>
          <w:tcPr>
            <w:tcW w:w="329" w:type="pct"/>
            <w:vAlign w:val="center"/>
          </w:tcPr>
          <w:p w14:paraId="77E175ED"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8.2</w:t>
            </w:r>
          </w:p>
        </w:tc>
        <w:tc>
          <w:tcPr>
            <w:tcW w:w="331" w:type="pct"/>
            <w:vAlign w:val="center"/>
          </w:tcPr>
          <w:p w14:paraId="1F75F8F0"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8.3</w:t>
            </w:r>
          </w:p>
        </w:tc>
        <w:tc>
          <w:tcPr>
            <w:tcW w:w="356" w:type="pct"/>
            <w:vAlign w:val="center"/>
          </w:tcPr>
          <w:p w14:paraId="0BDBE223"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8.4</w:t>
            </w:r>
          </w:p>
        </w:tc>
        <w:tc>
          <w:tcPr>
            <w:tcW w:w="336" w:type="pct"/>
            <w:vAlign w:val="center"/>
          </w:tcPr>
          <w:p w14:paraId="0D7F0F1E" w14:textId="77777777" w:rsidR="008F7C92" w:rsidRPr="00013196" w:rsidRDefault="008F7C92" w:rsidP="00344BEA">
            <w:pPr>
              <w:spacing w:after="120"/>
              <w:jc w:val="center"/>
              <w:rPr>
                <w:rFonts w:ascii="Arial" w:hAnsi="Arial" w:cs="Arial"/>
                <w:sz w:val="20"/>
                <w:szCs w:val="20"/>
              </w:rPr>
            </w:pPr>
            <w:r w:rsidRPr="00984A3B">
              <w:rPr>
                <w:rFonts w:ascii="Arial" w:hAnsi="Arial" w:cs="Arial"/>
                <w:sz w:val="20"/>
                <w:szCs w:val="20"/>
              </w:rPr>
              <w:t>9.1</w:t>
            </w:r>
          </w:p>
        </w:tc>
        <w:tc>
          <w:tcPr>
            <w:tcW w:w="299" w:type="pct"/>
            <w:vAlign w:val="center"/>
          </w:tcPr>
          <w:p w14:paraId="5E73A06D"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9.</w:t>
            </w:r>
            <w:r w:rsidRPr="00984A3B">
              <w:rPr>
                <w:rFonts w:ascii="Arial" w:hAnsi="Arial" w:cs="Arial"/>
                <w:sz w:val="20"/>
                <w:szCs w:val="20"/>
              </w:rPr>
              <w:t>2</w:t>
            </w:r>
          </w:p>
        </w:tc>
        <w:tc>
          <w:tcPr>
            <w:tcW w:w="299" w:type="pct"/>
            <w:vAlign w:val="center"/>
          </w:tcPr>
          <w:p w14:paraId="14DE6E16"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9.</w:t>
            </w:r>
            <w:r w:rsidRPr="00984A3B">
              <w:rPr>
                <w:rFonts w:ascii="Arial" w:hAnsi="Arial" w:cs="Arial"/>
                <w:sz w:val="20"/>
                <w:szCs w:val="20"/>
              </w:rPr>
              <w:t>3</w:t>
            </w:r>
          </w:p>
        </w:tc>
        <w:tc>
          <w:tcPr>
            <w:tcW w:w="299" w:type="pct"/>
            <w:vAlign w:val="center"/>
          </w:tcPr>
          <w:p w14:paraId="3431F877" w14:textId="77777777" w:rsidR="008F7C92" w:rsidRPr="00013196" w:rsidRDefault="008F7C92" w:rsidP="00344BEA">
            <w:pPr>
              <w:spacing w:after="120"/>
              <w:jc w:val="center"/>
              <w:rPr>
                <w:rFonts w:ascii="Arial" w:hAnsi="Arial" w:cs="Arial"/>
                <w:sz w:val="20"/>
                <w:szCs w:val="20"/>
              </w:rPr>
            </w:pPr>
            <w:r w:rsidRPr="00013196">
              <w:rPr>
                <w:rFonts w:ascii="Arial" w:hAnsi="Arial" w:cs="Arial"/>
                <w:sz w:val="20"/>
                <w:szCs w:val="20"/>
              </w:rPr>
              <w:t>9.</w:t>
            </w:r>
            <w:r w:rsidRPr="00984A3B">
              <w:rPr>
                <w:rFonts w:ascii="Arial" w:hAnsi="Arial" w:cs="Arial"/>
                <w:sz w:val="20"/>
                <w:szCs w:val="20"/>
              </w:rPr>
              <w:t>4</w:t>
            </w:r>
          </w:p>
        </w:tc>
        <w:tc>
          <w:tcPr>
            <w:tcW w:w="336" w:type="pct"/>
            <w:vAlign w:val="center"/>
          </w:tcPr>
          <w:p w14:paraId="7C15C917" w14:textId="77777777" w:rsidR="008F7C92" w:rsidRPr="00013196" w:rsidRDefault="008F7C92" w:rsidP="00344BEA">
            <w:pPr>
              <w:spacing w:after="120"/>
              <w:jc w:val="center"/>
              <w:rPr>
                <w:rFonts w:ascii="Arial" w:hAnsi="Arial" w:cs="Arial"/>
                <w:sz w:val="20"/>
                <w:szCs w:val="20"/>
              </w:rPr>
            </w:pPr>
            <w:r w:rsidRPr="00984A3B">
              <w:rPr>
                <w:rFonts w:ascii="Arial" w:hAnsi="Arial" w:cs="Arial"/>
                <w:sz w:val="20"/>
                <w:szCs w:val="20"/>
              </w:rPr>
              <w:t>9.5</w:t>
            </w:r>
          </w:p>
        </w:tc>
        <w:tc>
          <w:tcPr>
            <w:tcW w:w="336" w:type="pct"/>
            <w:vAlign w:val="center"/>
          </w:tcPr>
          <w:p w14:paraId="6AD06BB8" w14:textId="77777777" w:rsidR="008F7C92" w:rsidRPr="00013196" w:rsidRDefault="008F7C92" w:rsidP="00344BEA">
            <w:pPr>
              <w:spacing w:after="120"/>
              <w:jc w:val="center"/>
              <w:rPr>
                <w:rFonts w:ascii="Arial" w:hAnsi="Arial" w:cs="Arial"/>
                <w:sz w:val="20"/>
                <w:szCs w:val="20"/>
              </w:rPr>
            </w:pPr>
            <w:r w:rsidRPr="00984A3B">
              <w:rPr>
                <w:rFonts w:ascii="Arial" w:hAnsi="Arial" w:cs="Arial"/>
                <w:sz w:val="20"/>
                <w:szCs w:val="20"/>
              </w:rPr>
              <w:t>9.6</w:t>
            </w:r>
          </w:p>
        </w:tc>
        <w:tc>
          <w:tcPr>
            <w:tcW w:w="327" w:type="pct"/>
            <w:vAlign w:val="center"/>
          </w:tcPr>
          <w:p w14:paraId="58C14F21" w14:textId="77777777" w:rsidR="008F7C92" w:rsidRPr="00013196" w:rsidRDefault="008F7C92" w:rsidP="00344BEA">
            <w:pPr>
              <w:spacing w:after="120"/>
              <w:jc w:val="center"/>
              <w:rPr>
                <w:rFonts w:ascii="Arial" w:hAnsi="Arial" w:cs="Arial"/>
                <w:sz w:val="20"/>
                <w:szCs w:val="20"/>
              </w:rPr>
            </w:pPr>
            <w:r w:rsidRPr="00984A3B">
              <w:rPr>
                <w:rFonts w:ascii="Arial" w:hAnsi="Arial" w:cs="Arial"/>
                <w:sz w:val="20"/>
                <w:szCs w:val="20"/>
              </w:rPr>
              <w:t>9.7</w:t>
            </w:r>
          </w:p>
        </w:tc>
      </w:tr>
      <w:tr w:rsidR="008F7C92" w:rsidRPr="00373ACB" w14:paraId="6D75F404" w14:textId="77777777" w:rsidTr="008F7C92">
        <w:trPr>
          <w:trHeight w:val="397"/>
          <w:jc w:val="center"/>
        </w:trPr>
        <w:tc>
          <w:tcPr>
            <w:tcW w:w="1422" w:type="pct"/>
            <w:shd w:val="clear" w:color="auto" w:fill="D9D9D9" w:themeFill="background1" w:themeFillShade="D9"/>
            <w:vAlign w:val="center"/>
          </w:tcPr>
          <w:p w14:paraId="6DB4131D" w14:textId="77777777" w:rsidR="008F7C92" w:rsidRPr="00373ACB" w:rsidRDefault="008F7C92" w:rsidP="00344BE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0" w:type="pct"/>
            <w:shd w:val="clear" w:color="auto" w:fill="D9D9D9" w:themeFill="background1" w:themeFillShade="D9"/>
            <w:vAlign w:val="center"/>
          </w:tcPr>
          <w:p w14:paraId="304E413D" w14:textId="77777777" w:rsidR="008F7C92" w:rsidRPr="007103E4" w:rsidRDefault="008F7C92" w:rsidP="00344BEA">
            <w:pPr>
              <w:spacing w:after="120"/>
              <w:jc w:val="center"/>
              <w:rPr>
                <w:rFonts w:ascii="Arial" w:hAnsi="Arial" w:cs="Arial"/>
                <w:b/>
                <w:sz w:val="20"/>
                <w:szCs w:val="20"/>
              </w:rPr>
            </w:pPr>
          </w:p>
        </w:tc>
        <w:tc>
          <w:tcPr>
            <w:tcW w:w="329" w:type="pct"/>
            <w:shd w:val="clear" w:color="auto" w:fill="D9D9D9" w:themeFill="background1" w:themeFillShade="D9"/>
            <w:vAlign w:val="center"/>
          </w:tcPr>
          <w:p w14:paraId="452984D2" w14:textId="77777777" w:rsidR="008F7C92" w:rsidRPr="007103E4" w:rsidRDefault="008F7C92" w:rsidP="00344BEA">
            <w:pPr>
              <w:spacing w:after="120"/>
              <w:jc w:val="center"/>
              <w:rPr>
                <w:rFonts w:ascii="Arial" w:hAnsi="Arial" w:cs="Arial"/>
                <w:b/>
                <w:sz w:val="20"/>
                <w:szCs w:val="20"/>
              </w:rPr>
            </w:pPr>
          </w:p>
        </w:tc>
        <w:tc>
          <w:tcPr>
            <w:tcW w:w="331" w:type="pct"/>
            <w:shd w:val="clear" w:color="auto" w:fill="D9D9D9" w:themeFill="background1" w:themeFillShade="D9"/>
            <w:vAlign w:val="center"/>
          </w:tcPr>
          <w:p w14:paraId="64D946F3" w14:textId="77777777" w:rsidR="008F7C92" w:rsidRPr="007103E4" w:rsidRDefault="008F7C92" w:rsidP="00344BEA">
            <w:pPr>
              <w:spacing w:after="120"/>
              <w:jc w:val="center"/>
              <w:rPr>
                <w:rFonts w:ascii="Arial" w:hAnsi="Arial" w:cs="Arial"/>
                <w:b/>
                <w:sz w:val="20"/>
                <w:szCs w:val="20"/>
              </w:rPr>
            </w:pPr>
          </w:p>
        </w:tc>
        <w:tc>
          <w:tcPr>
            <w:tcW w:w="356" w:type="pct"/>
            <w:shd w:val="clear" w:color="auto" w:fill="D9D9D9" w:themeFill="background1" w:themeFillShade="D9"/>
            <w:vAlign w:val="center"/>
          </w:tcPr>
          <w:p w14:paraId="7E83D03C" w14:textId="77777777" w:rsidR="008F7C92" w:rsidRPr="007103E4" w:rsidRDefault="008F7C92" w:rsidP="00344BEA">
            <w:pPr>
              <w:spacing w:after="120"/>
              <w:jc w:val="center"/>
              <w:rPr>
                <w:rFonts w:ascii="Arial" w:hAnsi="Arial" w:cs="Arial"/>
                <w:b/>
                <w:sz w:val="20"/>
                <w:szCs w:val="20"/>
              </w:rPr>
            </w:pPr>
          </w:p>
        </w:tc>
        <w:tc>
          <w:tcPr>
            <w:tcW w:w="336" w:type="pct"/>
            <w:shd w:val="clear" w:color="auto" w:fill="D9D9D9" w:themeFill="background1" w:themeFillShade="D9"/>
            <w:vAlign w:val="center"/>
          </w:tcPr>
          <w:p w14:paraId="21D88695" w14:textId="77777777" w:rsidR="008F7C92" w:rsidRPr="007103E4" w:rsidRDefault="008F7C92" w:rsidP="00344BEA">
            <w:pPr>
              <w:spacing w:after="120"/>
              <w:jc w:val="center"/>
              <w:rPr>
                <w:rFonts w:ascii="Arial" w:hAnsi="Arial" w:cs="Arial"/>
                <w:b/>
                <w:sz w:val="20"/>
                <w:szCs w:val="20"/>
              </w:rPr>
            </w:pPr>
          </w:p>
        </w:tc>
        <w:tc>
          <w:tcPr>
            <w:tcW w:w="299" w:type="pct"/>
            <w:shd w:val="clear" w:color="auto" w:fill="D9D9D9" w:themeFill="background1" w:themeFillShade="D9"/>
            <w:vAlign w:val="center"/>
          </w:tcPr>
          <w:p w14:paraId="0AAFD47B" w14:textId="77777777" w:rsidR="008F7C92" w:rsidRPr="007103E4" w:rsidRDefault="008F7C92" w:rsidP="00344BEA">
            <w:pPr>
              <w:spacing w:after="120"/>
              <w:jc w:val="center"/>
              <w:rPr>
                <w:rFonts w:ascii="Arial" w:hAnsi="Arial" w:cs="Arial"/>
                <w:b/>
                <w:sz w:val="20"/>
                <w:szCs w:val="20"/>
              </w:rPr>
            </w:pPr>
          </w:p>
        </w:tc>
        <w:tc>
          <w:tcPr>
            <w:tcW w:w="299" w:type="pct"/>
            <w:shd w:val="clear" w:color="auto" w:fill="D9D9D9" w:themeFill="background1" w:themeFillShade="D9"/>
            <w:vAlign w:val="center"/>
          </w:tcPr>
          <w:p w14:paraId="167717B3" w14:textId="77777777" w:rsidR="008F7C92" w:rsidRPr="007103E4" w:rsidRDefault="008F7C92" w:rsidP="00344BEA">
            <w:pPr>
              <w:spacing w:after="120"/>
              <w:jc w:val="center"/>
              <w:rPr>
                <w:rFonts w:ascii="Arial" w:hAnsi="Arial" w:cs="Arial"/>
                <w:b/>
                <w:sz w:val="20"/>
                <w:szCs w:val="20"/>
              </w:rPr>
            </w:pPr>
          </w:p>
        </w:tc>
        <w:tc>
          <w:tcPr>
            <w:tcW w:w="299" w:type="pct"/>
            <w:shd w:val="clear" w:color="auto" w:fill="D9D9D9" w:themeFill="background1" w:themeFillShade="D9"/>
            <w:vAlign w:val="center"/>
          </w:tcPr>
          <w:p w14:paraId="71D4FD86" w14:textId="77777777" w:rsidR="008F7C92" w:rsidRPr="007103E4" w:rsidRDefault="008F7C92" w:rsidP="00344BEA">
            <w:pPr>
              <w:spacing w:after="120"/>
              <w:jc w:val="center"/>
              <w:rPr>
                <w:rFonts w:ascii="Arial" w:hAnsi="Arial" w:cs="Arial"/>
                <w:b/>
                <w:sz w:val="20"/>
                <w:szCs w:val="20"/>
              </w:rPr>
            </w:pPr>
          </w:p>
        </w:tc>
        <w:tc>
          <w:tcPr>
            <w:tcW w:w="336" w:type="pct"/>
            <w:shd w:val="clear" w:color="auto" w:fill="D9D9D9" w:themeFill="background1" w:themeFillShade="D9"/>
            <w:vAlign w:val="center"/>
          </w:tcPr>
          <w:p w14:paraId="130EF32C" w14:textId="77777777" w:rsidR="008F7C92" w:rsidRPr="007103E4" w:rsidRDefault="008F7C92" w:rsidP="00344BEA">
            <w:pPr>
              <w:spacing w:after="120"/>
              <w:jc w:val="center"/>
              <w:rPr>
                <w:rFonts w:ascii="Arial" w:hAnsi="Arial" w:cs="Arial"/>
                <w:b/>
                <w:sz w:val="20"/>
                <w:szCs w:val="20"/>
              </w:rPr>
            </w:pPr>
          </w:p>
        </w:tc>
        <w:tc>
          <w:tcPr>
            <w:tcW w:w="336" w:type="pct"/>
            <w:shd w:val="clear" w:color="auto" w:fill="D9D9D9" w:themeFill="background1" w:themeFillShade="D9"/>
            <w:vAlign w:val="center"/>
          </w:tcPr>
          <w:p w14:paraId="3F938B44" w14:textId="77777777" w:rsidR="008F7C92" w:rsidRPr="007103E4" w:rsidRDefault="008F7C92" w:rsidP="00344BEA">
            <w:pPr>
              <w:spacing w:after="120"/>
              <w:jc w:val="center"/>
              <w:rPr>
                <w:rFonts w:ascii="Arial" w:hAnsi="Arial" w:cs="Arial"/>
                <w:b/>
                <w:sz w:val="20"/>
                <w:szCs w:val="20"/>
              </w:rPr>
            </w:pPr>
          </w:p>
        </w:tc>
        <w:tc>
          <w:tcPr>
            <w:tcW w:w="327" w:type="pct"/>
            <w:shd w:val="clear" w:color="auto" w:fill="D9D9D9" w:themeFill="background1" w:themeFillShade="D9"/>
            <w:vAlign w:val="center"/>
          </w:tcPr>
          <w:p w14:paraId="1A5296F5" w14:textId="77777777" w:rsidR="008F7C92" w:rsidRPr="007103E4" w:rsidRDefault="008F7C92" w:rsidP="00344BEA">
            <w:pPr>
              <w:spacing w:after="120"/>
              <w:jc w:val="center"/>
              <w:rPr>
                <w:rFonts w:ascii="Arial" w:hAnsi="Arial" w:cs="Arial"/>
                <w:b/>
                <w:sz w:val="20"/>
                <w:szCs w:val="20"/>
              </w:rPr>
            </w:pPr>
          </w:p>
        </w:tc>
      </w:tr>
      <w:tr w:rsidR="008F7C92" w:rsidRPr="00373ACB" w14:paraId="1998B8AB" w14:textId="77777777" w:rsidTr="008F7C92">
        <w:trPr>
          <w:trHeight w:val="397"/>
          <w:jc w:val="center"/>
        </w:trPr>
        <w:tc>
          <w:tcPr>
            <w:tcW w:w="1422" w:type="pct"/>
            <w:vAlign w:val="center"/>
          </w:tcPr>
          <w:p w14:paraId="611F3470" w14:textId="77777777" w:rsidR="008F7C92" w:rsidDel="004B019D" w:rsidRDefault="008F7C92" w:rsidP="00344BEA">
            <w:pPr>
              <w:spacing w:after="120"/>
              <w:rPr>
                <w:rFonts w:ascii="Arial" w:hAnsi="Arial" w:cs="Arial"/>
                <w:sz w:val="20"/>
                <w:szCs w:val="20"/>
              </w:rPr>
            </w:pPr>
            <w:r>
              <w:rPr>
                <w:rFonts w:ascii="Arial" w:hAnsi="Arial" w:cs="Arial"/>
                <w:sz w:val="20"/>
                <w:szCs w:val="20"/>
              </w:rPr>
              <w:t>Lectures</w:t>
            </w:r>
          </w:p>
        </w:tc>
        <w:tc>
          <w:tcPr>
            <w:tcW w:w="330" w:type="pct"/>
            <w:vAlign w:val="center"/>
          </w:tcPr>
          <w:p w14:paraId="052B979D"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29" w:type="pct"/>
            <w:vAlign w:val="center"/>
          </w:tcPr>
          <w:p w14:paraId="74641D3A"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3FC226F1"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165CC28C"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7FA023E9"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D8EA48B"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44B4EED"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781F992F"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6F449E07"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66F596C"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27" w:type="pct"/>
            <w:vAlign w:val="center"/>
          </w:tcPr>
          <w:p w14:paraId="68C646D8"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r>
      <w:tr w:rsidR="008F7C92" w:rsidRPr="00373ACB" w14:paraId="36944971" w14:textId="77777777" w:rsidTr="008F7C92">
        <w:trPr>
          <w:trHeight w:val="397"/>
          <w:jc w:val="center"/>
        </w:trPr>
        <w:tc>
          <w:tcPr>
            <w:tcW w:w="1422" w:type="pct"/>
            <w:vAlign w:val="center"/>
          </w:tcPr>
          <w:p w14:paraId="12F136B0" w14:textId="77777777" w:rsidR="008F7C92" w:rsidRPr="007103E4" w:rsidRDefault="008F7C92" w:rsidP="00344BEA">
            <w:pPr>
              <w:spacing w:after="120"/>
              <w:rPr>
                <w:rFonts w:ascii="Arial" w:hAnsi="Arial" w:cs="Arial"/>
                <w:sz w:val="20"/>
                <w:szCs w:val="20"/>
              </w:rPr>
            </w:pPr>
            <w:r w:rsidRPr="007103E4">
              <w:rPr>
                <w:rFonts w:ascii="Arial" w:hAnsi="Arial" w:cs="Arial"/>
                <w:sz w:val="20"/>
                <w:szCs w:val="20"/>
              </w:rPr>
              <w:t>Seminars</w:t>
            </w:r>
          </w:p>
        </w:tc>
        <w:tc>
          <w:tcPr>
            <w:tcW w:w="330" w:type="pct"/>
            <w:vAlign w:val="center"/>
          </w:tcPr>
          <w:p w14:paraId="4ACBCB1D"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29" w:type="pct"/>
            <w:vAlign w:val="center"/>
          </w:tcPr>
          <w:p w14:paraId="073BF4D3"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222BFB9A"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0C5FF839"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58C25BCD"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348B10C"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6BCF094"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96621BA"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7E28ACBD"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7977DC7F"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27" w:type="pct"/>
            <w:vAlign w:val="center"/>
          </w:tcPr>
          <w:p w14:paraId="0652EE80"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r>
      <w:tr w:rsidR="00412FCA" w:rsidRPr="00373ACB" w14:paraId="1CF18F14" w14:textId="77777777" w:rsidTr="008F7C92">
        <w:trPr>
          <w:trHeight w:val="397"/>
          <w:jc w:val="center"/>
        </w:trPr>
        <w:tc>
          <w:tcPr>
            <w:tcW w:w="1422" w:type="pct"/>
            <w:vAlign w:val="center"/>
          </w:tcPr>
          <w:p w14:paraId="2EAFFB79" w14:textId="0709FEEC" w:rsidR="00412FCA" w:rsidRPr="007103E4" w:rsidRDefault="00412FCA" w:rsidP="00344BEA">
            <w:pPr>
              <w:spacing w:after="120"/>
              <w:rPr>
                <w:rFonts w:ascii="Arial" w:hAnsi="Arial" w:cs="Arial"/>
                <w:sz w:val="20"/>
                <w:szCs w:val="20"/>
              </w:rPr>
            </w:pPr>
            <w:r>
              <w:rPr>
                <w:rFonts w:ascii="Arial" w:hAnsi="Arial" w:cs="Arial"/>
                <w:sz w:val="20"/>
                <w:szCs w:val="20"/>
              </w:rPr>
              <w:t>Workshops</w:t>
            </w:r>
          </w:p>
        </w:tc>
        <w:tc>
          <w:tcPr>
            <w:tcW w:w="330" w:type="pct"/>
            <w:vAlign w:val="center"/>
          </w:tcPr>
          <w:p w14:paraId="304F21BB" w14:textId="2679210F"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29" w:type="pct"/>
            <w:vAlign w:val="center"/>
          </w:tcPr>
          <w:p w14:paraId="66CDD56D" w14:textId="2A24EDC4"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181B648" w14:textId="77A34A45"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83A890C" w14:textId="3CE09305"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8A88799" w14:textId="7AB4A9FB"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6466CFA6" w14:textId="472CB576"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5738EFB1" w14:textId="27A14504"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E5031B7" w14:textId="45E4DEC3"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5902036" w14:textId="333FB342"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5306C38" w14:textId="18A6C8DD" w:rsidR="00412FCA" w:rsidRDefault="00412FCA" w:rsidP="00344BEA">
            <w:pPr>
              <w:spacing w:after="120"/>
              <w:jc w:val="center"/>
              <w:rPr>
                <w:rFonts w:ascii="Arial" w:hAnsi="Arial" w:cs="Arial"/>
                <w:sz w:val="20"/>
                <w:szCs w:val="20"/>
              </w:rPr>
            </w:pPr>
            <w:r>
              <w:rPr>
                <w:rFonts w:ascii="Arial" w:hAnsi="Arial" w:cs="Arial"/>
                <w:sz w:val="20"/>
                <w:szCs w:val="20"/>
              </w:rPr>
              <w:t>x</w:t>
            </w:r>
          </w:p>
        </w:tc>
        <w:tc>
          <w:tcPr>
            <w:tcW w:w="327" w:type="pct"/>
            <w:vAlign w:val="center"/>
          </w:tcPr>
          <w:p w14:paraId="4DB46773" w14:textId="345F87A9" w:rsidR="00412FCA" w:rsidRDefault="00412FCA" w:rsidP="00344BEA">
            <w:pPr>
              <w:spacing w:after="120"/>
              <w:jc w:val="center"/>
              <w:rPr>
                <w:rFonts w:ascii="Arial" w:hAnsi="Arial" w:cs="Arial"/>
                <w:sz w:val="20"/>
                <w:szCs w:val="20"/>
              </w:rPr>
            </w:pPr>
            <w:r>
              <w:rPr>
                <w:rFonts w:ascii="Arial" w:hAnsi="Arial" w:cs="Arial"/>
                <w:sz w:val="20"/>
                <w:szCs w:val="20"/>
              </w:rPr>
              <w:t>x</w:t>
            </w:r>
          </w:p>
        </w:tc>
      </w:tr>
      <w:tr w:rsidR="008F7C92" w:rsidRPr="00373ACB" w14:paraId="16584149" w14:textId="77777777" w:rsidTr="008F7C92">
        <w:trPr>
          <w:trHeight w:val="397"/>
          <w:jc w:val="center"/>
        </w:trPr>
        <w:tc>
          <w:tcPr>
            <w:tcW w:w="1422" w:type="pct"/>
            <w:vAlign w:val="center"/>
          </w:tcPr>
          <w:p w14:paraId="71D23C94" w14:textId="77777777" w:rsidR="008F7C92" w:rsidRPr="008F7C92" w:rsidRDefault="008F7C92" w:rsidP="00344BEA">
            <w:pPr>
              <w:spacing w:after="120"/>
              <w:rPr>
                <w:rFonts w:ascii="Arial" w:hAnsi="Arial" w:cs="Arial"/>
                <w:sz w:val="20"/>
                <w:szCs w:val="20"/>
                <w:highlight w:val="green"/>
              </w:rPr>
            </w:pPr>
            <w:r w:rsidRPr="00DE4687">
              <w:rPr>
                <w:rFonts w:ascii="Arial" w:hAnsi="Arial" w:cs="Arial"/>
                <w:sz w:val="20"/>
                <w:szCs w:val="20"/>
              </w:rPr>
              <w:t>Private Study</w:t>
            </w:r>
          </w:p>
        </w:tc>
        <w:tc>
          <w:tcPr>
            <w:tcW w:w="330" w:type="pct"/>
            <w:vAlign w:val="center"/>
          </w:tcPr>
          <w:p w14:paraId="296AF360"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29" w:type="pct"/>
            <w:vAlign w:val="center"/>
          </w:tcPr>
          <w:p w14:paraId="07077C3A"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45356216"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2C00B57E"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23F71E6"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7015733"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97B26C8"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248B85AC"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793E81C"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203C3EBC"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27" w:type="pct"/>
            <w:vAlign w:val="center"/>
          </w:tcPr>
          <w:p w14:paraId="423F6D7E"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r>
      <w:tr w:rsidR="008F7C92" w:rsidRPr="00373ACB" w14:paraId="0880627B" w14:textId="77777777" w:rsidTr="008F7C92">
        <w:trPr>
          <w:trHeight w:val="397"/>
          <w:jc w:val="center"/>
        </w:trPr>
        <w:tc>
          <w:tcPr>
            <w:tcW w:w="1422" w:type="pct"/>
            <w:shd w:val="clear" w:color="auto" w:fill="D9D9D9" w:themeFill="background1" w:themeFillShade="D9"/>
            <w:vAlign w:val="center"/>
          </w:tcPr>
          <w:p w14:paraId="52CD3E12" w14:textId="77777777" w:rsidR="008F7C92" w:rsidRPr="00373ACB" w:rsidRDefault="008F7C92" w:rsidP="00344BEA">
            <w:pPr>
              <w:spacing w:after="120"/>
              <w:jc w:val="center"/>
              <w:rPr>
                <w:rFonts w:ascii="Arial" w:hAnsi="Arial" w:cs="Arial"/>
                <w:b/>
                <w:sz w:val="20"/>
                <w:szCs w:val="20"/>
              </w:rPr>
            </w:pPr>
            <w:r w:rsidRPr="00373ACB">
              <w:rPr>
                <w:rFonts w:ascii="Arial" w:hAnsi="Arial" w:cs="Arial"/>
                <w:b/>
                <w:sz w:val="20"/>
                <w:szCs w:val="20"/>
              </w:rPr>
              <w:t>Assessment method</w:t>
            </w:r>
          </w:p>
        </w:tc>
        <w:tc>
          <w:tcPr>
            <w:tcW w:w="330" w:type="pct"/>
            <w:shd w:val="clear" w:color="auto" w:fill="D9D9D9" w:themeFill="background1" w:themeFillShade="D9"/>
            <w:vAlign w:val="center"/>
          </w:tcPr>
          <w:p w14:paraId="26D32D5B" w14:textId="77777777" w:rsidR="008F7C92" w:rsidRPr="007103E4" w:rsidRDefault="008F7C92" w:rsidP="00344BEA">
            <w:pPr>
              <w:spacing w:after="120"/>
              <w:jc w:val="center"/>
              <w:rPr>
                <w:rFonts w:ascii="Arial" w:hAnsi="Arial" w:cs="Arial"/>
                <w:b/>
                <w:sz w:val="20"/>
                <w:szCs w:val="20"/>
              </w:rPr>
            </w:pPr>
          </w:p>
        </w:tc>
        <w:tc>
          <w:tcPr>
            <w:tcW w:w="329" w:type="pct"/>
            <w:shd w:val="clear" w:color="auto" w:fill="D9D9D9" w:themeFill="background1" w:themeFillShade="D9"/>
            <w:vAlign w:val="center"/>
          </w:tcPr>
          <w:p w14:paraId="0E7FB65B" w14:textId="77777777" w:rsidR="008F7C92" w:rsidRPr="007103E4" w:rsidRDefault="008F7C92" w:rsidP="00344BEA">
            <w:pPr>
              <w:spacing w:after="120"/>
              <w:jc w:val="center"/>
              <w:rPr>
                <w:rFonts w:ascii="Arial" w:hAnsi="Arial" w:cs="Arial"/>
                <w:b/>
                <w:sz w:val="20"/>
                <w:szCs w:val="20"/>
              </w:rPr>
            </w:pPr>
          </w:p>
        </w:tc>
        <w:tc>
          <w:tcPr>
            <w:tcW w:w="331" w:type="pct"/>
            <w:shd w:val="clear" w:color="auto" w:fill="D9D9D9" w:themeFill="background1" w:themeFillShade="D9"/>
            <w:vAlign w:val="center"/>
          </w:tcPr>
          <w:p w14:paraId="548380AC" w14:textId="77777777" w:rsidR="008F7C92" w:rsidRPr="007103E4" w:rsidRDefault="008F7C92" w:rsidP="00344BEA">
            <w:pPr>
              <w:spacing w:after="120"/>
              <w:jc w:val="center"/>
              <w:rPr>
                <w:rFonts w:ascii="Arial" w:hAnsi="Arial" w:cs="Arial"/>
                <w:b/>
                <w:sz w:val="20"/>
                <w:szCs w:val="20"/>
              </w:rPr>
            </w:pPr>
          </w:p>
        </w:tc>
        <w:tc>
          <w:tcPr>
            <w:tcW w:w="356" w:type="pct"/>
            <w:shd w:val="clear" w:color="auto" w:fill="D9D9D9" w:themeFill="background1" w:themeFillShade="D9"/>
            <w:vAlign w:val="center"/>
          </w:tcPr>
          <w:p w14:paraId="53EC287D" w14:textId="77777777" w:rsidR="008F7C92" w:rsidRPr="007103E4" w:rsidRDefault="008F7C92" w:rsidP="00344BEA">
            <w:pPr>
              <w:spacing w:after="120"/>
              <w:jc w:val="center"/>
              <w:rPr>
                <w:rFonts w:ascii="Arial" w:hAnsi="Arial" w:cs="Arial"/>
                <w:b/>
                <w:sz w:val="20"/>
                <w:szCs w:val="20"/>
              </w:rPr>
            </w:pPr>
          </w:p>
        </w:tc>
        <w:tc>
          <w:tcPr>
            <w:tcW w:w="336" w:type="pct"/>
            <w:shd w:val="clear" w:color="auto" w:fill="D9D9D9" w:themeFill="background1" w:themeFillShade="D9"/>
            <w:vAlign w:val="center"/>
          </w:tcPr>
          <w:p w14:paraId="25DA33BB" w14:textId="77777777" w:rsidR="008F7C92" w:rsidRPr="007103E4" w:rsidRDefault="008F7C92" w:rsidP="00344BEA">
            <w:pPr>
              <w:spacing w:after="120"/>
              <w:jc w:val="center"/>
              <w:rPr>
                <w:rFonts w:ascii="Arial" w:hAnsi="Arial" w:cs="Arial"/>
                <w:b/>
                <w:sz w:val="20"/>
                <w:szCs w:val="20"/>
              </w:rPr>
            </w:pPr>
          </w:p>
        </w:tc>
        <w:tc>
          <w:tcPr>
            <w:tcW w:w="299" w:type="pct"/>
            <w:shd w:val="clear" w:color="auto" w:fill="D9D9D9" w:themeFill="background1" w:themeFillShade="D9"/>
            <w:vAlign w:val="center"/>
          </w:tcPr>
          <w:p w14:paraId="3EFF4B20" w14:textId="77777777" w:rsidR="008F7C92" w:rsidRPr="007103E4" w:rsidRDefault="008F7C92" w:rsidP="00344BEA">
            <w:pPr>
              <w:spacing w:after="120"/>
              <w:jc w:val="center"/>
              <w:rPr>
                <w:rFonts w:ascii="Arial" w:hAnsi="Arial" w:cs="Arial"/>
                <w:b/>
                <w:sz w:val="20"/>
                <w:szCs w:val="20"/>
              </w:rPr>
            </w:pPr>
          </w:p>
        </w:tc>
        <w:tc>
          <w:tcPr>
            <w:tcW w:w="299" w:type="pct"/>
            <w:shd w:val="clear" w:color="auto" w:fill="D9D9D9" w:themeFill="background1" w:themeFillShade="D9"/>
            <w:vAlign w:val="center"/>
          </w:tcPr>
          <w:p w14:paraId="62F1DB52" w14:textId="77777777" w:rsidR="008F7C92" w:rsidRPr="007103E4" w:rsidRDefault="008F7C92" w:rsidP="00344BEA">
            <w:pPr>
              <w:spacing w:after="120"/>
              <w:jc w:val="center"/>
              <w:rPr>
                <w:rFonts w:ascii="Arial" w:hAnsi="Arial" w:cs="Arial"/>
                <w:b/>
                <w:sz w:val="20"/>
                <w:szCs w:val="20"/>
              </w:rPr>
            </w:pPr>
          </w:p>
        </w:tc>
        <w:tc>
          <w:tcPr>
            <w:tcW w:w="299" w:type="pct"/>
            <w:shd w:val="clear" w:color="auto" w:fill="D9D9D9" w:themeFill="background1" w:themeFillShade="D9"/>
            <w:vAlign w:val="center"/>
          </w:tcPr>
          <w:p w14:paraId="7377CAAD" w14:textId="77777777" w:rsidR="008F7C92" w:rsidRPr="007103E4" w:rsidRDefault="008F7C92" w:rsidP="00344BEA">
            <w:pPr>
              <w:spacing w:after="120"/>
              <w:jc w:val="center"/>
              <w:rPr>
                <w:rFonts w:ascii="Arial" w:hAnsi="Arial" w:cs="Arial"/>
                <w:b/>
                <w:sz w:val="20"/>
                <w:szCs w:val="20"/>
              </w:rPr>
            </w:pPr>
          </w:p>
        </w:tc>
        <w:tc>
          <w:tcPr>
            <w:tcW w:w="336" w:type="pct"/>
            <w:shd w:val="clear" w:color="auto" w:fill="D9D9D9" w:themeFill="background1" w:themeFillShade="D9"/>
            <w:vAlign w:val="center"/>
          </w:tcPr>
          <w:p w14:paraId="55A752A5" w14:textId="77777777" w:rsidR="008F7C92" w:rsidRPr="007103E4" w:rsidRDefault="008F7C92" w:rsidP="00344BEA">
            <w:pPr>
              <w:spacing w:after="120"/>
              <w:jc w:val="center"/>
              <w:rPr>
                <w:rFonts w:ascii="Arial" w:hAnsi="Arial" w:cs="Arial"/>
                <w:b/>
                <w:sz w:val="20"/>
                <w:szCs w:val="20"/>
              </w:rPr>
            </w:pPr>
          </w:p>
        </w:tc>
        <w:tc>
          <w:tcPr>
            <w:tcW w:w="336" w:type="pct"/>
            <w:shd w:val="clear" w:color="auto" w:fill="D9D9D9" w:themeFill="background1" w:themeFillShade="D9"/>
            <w:vAlign w:val="center"/>
          </w:tcPr>
          <w:p w14:paraId="0F1A7144" w14:textId="77777777" w:rsidR="008F7C92" w:rsidRPr="007103E4" w:rsidRDefault="008F7C92" w:rsidP="00344BEA">
            <w:pPr>
              <w:spacing w:after="120"/>
              <w:jc w:val="center"/>
              <w:rPr>
                <w:rFonts w:ascii="Arial" w:hAnsi="Arial" w:cs="Arial"/>
                <w:b/>
                <w:sz w:val="20"/>
                <w:szCs w:val="20"/>
              </w:rPr>
            </w:pPr>
          </w:p>
        </w:tc>
        <w:tc>
          <w:tcPr>
            <w:tcW w:w="327" w:type="pct"/>
            <w:shd w:val="clear" w:color="auto" w:fill="D9D9D9" w:themeFill="background1" w:themeFillShade="D9"/>
            <w:vAlign w:val="center"/>
          </w:tcPr>
          <w:p w14:paraId="0477F1B5" w14:textId="77777777" w:rsidR="008F7C92" w:rsidRPr="007103E4" w:rsidRDefault="008F7C92" w:rsidP="00344BEA">
            <w:pPr>
              <w:spacing w:after="120"/>
              <w:jc w:val="center"/>
              <w:rPr>
                <w:rFonts w:ascii="Arial" w:hAnsi="Arial" w:cs="Arial"/>
                <w:b/>
                <w:sz w:val="20"/>
                <w:szCs w:val="20"/>
              </w:rPr>
            </w:pPr>
          </w:p>
        </w:tc>
      </w:tr>
      <w:tr w:rsidR="008F7C92" w:rsidRPr="00373ACB" w14:paraId="73CD78F4" w14:textId="77777777" w:rsidTr="008F7C92">
        <w:trPr>
          <w:trHeight w:val="397"/>
          <w:jc w:val="center"/>
        </w:trPr>
        <w:tc>
          <w:tcPr>
            <w:tcW w:w="1422" w:type="pct"/>
            <w:vAlign w:val="center"/>
          </w:tcPr>
          <w:p w14:paraId="404EC53A" w14:textId="77777777" w:rsidR="008F7C92" w:rsidRPr="00D71DF4" w:rsidRDefault="008F7C92" w:rsidP="00344BEA">
            <w:pPr>
              <w:spacing w:after="120"/>
              <w:rPr>
                <w:rFonts w:ascii="Arial" w:hAnsi="Arial" w:cs="Arial"/>
                <w:sz w:val="20"/>
                <w:szCs w:val="20"/>
              </w:rPr>
            </w:pPr>
            <w:r>
              <w:rPr>
                <w:rFonts w:ascii="Arial" w:hAnsi="Arial" w:cs="Arial"/>
                <w:sz w:val="20"/>
                <w:szCs w:val="20"/>
              </w:rPr>
              <w:t>Seminar attendance (pass/fail)</w:t>
            </w:r>
          </w:p>
        </w:tc>
        <w:tc>
          <w:tcPr>
            <w:tcW w:w="330" w:type="pct"/>
            <w:vAlign w:val="center"/>
          </w:tcPr>
          <w:p w14:paraId="28F112EB"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29" w:type="pct"/>
            <w:vAlign w:val="center"/>
          </w:tcPr>
          <w:p w14:paraId="436F9AD6"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2B93D8F0"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61F636D1"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3DA1E2A4"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6808AF1"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0C5EFF78"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337B4FBF"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1CAF3239"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8267466"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c>
          <w:tcPr>
            <w:tcW w:w="327" w:type="pct"/>
            <w:vAlign w:val="center"/>
          </w:tcPr>
          <w:p w14:paraId="464C2FAA" w14:textId="77777777" w:rsidR="008F7C92" w:rsidRPr="007103E4" w:rsidRDefault="008F7C92" w:rsidP="00344BEA">
            <w:pPr>
              <w:spacing w:after="120"/>
              <w:jc w:val="center"/>
              <w:rPr>
                <w:rFonts w:ascii="Arial" w:hAnsi="Arial" w:cs="Arial"/>
                <w:sz w:val="20"/>
                <w:szCs w:val="20"/>
              </w:rPr>
            </w:pPr>
            <w:r>
              <w:rPr>
                <w:rFonts w:ascii="Arial" w:hAnsi="Arial" w:cs="Arial"/>
                <w:sz w:val="20"/>
                <w:szCs w:val="20"/>
              </w:rPr>
              <w:t>x</w:t>
            </w:r>
          </w:p>
        </w:tc>
      </w:tr>
      <w:tr w:rsidR="008F7C92" w:rsidRPr="00373ACB" w14:paraId="5C583730" w14:textId="77777777" w:rsidTr="008F7C92">
        <w:trPr>
          <w:trHeight w:val="397"/>
          <w:jc w:val="center"/>
        </w:trPr>
        <w:tc>
          <w:tcPr>
            <w:tcW w:w="1422" w:type="pct"/>
            <w:vAlign w:val="center"/>
          </w:tcPr>
          <w:p w14:paraId="2CA60D92" w14:textId="77777777" w:rsidR="008F7C92" w:rsidDel="009A50A6" w:rsidRDefault="008F7C92" w:rsidP="00344BEA">
            <w:pPr>
              <w:spacing w:after="120"/>
              <w:rPr>
                <w:rFonts w:ascii="Arial" w:hAnsi="Arial" w:cs="Arial"/>
                <w:sz w:val="20"/>
                <w:szCs w:val="20"/>
              </w:rPr>
            </w:pPr>
            <w:r>
              <w:rPr>
                <w:rFonts w:ascii="Arial" w:hAnsi="Arial" w:cs="Arial"/>
                <w:sz w:val="20"/>
                <w:szCs w:val="20"/>
              </w:rPr>
              <w:t>Recovery essay (pass/fail)</w:t>
            </w:r>
          </w:p>
        </w:tc>
        <w:tc>
          <w:tcPr>
            <w:tcW w:w="330" w:type="pct"/>
            <w:vAlign w:val="center"/>
          </w:tcPr>
          <w:p w14:paraId="79636749"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29" w:type="pct"/>
            <w:vAlign w:val="center"/>
          </w:tcPr>
          <w:p w14:paraId="757E6622"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1" w:type="pct"/>
            <w:vAlign w:val="center"/>
          </w:tcPr>
          <w:p w14:paraId="0D21280E"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56" w:type="pct"/>
            <w:vAlign w:val="center"/>
          </w:tcPr>
          <w:p w14:paraId="4C0A64BF"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45C7CE0D"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D389A52"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1F850E36"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299" w:type="pct"/>
            <w:vAlign w:val="center"/>
          </w:tcPr>
          <w:p w14:paraId="4E7EFFF6"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792E721B"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36" w:type="pct"/>
            <w:vAlign w:val="center"/>
          </w:tcPr>
          <w:p w14:paraId="05DC6BAD"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c>
          <w:tcPr>
            <w:tcW w:w="327" w:type="pct"/>
            <w:vAlign w:val="center"/>
          </w:tcPr>
          <w:p w14:paraId="741B74AE" w14:textId="77777777" w:rsidR="008F7C92" w:rsidRDefault="008F7C92" w:rsidP="00344BEA">
            <w:pPr>
              <w:spacing w:after="120"/>
              <w:jc w:val="center"/>
              <w:rPr>
                <w:rFonts w:ascii="Arial" w:hAnsi="Arial" w:cs="Arial"/>
                <w:sz w:val="20"/>
                <w:szCs w:val="20"/>
              </w:rPr>
            </w:pPr>
            <w:r>
              <w:rPr>
                <w:rFonts w:ascii="Arial" w:hAnsi="Arial" w:cs="Arial"/>
                <w:sz w:val="20"/>
                <w:szCs w:val="20"/>
              </w:rPr>
              <w:t>x</w:t>
            </w:r>
          </w:p>
        </w:tc>
      </w:tr>
    </w:tbl>
    <w:p w14:paraId="3F4A0F91" w14:textId="77777777" w:rsidR="007A6245" w:rsidRDefault="007A6245" w:rsidP="00302082">
      <w:pPr>
        <w:spacing w:after="120" w:line="240" w:lineRule="auto"/>
        <w:ind w:left="426" w:right="260"/>
        <w:rPr>
          <w:rFonts w:ascii="Arial" w:hAnsi="Arial" w:cs="Arial"/>
          <w:b/>
          <w:iCs/>
        </w:rPr>
      </w:pPr>
    </w:p>
    <w:p w14:paraId="1744136E" w14:textId="77777777" w:rsidR="008F7C92" w:rsidRDefault="008F7C92" w:rsidP="00302082">
      <w:pPr>
        <w:spacing w:after="120" w:line="240" w:lineRule="auto"/>
        <w:ind w:left="426" w:right="260"/>
        <w:rPr>
          <w:rFonts w:ascii="Arial" w:hAnsi="Arial" w:cs="Arial"/>
          <w:b/>
          <w:iCs/>
        </w:rPr>
      </w:pPr>
    </w:p>
    <w:p w14:paraId="29AA3010" w14:textId="77777777" w:rsidR="00883204" w:rsidRPr="00D50113" w:rsidRDefault="00883204" w:rsidP="00F5515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102AC22" w14:textId="37CDB553" w:rsidR="00883204" w:rsidRDefault="00883204" w:rsidP="00F55150">
      <w:pPr>
        <w:autoSpaceDE w:val="0"/>
        <w:autoSpaceDN w:val="0"/>
        <w:adjustRightInd w:val="0"/>
        <w:spacing w:after="120" w:line="240" w:lineRule="auto"/>
        <w:ind w:left="567" w:right="260"/>
        <w:jc w:val="both"/>
        <w:rPr>
          <w:rFonts w:ascii="Arial" w:hAnsi="Arial" w:cs="Arial"/>
        </w:rPr>
      </w:pPr>
      <w:r w:rsidRPr="008F7C92">
        <w:rPr>
          <w:rFonts w:ascii="Arial" w:hAnsi="Arial" w:cs="Arial"/>
        </w:rPr>
        <w:t>The School</w:t>
      </w:r>
      <w:r w:rsidR="008F7C92" w:rsidRPr="008F7C92">
        <w:rPr>
          <w:rFonts w:ascii="Arial" w:hAnsi="Arial" w:cs="Arial"/>
        </w:rPr>
        <w:t xml:space="preserve"> </w:t>
      </w:r>
      <w:r w:rsidRPr="008F7C92">
        <w:rPr>
          <w:rFonts w:ascii="Arial" w:hAnsi="Arial" w:cs="Arial"/>
        </w:rPr>
        <w:t>recognise</w:t>
      </w:r>
      <w:r w:rsidRPr="00D50113">
        <w:rPr>
          <w:rFonts w:ascii="Arial" w:hAnsi="Arial" w:cs="Arial"/>
        </w:rPr>
        <w:t>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9B1F662" w14:textId="77777777" w:rsidR="00F55150" w:rsidRPr="00D50113" w:rsidRDefault="00F55150" w:rsidP="00F55150">
      <w:pPr>
        <w:autoSpaceDE w:val="0"/>
        <w:autoSpaceDN w:val="0"/>
        <w:adjustRightInd w:val="0"/>
        <w:spacing w:after="120" w:line="240" w:lineRule="auto"/>
        <w:ind w:left="567" w:right="260"/>
        <w:jc w:val="both"/>
        <w:rPr>
          <w:rFonts w:ascii="Arial" w:hAnsi="Arial" w:cs="Arial"/>
        </w:rPr>
      </w:pPr>
    </w:p>
    <w:p w14:paraId="5E92516B" w14:textId="0A48EC14" w:rsidR="00883204" w:rsidRDefault="00883204" w:rsidP="00F5515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A9564ED" w14:textId="77777777" w:rsidR="00F55150" w:rsidRPr="00D50113" w:rsidRDefault="00F55150" w:rsidP="00F55150">
      <w:pPr>
        <w:autoSpaceDE w:val="0"/>
        <w:autoSpaceDN w:val="0"/>
        <w:adjustRightInd w:val="0"/>
        <w:spacing w:after="120" w:line="240" w:lineRule="auto"/>
        <w:ind w:left="567" w:right="260"/>
        <w:jc w:val="both"/>
        <w:rPr>
          <w:rFonts w:ascii="Arial" w:hAnsi="Arial" w:cs="Arial"/>
        </w:rPr>
      </w:pPr>
    </w:p>
    <w:p w14:paraId="2E4A5123" w14:textId="77777777" w:rsidR="008F7C92" w:rsidRPr="008F7C92" w:rsidRDefault="008F7C92" w:rsidP="00F55150">
      <w:pPr>
        <w:spacing w:after="120" w:line="240" w:lineRule="auto"/>
        <w:ind w:left="567" w:right="260"/>
        <w:rPr>
          <w:rFonts w:ascii="Arial" w:hAnsi="Arial" w:cs="Arial"/>
          <w:b/>
          <w:szCs w:val="20"/>
        </w:rPr>
      </w:pPr>
      <w:r w:rsidRPr="008F7C92">
        <w:rPr>
          <w:rFonts w:ascii="Arial" w:hAnsi="Arial" w:cs="Arial"/>
          <w:b/>
          <w:szCs w:val="20"/>
        </w:rPr>
        <w:t>a) Accessible resources and curriculum</w:t>
      </w:r>
    </w:p>
    <w:p w14:paraId="741773CB" w14:textId="77777777" w:rsidR="008F7C92" w:rsidRPr="008F7C92" w:rsidRDefault="008F7C92" w:rsidP="00B47397">
      <w:pPr>
        <w:pStyle w:val="ListParagraph"/>
        <w:numPr>
          <w:ilvl w:val="1"/>
          <w:numId w:val="8"/>
        </w:numPr>
        <w:spacing w:after="120" w:line="240" w:lineRule="auto"/>
        <w:ind w:left="1134" w:right="260" w:hanging="567"/>
        <w:jc w:val="both"/>
        <w:rPr>
          <w:rFonts w:ascii="Arial" w:hAnsi="Arial" w:cs="Arial"/>
          <w:szCs w:val="20"/>
        </w:rPr>
      </w:pPr>
      <w:r w:rsidRPr="008F7C92">
        <w:rPr>
          <w:rFonts w:ascii="Arial" w:hAnsi="Arial" w:cs="Arial"/>
          <w:szCs w:val="20"/>
        </w:rPr>
        <w:t>Where provided, preference will be given to electronic resources that meet minimum accessibility standards and support the use of assistive technologies.</w:t>
      </w:r>
    </w:p>
    <w:p w14:paraId="42C228E8" w14:textId="77777777" w:rsidR="008F7C92" w:rsidRPr="008F7C92" w:rsidRDefault="008F7C92" w:rsidP="00B47397">
      <w:pPr>
        <w:pStyle w:val="ListParagraph"/>
        <w:numPr>
          <w:ilvl w:val="1"/>
          <w:numId w:val="8"/>
        </w:numPr>
        <w:spacing w:after="120" w:line="240" w:lineRule="auto"/>
        <w:ind w:left="1134" w:right="260" w:hanging="567"/>
        <w:jc w:val="both"/>
        <w:rPr>
          <w:rFonts w:ascii="Arial" w:hAnsi="Arial" w:cs="Arial"/>
          <w:szCs w:val="20"/>
        </w:rPr>
      </w:pPr>
      <w:r w:rsidRPr="008F7C92">
        <w:rPr>
          <w:rFonts w:ascii="Arial" w:hAnsi="Arial" w:cs="Arial"/>
          <w:szCs w:val="20"/>
        </w:rPr>
        <w:lastRenderedPageBreak/>
        <w:t xml:space="preserve">Module information will be made accessible before the module starts. </w:t>
      </w:r>
    </w:p>
    <w:p w14:paraId="2DA8375B" w14:textId="77777777" w:rsidR="008F7C92" w:rsidRPr="008F7C92" w:rsidRDefault="008F7C92" w:rsidP="00B47397">
      <w:pPr>
        <w:pStyle w:val="ListParagraph"/>
        <w:numPr>
          <w:ilvl w:val="1"/>
          <w:numId w:val="8"/>
        </w:numPr>
        <w:spacing w:after="120" w:line="240" w:lineRule="auto"/>
        <w:ind w:left="1134" w:right="260" w:hanging="567"/>
        <w:jc w:val="both"/>
        <w:rPr>
          <w:rFonts w:ascii="Arial" w:hAnsi="Arial" w:cs="Arial"/>
          <w:szCs w:val="20"/>
        </w:rPr>
      </w:pPr>
      <w:r w:rsidRPr="008F7C92">
        <w:rPr>
          <w:rFonts w:ascii="Arial" w:hAnsi="Arial" w:cs="Arial"/>
          <w:szCs w:val="20"/>
        </w:rPr>
        <w:t>Reading lists will be made available sufficiently in advance to accommodate the provision of alternative formats and support those with a slow reading speed.</w:t>
      </w:r>
    </w:p>
    <w:p w14:paraId="2B23289F" w14:textId="77777777" w:rsidR="00453CB8" w:rsidRDefault="008F7C92" w:rsidP="00B47397">
      <w:pPr>
        <w:pStyle w:val="ListParagraph"/>
        <w:numPr>
          <w:ilvl w:val="1"/>
          <w:numId w:val="8"/>
        </w:numPr>
        <w:spacing w:after="120" w:line="240" w:lineRule="auto"/>
        <w:ind w:left="1134" w:right="260" w:hanging="567"/>
        <w:rPr>
          <w:rFonts w:ascii="Arial" w:hAnsi="Arial" w:cs="Arial"/>
          <w:szCs w:val="20"/>
        </w:rPr>
      </w:pPr>
      <w:r w:rsidRPr="008F7C92">
        <w:rPr>
          <w:rFonts w:ascii="Arial" w:hAnsi="Arial" w:cs="Arial"/>
          <w:szCs w:val="20"/>
        </w:rPr>
        <w:t>Where appropriate, slides used during the course of the module will be made available in electronic format in advance or shortly after the session concerned.</w:t>
      </w:r>
    </w:p>
    <w:p w14:paraId="29606731" w14:textId="501F3396" w:rsidR="008F7C92" w:rsidRPr="008F7C92" w:rsidRDefault="007B759C" w:rsidP="00453CB8">
      <w:pPr>
        <w:pStyle w:val="ListParagraph"/>
        <w:numPr>
          <w:ilvl w:val="1"/>
          <w:numId w:val="8"/>
        </w:numPr>
        <w:spacing w:after="120" w:line="240" w:lineRule="auto"/>
        <w:ind w:left="993" w:right="260" w:hanging="426"/>
        <w:rPr>
          <w:rFonts w:ascii="Arial" w:hAnsi="Arial" w:cs="Arial"/>
          <w:szCs w:val="20"/>
        </w:rPr>
      </w:pPr>
      <w:r>
        <w:rPr>
          <w:rFonts w:ascii="Arial" w:hAnsi="Arial" w:cs="Arial"/>
          <w:szCs w:val="20"/>
        </w:rPr>
        <w:t xml:space="preserve">  </w:t>
      </w:r>
      <w:r w:rsidR="00453CB8" w:rsidRPr="00453CB8">
        <w:rPr>
          <w:rFonts w:ascii="Arial" w:hAnsi="Arial" w:cs="Arial"/>
          <w:szCs w:val="20"/>
        </w:rPr>
        <w:t xml:space="preserve">In Brussels, </w:t>
      </w:r>
      <w:r w:rsidR="00453CB8">
        <w:rPr>
          <w:rFonts w:ascii="Arial" w:hAnsi="Arial" w:cs="Arial"/>
          <w:szCs w:val="20"/>
        </w:rPr>
        <w:t xml:space="preserve">lecture </w:t>
      </w:r>
      <w:r w:rsidR="00453CB8" w:rsidRPr="00453CB8">
        <w:rPr>
          <w:rFonts w:ascii="Arial" w:hAnsi="Arial" w:cs="Arial"/>
          <w:szCs w:val="20"/>
        </w:rPr>
        <w:t>recording will be at the discretion of the module convenor.</w:t>
      </w:r>
      <w:r w:rsidR="008F7C92" w:rsidRPr="008F7C92">
        <w:rPr>
          <w:rFonts w:ascii="Arial" w:hAnsi="Arial" w:cs="Arial"/>
          <w:szCs w:val="20"/>
        </w:rPr>
        <w:br/>
      </w:r>
    </w:p>
    <w:p w14:paraId="72638110" w14:textId="77777777" w:rsidR="008F7C92" w:rsidRPr="008F7C92" w:rsidRDefault="008F7C92" w:rsidP="00F55150">
      <w:pPr>
        <w:spacing w:after="120" w:line="240" w:lineRule="auto"/>
        <w:ind w:left="567" w:right="260"/>
        <w:rPr>
          <w:rFonts w:ascii="Arial" w:hAnsi="Arial" w:cs="Arial"/>
          <w:b/>
          <w:szCs w:val="20"/>
        </w:rPr>
      </w:pPr>
      <w:r w:rsidRPr="008F7C92">
        <w:rPr>
          <w:rFonts w:ascii="Arial" w:hAnsi="Arial" w:cs="Arial"/>
          <w:b/>
          <w:szCs w:val="20"/>
        </w:rPr>
        <w:t>b) Learning, teaching and assessment methods</w:t>
      </w:r>
    </w:p>
    <w:p w14:paraId="6E5B40D7" w14:textId="5580AA10" w:rsidR="00096DA4" w:rsidRPr="008F7C92" w:rsidRDefault="008F7C92" w:rsidP="00F55150">
      <w:pPr>
        <w:spacing w:after="120" w:line="240" w:lineRule="auto"/>
        <w:ind w:left="567" w:right="260"/>
        <w:rPr>
          <w:rFonts w:ascii="Arial" w:hAnsi="Arial" w:cs="Arial"/>
          <w:iCs/>
          <w:szCs w:val="20"/>
        </w:rPr>
      </w:pPr>
      <w:r w:rsidRPr="008F7C92">
        <w:rPr>
          <w:rFonts w:ascii="Arial" w:hAnsi="Arial" w:cs="Arial"/>
          <w:iCs/>
          <w:szCs w:val="20"/>
        </w:rPr>
        <w:t>The inclusive practices in the guidance (Annex B Appendix A, section b</w:t>
      </w:r>
      <w:r w:rsidR="00453CB8">
        <w:rPr>
          <w:rFonts w:ascii="Arial" w:hAnsi="Arial" w:cs="Arial"/>
          <w:iCs/>
          <w:szCs w:val="20"/>
        </w:rPr>
        <w:t xml:space="preserve"> </w:t>
      </w:r>
      <w:r w:rsidRPr="008F7C92">
        <w:rPr>
          <w:rFonts w:ascii="Arial" w:hAnsi="Arial" w:cs="Arial"/>
          <w:iCs/>
          <w:szCs w:val="20"/>
        </w:rPr>
        <w:t>(1) and (2)) have all been considered in order to support all students in their assessments on this module.</w:t>
      </w:r>
    </w:p>
    <w:p w14:paraId="3DD36607" w14:textId="77777777" w:rsidR="008F7C92" w:rsidRPr="00302082" w:rsidRDefault="008F7C92" w:rsidP="00F55150">
      <w:pPr>
        <w:spacing w:after="120" w:line="240" w:lineRule="auto"/>
        <w:ind w:left="426" w:right="260"/>
        <w:rPr>
          <w:rFonts w:ascii="Arial" w:hAnsi="Arial" w:cs="Arial"/>
          <w:i/>
          <w:iCs/>
        </w:rPr>
      </w:pPr>
    </w:p>
    <w:p w14:paraId="71FDE000" w14:textId="77777777" w:rsidR="009A2D37" w:rsidRPr="00302082" w:rsidRDefault="00883204" w:rsidP="00F5515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3874873" w14:textId="77777777" w:rsidR="009A2D37" w:rsidRPr="008F7C92" w:rsidRDefault="008F7C92" w:rsidP="00F55150">
      <w:pPr>
        <w:spacing w:after="120" w:line="240" w:lineRule="auto"/>
        <w:ind w:left="567" w:right="260"/>
        <w:jc w:val="both"/>
        <w:rPr>
          <w:rFonts w:ascii="Arial" w:hAnsi="Arial" w:cs="Arial"/>
          <w:b/>
        </w:rPr>
      </w:pPr>
      <w:r w:rsidRPr="008F7C92">
        <w:rPr>
          <w:rFonts w:ascii="Arial" w:hAnsi="Arial" w:cs="Arial"/>
        </w:rPr>
        <w:t>Brussels</w:t>
      </w:r>
    </w:p>
    <w:p w14:paraId="67F345B5" w14:textId="77777777" w:rsidR="009A2D37" w:rsidRDefault="009A2D37" w:rsidP="00F55150">
      <w:pPr>
        <w:spacing w:after="120" w:line="240" w:lineRule="auto"/>
        <w:ind w:left="426" w:right="260"/>
        <w:rPr>
          <w:rFonts w:ascii="Arial" w:hAnsi="Arial" w:cs="Arial"/>
          <w:i/>
          <w:iCs/>
        </w:rPr>
      </w:pPr>
    </w:p>
    <w:p w14:paraId="7AC61A1A" w14:textId="77777777" w:rsidR="00883204" w:rsidRPr="002A7F48" w:rsidRDefault="00883204" w:rsidP="00F5515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4401F" w14:textId="77777777" w:rsidR="00922E9E" w:rsidRDefault="008F7C92" w:rsidP="00B47397">
      <w:pPr>
        <w:spacing w:after="120" w:line="240" w:lineRule="auto"/>
        <w:ind w:left="567" w:right="260"/>
        <w:jc w:val="both"/>
        <w:rPr>
          <w:rFonts w:ascii="Arial" w:hAnsi="Arial" w:cs="Arial"/>
          <w:i/>
          <w:iCs/>
        </w:rPr>
      </w:pPr>
      <w:r w:rsidRPr="008F7C92">
        <w:rPr>
          <w:rFonts w:ascii="Arial" w:hAnsi="Arial" w:cs="Arial"/>
        </w:rPr>
        <w:t xml:space="preserve">The module encourages comparative discussions of best and established practices of academic research and writing internationally. Furthermore, it advances conversations about the specificity of and variations in ethical and methodological concerns pertinent to data collection, writing, and publishing across different academic traditions.  </w:t>
      </w:r>
    </w:p>
    <w:p w14:paraId="7B7CB5A8" w14:textId="3FB346D1" w:rsidR="00883204" w:rsidRDefault="00883204" w:rsidP="00883204">
      <w:pPr>
        <w:pBdr>
          <w:bottom w:val="single" w:sz="12" w:space="1" w:color="auto"/>
        </w:pBdr>
        <w:spacing w:after="120" w:line="240" w:lineRule="auto"/>
        <w:ind w:right="260"/>
        <w:rPr>
          <w:rFonts w:ascii="Arial" w:hAnsi="Arial" w:cs="Arial"/>
          <w:b/>
        </w:rPr>
      </w:pPr>
    </w:p>
    <w:p w14:paraId="78DA89B8" w14:textId="77777777" w:rsidR="00AC655A" w:rsidRDefault="00AC655A" w:rsidP="00AC655A">
      <w:pPr>
        <w:spacing w:after="120" w:line="240" w:lineRule="auto"/>
        <w:ind w:right="260"/>
        <w:rPr>
          <w:rFonts w:ascii="Arial" w:hAnsi="Arial" w:cs="Arial"/>
        </w:rPr>
      </w:pPr>
    </w:p>
    <w:p w14:paraId="54D9BBC6" w14:textId="77777777" w:rsidR="00D54AF1" w:rsidRDefault="00D54AF1">
      <w:pPr>
        <w:rPr>
          <w:rFonts w:ascii="Arial" w:hAnsi="Arial" w:cs="Arial"/>
          <w:b/>
          <w:sz w:val="20"/>
        </w:rPr>
      </w:pPr>
      <w:r>
        <w:rPr>
          <w:rFonts w:ascii="Arial" w:hAnsi="Arial" w:cs="Arial"/>
          <w:b/>
          <w:sz w:val="20"/>
        </w:rPr>
        <w:br w:type="page"/>
      </w:r>
    </w:p>
    <w:p w14:paraId="339AAC11" w14:textId="21159AA0"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FC7CD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28A84D"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96D38A6" w14:textId="77777777" w:rsidTr="00B47397">
        <w:trPr>
          <w:trHeight w:val="317"/>
        </w:trPr>
        <w:tc>
          <w:tcPr>
            <w:tcW w:w="1526" w:type="dxa"/>
          </w:tcPr>
          <w:p w14:paraId="15CD73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5DE8E8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60E9B9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740C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40330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BA2B9D" w14:textId="77777777" w:rsidTr="00B47397">
        <w:trPr>
          <w:trHeight w:val="305"/>
        </w:trPr>
        <w:tc>
          <w:tcPr>
            <w:tcW w:w="1526" w:type="dxa"/>
          </w:tcPr>
          <w:p w14:paraId="6E231FEE" w14:textId="728DB7C6" w:rsidR="00422B69" w:rsidRPr="00302082" w:rsidRDefault="00AC655A" w:rsidP="00302082">
            <w:pPr>
              <w:spacing w:after="120"/>
              <w:ind w:right="-330"/>
              <w:rPr>
                <w:rFonts w:ascii="Arial" w:hAnsi="Arial" w:cs="Arial"/>
              </w:rPr>
            </w:pPr>
            <w:r>
              <w:rPr>
                <w:rFonts w:ascii="Arial" w:hAnsi="Arial" w:cs="Arial"/>
              </w:rPr>
              <w:t>06/01/2020</w:t>
            </w:r>
          </w:p>
        </w:tc>
        <w:tc>
          <w:tcPr>
            <w:tcW w:w="1701" w:type="dxa"/>
          </w:tcPr>
          <w:p w14:paraId="548CCF64" w14:textId="1F98BB2C" w:rsidR="00422B69" w:rsidRPr="00302082" w:rsidRDefault="00AC655A" w:rsidP="00302082">
            <w:pPr>
              <w:spacing w:after="120"/>
              <w:ind w:right="-330"/>
              <w:rPr>
                <w:rFonts w:ascii="Arial" w:hAnsi="Arial" w:cs="Arial"/>
              </w:rPr>
            </w:pPr>
            <w:r>
              <w:rPr>
                <w:rFonts w:ascii="Arial" w:hAnsi="Arial" w:cs="Arial"/>
              </w:rPr>
              <w:t>Minor</w:t>
            </w:r>
          </w:p>
        </w:tc>
        <w:tc>
          <w:tcPr>
            <w:tcW w:w="2410" w:type="dxa"/>
          </w:tcPr>
          <w:p w14:paraId="38FD18C1" w14:textId="6C828005" w:rsidR="00422B69" w:rsidRPr="00302082" w:rsidRDefault="00AC655A" w:rsidP="00302082">
            <w:pPr>
              <w:spacing w:after="120"/>
              <w:ind w:right="-330"/>
              <w:rPr>
                <w:rFonts w:ascii="Arial" w:hAnsi="Arial" w:cs="Arial"/>
              </w:rPr>
            </w:pPr>
            <w:r>
              <w:rPr>
                <w:rFonts w:ascii="Arial" w:hAnsi="Arial" w:cs="Arial"/>
              </w:rPr>
              <w:t>September 2020</w:t>
            </w:r>
          </w:p>
        </w:tc>
        <w:tc>
          <w:tcPr>
            <w:tcW w:w="2448" w:type="dxa"/>
          </w:tcPr>
          <w:p w14:paraId="60AB6D64" w14:textId="04FA33AA" w:rsidR="00422B69" w:rsidRPr="00302082" w:rsidRDefault="00AC655A" w:rsidP="00302082">
            <w:pPr>
              <w:spacing w:after="120"/>
              <w:ind w:right="-330"/>
              <w:rPr>
                <w:rFonts w:ascii="Arial" w:hAnsi="Arial" w:cs="Arial"/>
              </w:rPr>
            </w:pPr>
            <w:r>
              <w:rPr>
                <w:rFonts w:ascii="Arial" w:hAnsi="Arial" w:cs="Arial"/>
              </w:rPr>
              <w:t>15</w:t>
            </w:r>
          </w:p>
        </w:tc>
        <w:tc>
          <w:tcPr>
            <w:tcW w:w="2400" w:type="dxa"/>
          </w:tcPr>
          <w:p w14:paraId="2B9087E5" w14:textId="5AF42296" w:rsidR="00422B69" w:rsidRPr="00302082" w:rsidRDefault="00AC655A" w:rsidP="00302082">
            <w:pPr>
              <w:spacing w:after="120"/>
              <w:ind w:right="-330"/>
              <w:rPr>
                <w:rFonts w:ascii="Arial" w:hAnsi="Arial" w:cs="Arial"/>
              </w:rPr>
            </w:pPr>
            <w:r>
              <w:rPr>
                <w:rFonts w:ascii="Arial" w:hAnsi="Arial" w:cs="Arial"/>
              </w:rPr>
              <w:t>No</w:t>
            </w:r>
          </w:p>
        </w:tc>
      </w:tr>
      <w:tr w:rsidR="00302082" w:rsidRPr="00302082" w14:paraId="2812E373" w14:textId="77777777" w:rsidTr="00B47397">
        <w:trPr>
          <w:trHeight w:val="305"/>
        </w:trPr>
        <w:tc>
          <w:tcPr>
            <w:tcW w:w="1526" w:type="dxa"/>
          </w:tcPr>
          <w:p w14:paraId="1B28148F" w14:textId="77777777" w:rsidR="00422B69" w:rsidRPr="00302082" w:rsidRDefault="00422B69" w:rsidP="00302082">
            <w:pPr>
              <w:spacing w:after="120"/>
              <w:ind w:right="-330"/>
              <w:rPr>
                <w:rFonts w:ascii="Arial" w:hAnsi="Arial" w:cs="Arial"/>
              </w:rPr>
            </w:pPr>
          </w:p>
        </w:tc>
        <w:tc>
          <w:tcPr>
            <w:tcW w:w="1701" w:type="dxa"/>
          </w:tcPr>
          <w:p w14:paraId="6BA9625A" w14:textId="77777777" w:rsidR="00422B69" w:rsidRPr="00302082" w:rsidRDefault="00422B69" w:rsidP="00302082">
            <w:pPr>
              <w:spacing w:after="120"/>
              <w:ind w:right="-330"/>
              <w:rPr>
                <w:rFonts w:ascii="Arial" w:hAnsi="Arial" w:cs="Arial"/>
              </w:rPr>
            </w:pPr>
          </w:p>
        </w:tc>
        <w:tc>
          <w:tcPr>
            <w:tcW w:w="2410" w:type="dxa"/>
          </w:tcPr>
          <w:p w14:paraId="5C2EFD92" w14:textId="77777777" w:rsidR="00422B69" w:rsidRPr="00302082" w:rsidRDefault="00422B69" w:rsidP="00302082">
            <w:pPr>
              <w:spacing w:after="120"/>
              <w:ind w:right="-330"/>
              <w:rPr>
                <w:rFonts w:ascii="Arial" w:hAnsi="Arial" w:cs="Arial"/>
              </w:rPr>
            </w:pPr>
          </w:p>
        </w:tc>
        <w:tc>
          <w:tcPr>
            <w:tcW w:w="2448" w:type="dxa"/>
          </w:tcPr>
          <w:p w14:paraId="11C2B304" w14:textId="77777777" w:rsidR="00422B69" w:rsidRPr="00302082" w:rsidRDefault="00422B69" w:rsidP="00302082">
            <w:pPr>
              <w:spacing w:after="120"/>
              <w:ind w:right="-330"/>
              <w:rPr>
                <w:rFonts w:ascii="Arial" w:hAnsi="Arial" w:cs="Arial"/>
              </w:rPr>
            </w:pPr>
          </w:p>
        </w:tc>
        <w:tc>
          <w:tcPr>
            <w:tcW w:w="2400" w:type="dxa"/>
          </w:tcPr>
          <w:p w14:paraId="755A6649" w14:textId="77777777" w:rsidR="00422B69" w:rsidRPr="00302082" w:rsidRDefault="00422B69" w:rsidP="00302082">
            <w:pPr>
              <w:spacing w:after="120"/>
              <w:ind w:right="-330"/>
              <w:rPr>
                <w:rFonts w:ascii="Arial" w:hAnsi="Arial" w:cs="Arial"/>
              </w:rPr>
            </w:pPr>
          </w:p>
        </w:tc>
      </w:tr>
    </w:tbl>
    <w:p w14:paraId="77AC8006" w14:textId="77777777" w:rsidR="00D83563" w:rsidRDefault="00D83563" w:rsidP="00302082">
      <w:pPr>
        <w:spacing w:after="120" w:line="240" w:lineRule="auto"/>
        <w:ind w:right="-330"/>
        <w:rPr>
          <w:rFonts w:ascii="Arial" w:hAnsi="Arial" w:cs="Arial"/>
        </w:rPr>
      </w:pPr>
    </w:p>
    <w:p w14:paraId="2FB870CC" w14:textId="77777777" w:rsidR="00C57028" w:rsidRPr="00302082" w:rsidRDefault="00C57028" w:rsidP="00B47397">
      <w:pPr>
        <w:pBdr>
          <w:top w:val="single" w:sz="4" w:space="1" w:color="auto"/>
          <w:left w:val="single" w:sz="4" w:space="0" w:color="auto"/>
          <w:bottom w:val="single" w:sz="4" w:space="1" w:color="auto"/>
          <w:right w:val="single" w:sz="4" w:space="4" w:color="auto"/>
        </w:pBdr>
        <w:spacing w:after="120" w:line="240" w:lineRule="auto"/>
        <w:ind w:left="28" w:right="79"/>
        <w:rPr>
          <w:rFonts w:ascii="Arial" w:hAnsi="Arial" w:cs="Arial"/>
        </w:rPr>
      </w:pPr>
      <w:r>
        <w:rPr>
          <w:rFonts w:ascii="Arial" w:hAnsi="Arial" w:cs="Arial"/>
        </w:rPr>
        <w:t>Revised FSO Jan 2018</w:t>
      </w:r>
    </w:p>
    <w:sectPr w:rsidR="00C57028" w:rsidRPr="00302082" w:rsidSect="00D54AF1">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1152" w14:textId="77777777" w:rsidR="00AD3635" w:rsidRDefault="00AD3635" w:rsidP="009A2D37">
      <w:pPr>
        <w:spacing w:after="0" w:line="240" w:lineRule="auto"/>
      </w:pPr>
      <w:r>
        <w:separator/>
      </w:r>
    </w:p>
  </w:endnote>
  <w:endnote w:type="continuationSeparator" w:id="0">
    <w:p w14:paraId="18FBC80E" w14:textId="77777777" w:rsidR="00AD3635" w:rsidRDefault="00AD3635" w:rsidP="009A2D37">
      <w:pPr>
        <w:spacing w:after="0" w:line="240" w:lineRule="auto"/>
      </w:pPr>
      <w:r>
        <w:continuationSeparator/>
      </w:r>
    </w:p>
  </w:endnote>
  <w:endnote w:type="continuationNotice" w:id="1">
    <w:p w14:paraId="5CCBCB55" w14:textId="77777777" w:rsidR="00AD3635" w:rsidRDefault="00AD3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9548" w14:textId="77777777" w:rsidR="00831639" w:rsidRDefault="00831639" w:rsidP="009A2D37">
    <w:pPr>
      <w:pStyle w:val="Footer"/>
      <w:jc w:val="center"/>
    </w:pPr>
  </w:p>
  <w:p w14:paraId="55FF8319" w14:textId="2DA84DD1" w:rsidR="008B2543" w:rsidRDefault="00D54AF1"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AC655A">
          <w:rPr>
            <w:noProof/>
          </w:rPr>
          <w:t>2</w:t>
        </w:r>
        <w:r w:rsidR="0019787E">
          <w:rPr>
            <w:noProof/>
          </w:rPr>
          <w:fldChar w:fldCharType="end"/>
        </w:r>
      </w:sdtContent>
    </w:sdt>
  </w:p>
  <w:p w14:paraId="46553611" w14:textId="3ED62650" w:rsidR="008B2543" w:rsidRPr="008F7C92" w:rsidRDefault="008F7C92" w:rsidP="00831639">
    <w:pPr>
      <w:spacing w:after="120" w:line="240" w:lineRule="auto"/>
      <w:ind w:right="-24"/>
      <w:jc w:val="center"/>
      <w:rPr>
        <w:rFonts w:ascii="Arial" w:hAnsi="Arial" w:cs="Arial"/>
      </w:rPr>
    </w:pPr>
    <w:r w:rsidRPr="008F7C92">
      <w:rPr>
        <w:rFonts w:ascii="Arial" w:hAnsi="Arial" w:cs="Arial"/>
      </w:rPr>
      <w:t>LAWS9881 (LW9881</w:t>
    </w:r>
    <w:r w:rsidRPr="00FE3605">
      <w:rPr>
        <w:rFonts w:ascii="Arial" w:hAnsi="Arial" w:cs="Arial"/>
      </w:rPr>
      <w:t>) - Fundamentals of Dissertation and Research in Law</w:t>
    </w:r>
    <w:r w:rsidR="00831639">
      <w:rPr>
        <w:rFonts w:ascii="Arial" w:hAnsi="Arial" w:cs="Arial"/>
      </w:rPr>
      <w:t xml:space="preserve"> – Sept. 20</w:t>
    </w:r>
    <w:r w:rsidR="00453CB8">
      <w:rPr>
        <w:rFonts w:ascii="Arial" w:hAnsi="Arial" w:cs="Arial"/>
      </w:rPr>
      <w:t>20</w:t>
    </w:r>
    <w:r w:rsidR="00831639">
      <w:rPr>
        <w:rFonts w:ascii="Arial" w:hAnsi="Arial" w:cs="Arial"/>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53DE" w14:textId="77777777" w:rsidR="00831639" w:rsidRDefault="00831639" w:rsidP="00831639">
    <w:pPr>
      <w:spacing w:after="120" w:line="240" w:lineRule="auto"/>
      <w:ind w:left="567" w:right="260"/>
      <w:jc w:val="center"/>
      <w:rPr>
        <w:rFonts w:ascii="Arial" w:hAnsi="Arial" w:cs="Arial"/>
      </w:rPr>
    </w:pPr>
  </w:p>
  <w:p w14:paraId="389410D1" w14:textId="64C42DB5" w:rsidR="008F7C92" w:rsidRPr="008F7C92" w:rsidRDefault="008F7C92" w:rsidP="00831639">
    <w:pPr>
      <w:spacing w:after="120" w:line="240" w:lineRule="auto"/>
      <w:ind w:right="-24"/>
      <w:jc w:val="center"/>
      <w:rPr>
        <w:rFonts w:ascii="Arial" w:hAnsi="Arial" w:cs="Arial"/>
      </w:rPr>
    </w:pPr>
    <w:r w:rsidRPr="008F7C92">
      <w:rPr>
        <w:rFonts w:ascii="Arial" w:hAnsi="Arial" w:cs="Arial"/>
      </w:rPr>
      <w:t>LAWS9881</w:t>
    </w:r>
    <w:r w:rsidRPr="00FE3605">
      <w:rPr>
        <w:rFonts w:ascii="Arial" w:hAnsi="Arial" w:cs="Arial"/>
      </w:rPr>
      <w:t xml:space="preserve"> (LW9881) - Fundamentals of Dissertation and Research in Law</w:t>
    </w:r>
    <w:r w:rsidR="00831639">
      <w:rPr>
        <w:rFonts w:ascii="Arial" w:hAnsi="Arial" w:cs="Arial"/>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3F45" w14:textId="77777777" w:rsidR="00AD3635" w:rsidRDefault="00AD3635" w:rsidP="009A2D37">
      <w:pPr>
        <w:spacing w:after="0" w:line="240" w:lineRule="auto"/>
      </w:pPr>
      <w:r>
        <w:separator/>
      </w:r>
    </w:p>
  </w:footnote>
  <w:footnote w:type="continuationSeparator" w:id="0">
    <w:p w14:paraId="3745DC4F" w14:textId="77777777" w:rsidR="00AD3635" w:rsidRDefault="00AD3635" w:rsidP="009A2D37">
      <w:pPr>
        <w:spacing w:after="0" w:line="240" w:lineRule="auto"/>
      </w:pPr>
      <w:r>
        <w:continuationSeparator/>
      </w:r>
    </w:p>
  </w:footnote>
  <w:footnote w:type="continuationNotice" w:id="1">
    <w:p w14:paraId="37577025" w14:textId="77777777" w:rsidR="00AD3635" w:rsidRDefault="00AD36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88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862B7A" w14:textId="77777777" w:rsidR="008B2543" w:rsidRPr="008C00F8" w:rsidRDefault="008B2543" w:rsidP="005E6D38">
    <w:pPr>
      <w:pStyle w:val="Heading1"/>
      <w:spacing w:before="60" w:after="60"/>
      <w:rPr>
        <w:rFonts w:ascii="Arial" w:hAnsi="Arial" w:cs="Arial"/>
      </w:rPr>
    </w:pPr>
  </w:p>
  <w:p w14:paraId="143EE36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54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3D3BD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E67D0B"/>
    <w:multiLevelType w:val="hybridMultilevel"/>
    <w:tmpl w:val="A5E49FD4"/>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A33648"/>
    <w:multiLevelType w:val="hybridMultilevel"/>
    <w:tmpl w:val="5B26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45E16"/>
    <w:multiLevelType w:val="hybridMultilevel"/>
    <w:tmpl w:val="78CA7008"/>
    <w:lvl w:ilvl="0" w:tplc="38CEBAB2">
      <w:start w:val="1"/>
      <w:numFmt w:val="decimal"/>
      <w:lvlText w:val="%1."/>
      <w:lvlJc w:val="left"/>
      <w:pPr>
        <w:ind w:left="927" w:hanging="360"/>
      </w:pPr>
      <w:rPr>
        <w:b w:val="0"/>
        <w:i w:val="0"/>
      </w:rPr>
    </w:lvl>
    <w:lvl w:ilvl="1" w:tplc="0809000F">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33ADB"/>
    <w:multiLevelType w:val="hybridMultilevel"/>
    <w:tmpl w:val="473C1EB6"/>
    <w:lvl w:ilvl="0" w:tplc="38CEBAB2">
      <w:start w:val="1"/>
      <w:numFmt w:val="decimal"/>
      <w:lvlText w:val="%1."/>
      <w:lvlJc w:val="left"/>
      <w:pPr>
        <w:ind w:left="927" w:hanging="360"/>
      </w:pPr>
      <w:rPr>
        <w:b w:val="0"/>
        <w:i w:val="0"/>
      </w:rPr>
    </w:lvl>
    <w:lvl w:ilvl="1" w:tplc="0809000F">
      <w:start w:val="1"/>
      <w:numFmt w:val="decimal"/>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1"/>
  </w:num>
  <w:num w:numId="8">
    <w:abstractNumId w:val="6"/>
  </w:num>
  <w:num w:numId="9">
    <w:abstractNumId w:val="4"/>
  </w:num>
  <w:num w:numId="10">
    <w:abstractNumId w:val="10"/>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5532"/>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A4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4F37"/>
    <w:rsid w:val="003F4470"/>
    <w:rsid w:val="003F5A04"/>
    <w:rsid w:val="003F67CD"/>
    <w:rsid w:val="00402ED7"/>
    <w:rsid w:val="004114F8"/>
    <w:rsid w:val="00412FCA"/>
    <w:rsid w:val="00422B69"/>
    <w:rsid w:val="00423D86"/>
    <w:rsid w:val="00424C90"/>
    <w:rsid w:val="00436BE9"/>
    <w:rsid w:val="00441E76"/>
    <w:rsid w:val="004443DA"/>
    <w:rsid w:val="00446A75"/>
    <w:rsid w:val="004474A2"/>
    <w:rsid w:val="0045077E"/>
    <w:rsid w:val="00453CB8"/>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D71"/>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59C"/>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16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C9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8B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3B80"/>
    <w:rsid w:val="00AC655A"/>
    <w:rsid w:val="00AC7501"/>
    <w:rsid w:val="00AD3635"/>
    <w:rsid w:val="00AD748B"/>
    <w:rsid w:val="00AE4865"/>
    <w:rsid w:val="00AF2376"/>
    <w:rsid w:val="00AF50EE"/>
    <w:rsid w:val="00B0591D"/>
    <w:rsid w:val="00B13402"/>
    <w:rsid w:val="00B14BC2"/>
    <w:rsid w:val="00B17024"/>
    <w:rsid w:val="00B17CD2"/>
    <w:rsid w:val="00B213D2"/>
    <w:rsid w:val="00B248BA"/>
    <w:rsid w:val="00B24B56"/>
    <w:rsid w:val="00B30E07"/>
    <w:rsid w:val="00B34ADD"/>
    <w:rsid w:val="00B4739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4AF1"/>
    <w:rsid w:val="00D65506"/>
    <w:rsid w:val="00D773CF"/>
    <w:rsid w:val="00D83563"/>
    <w:rsid w:val="00D8448F"/>
    <w:rsid w:val="00DA64B6"/>
    <w:rsid w:val="00DB5C9D"/>
    <w:rsid w:val="00DD02E6"/>
    <w:rsid w:val="00DE4687"/>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15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7C3A"/>
    <w:rsid w:val="00FC0291"/>
    <w:rsid w:val="00FC1C92"/>
    <w:rsid w:val="00FD333B"/>
    <w:rsid w:val="00FD689C"/>
    <w:rsid w:val="00FD705C"/>
    <w:rsid w:val="00FD777A"/>
    <w:rsid w:val="00FE260B"/>
    <w:rsid w:val="00FE360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3A69"/>
  <w15:docId w15:val="{D48BA1B7-8C6E-4973-9709-1F501BC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selectable">
    <w:name w:val="selectable"/>
    <w:basedOn w:val="DefaultParagraphFont"/>
    <w:rsid w:val="008F7C92"/>
  </w:style>
  <w:style w:type="table" w:styleId="LightList">
    <w:name w:val="Light List"/>
    <w:basedOn w:val="TableNormal"/>
    <w:uiPriority w:val="61"/>
    <w:rsid w:val="00453C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6" ma:contentTypeDescription="Create a new document." ma:contentTypeScope="" ma:versionID="118ed0e3fd94deb4d62830a4b8514fb9">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a21b8c832d72bccebe1852771ec5681c"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DDDB8-75A3-42FE-9411-32B9DC488EB8}">
  <ds:schemaRefs>
    <ds:schemaRef ds:uri="http://schemas.microsoft.com/sharepoint/events"/>
  </ds:schemaRefs>
</ds:datastoreItem>
</file>

<file path=customXml/itemProps2.xml><?xml version="1.0" encoding="utf-8"?>
<ds:datastoreItem xmlns:ds="http://schemas.openxmlformats.org/officeDocument/2006/customXml" ds:itemID="{75733234-66AD-44BA-B7BE-A90138E08EA4}"/>
</file>

<file path=customXml/itemProps3.xml><?xml version="1.0" encoding="utf-8"?>
<ds:datastoreItem xmlns:ds="http://schemas.openxmlformats.org/officeDocument/2006/customXml" ds:itemID="{46200611-6178-4F2C-A3F2-09D2B9DAF208}">
  <ds:schemaRefs>
    <ds:schemaRef ds:uri="http://schemas.openxmlformats.org/officeDocument/2006/bibliography"/>
  </ds:schemaRefs>
</ds:datastoreItem>
</file>

<file path=customXml/itemProps4.xml><?xml version="1.0" encoding="utf-8"?>
<ds:datastoreItem xmlns:ds="http://schemas.openxmlformats.org/officeDocument/2006/customXml" ds:itemID="{4356255B-4110-4CCF-A265-94E3020AFC88}">
  <ds:schemaRefs>
    <ds:schemaRef ds:uri="http://schemas.microsoft.com/sharepoint/v3/contenttype/forms"/>
  </ds:schemaRefs>
</ds:datastoreItem>
</file>

<file path=customXml/itemProps5.xml><?xml version="1.0" encoding="utf-8"?>
<ds:datastoreItem xmlns:ds="http://schemas.openxmlformats.org/officeDocument/2006/customXml" ds:itemID="{237F00EF-BE15-4E38-A039-A0E10621748D}">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6</cp:revision>
  <cp:lastPrinted>2015-09-09T08:37:00Z</cp:lastPrinted>
  <dcterms:created xsi:type="dcterms:W3CDTF">2020-01-15T14:13:00Z</dcterms:created>
  <dcterms:modified xsi:type="dcterms:W3CDTF">2022-03-22T17:54:00Z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7a6f3045-a829-4b72-a0ce-a3f2473d03ef</vt:lpwstr>
  </property>
  <property fmtid="{D5CDD505-2E9C-101B-9397-08002B2CF9AE}" pid="4" name="Order">
    <vt:r8>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