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619C" w14:textId="7DBA0F0E"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B4488D1" w14:textId="77777777" w:rsidR="009A2D37" w:rsidRPr="00373ACB" w:rsidRDefault="00421870" w:rsidP="0066061A">
      <w:pPr>
        <w:spacing w:after="120" w:line="240" w:lineRule="auto"/>
        <w:ind w:left="426" w:right="260"/>
        <w:rPr>
          <w:rFonts w:ascii="Arial" w:hAnsi="Arial" w:cs="Arial"/>
          <w:sz w:val="20"/>
          <w:szCs w:val="20"/>
        </w:rPr>
      </w:pPr>
      <w:r w:rsidRPr="00421870">
        <w:rPr>
          <w:rFonts w:ascii="Arial" w:hAnsi="Arial" w:cs="Arial"/>
          <w:sz w:val="20"/>
          <w:szCs w:val="20"/>
        </w:rPr>
        <w:t>L</w:t>
      </w:r>
      <w:r w:rsidR="00726B5F">
        <w:rPr>
          <w:rFonts w:ascii="Arial" w:hAnsi="Arial" w:cs="Arial"/>
          <w:sz w:val="20"/>
          <w:szCs w:val="20"/>
        </w:rPr>
        <w:t>A</w:t>
      </w:r>
      <w:r w:rsidRPr="00421870">
        <w:rPr>
          <w:rFonts w:ascii="Arial" w:hAnsi="Arial" w:cs="Arial"/>
          <w:sz w:val="20"/>
          <w:szCs w:val="20"/>
        </w:rPr>
        <w:t>W</w:t>
      </w:r>
      <w:r w:rsidR="00726B5F">
        <w:rPr>
          <w:rFonts w:ascii="Arial" w:hAnsi="Arial" w:cs="Arial"/>
          <w:sz w:val="20"/>
          <w:szCs w:val="20"/>
        </w:rPr>
        <w:t>S</w:t>
      </w:r>
      <w:r w:rsidRPr="00421870">
        <w:rPr>
          <w:rFonts w:ascii="Arial" w:hAnsi="Arial" w:cs="Arial"/>
          <w:sz w:val="20"/>
          <w:szCs w:val="20"/>
        </w:rPr>
        <w:t>700</w:t>
      </w:r>
      <w:r w:rsidR="00726B5F">
        <w:rPr>
          <w:rFonts w:ascii="Arial" w:hAnsi="Arial" w:cs="Arial"/>
          <w:sz w:val="20"/>
          <w:szCs w:val="20"/>
        </w:rPr>
        <w:t>0 (LW700)</w:t>
      </w:r>
      <w:r w:rsidRPr="00421870">
        <w:rPr>
          <w:rFonts w:ascii="Arial" w:hAnsi="Arial" w:cs="Arial"/>
          <w:sz w:val="20"/>
          <w:szCs w:val="20"/>
        </w:rPr>
        <w:t>, Law Year Abroad</w:t>
      </w:r>
    </w:p>
    <w:p w14:paraId="6F41B063" w14:textId="77777777" w:rsidR="00C07A56" w:rsidRPr="00373ACB" w:rsidRDefault="00C07A56" w:rsidP="0066061A">
      <w:pPr>
        <w:spacing w:after="120" w:line="240" w:lineRule="auto"/>
        <w:ind w:left="426" w:right="260"/>
        <w:jc w:val="both"/>
        <w:rPr>
          <w:rFonts w:ascii="Arial" w:hAnsi="Arial" w:cs="Arial"/>
          <w:sz w:val="20"/>
          <w:szCs w:val="20"/>
        </w:rPr>
      </w:pPr>
    </w:p>
    <w:p w14:paraId="4618A67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AB74800"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451EBE3" w14:textId="77777777" w:rsidR="00C07A56" w:rsidRPr="00373ACB" w:rsidRDefault="00C07A56" w:rsidP="0066061A">
      <w:pPr>
        <w:spacing w:after="120" w:line="240" w:lineRule="auto"/>
        <w:ind w:left="426" w:right="260"/>
        <w:rPr>
          <w:rFonts w:ascii="Arial" w:hAnsi="Arial" w:cs="Arial"/>
          <w:iCs/>
          <w:sz w:val="20"/>
          <w:szCs w:val="20"/>
        </w:rPr>
      </w:pPr>
    </w:p>
    <w:p w14:paraId="75D32CA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16587B8" w14:textId="77777777" w:rsidR="009A2D37" w:rsidRPr="00373ACB" w:rsidRDefault="00C05A84"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6F147163" w14:textId="77777777" w:rsidR="00C07A56" w:rsidRPr="00373ACB" w:rsidRDefault="00C07A56" w:rsidP="0066061A">
      <w:pPr>
        <w:spacing w:after="120" w:line="240" w:lineRule="auto"/>
        <w:ind w:left="426" w:right="260"/>
        <w:rPr>
          <w:rFonts w:ascii="Arial" w:hAnsi="Arial" w:cs="Arial"/>
          <w:iCs/>
          <w:sz w:val="20"/>
          <w:szCs w:val="20"/>
        </w:rPr>
      </w:pPr>
    </w:p>
    <w:p w14:paraId="7E4ED11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0B8F99D" w14:textId="77777777" w:rsidR="00BC1D37" w:rsidRPr="00373ACB" w:rsidRDefault="00421870" w:rsidP="0066061A">
      <w:pPr>
        <w:spacing w:after="120" w:line="240" w:lineRule="auto"/>
        <w:ind w:left="426" w:right="260"/>
        <w:rPr>
          <w:rFonts w:ascii="Arial" w:hAnsi="Arial" w:cs="Arial"/>
          <w:sz w:val="20"/>
          <w:szCs w:val="20"/>
        </w:rPr>
      </w:pPr>
      <w:r>
        <w:rPr>
          <w:rFonts w:ascii="Arial" w:hAnsi="Arial" w:cs="Arial"/>
          <w:sz w:val="20"/>
          <w:szCs w:val="20"/>
        </w:rPr>
        <w:t>120</w:t>
      </w:r>
      <w:r w:rsidR="00BC1D37">
        <w:rPr>
          <w:rFonts w:ascii="Arial" w:hAnsi="Arial" w:cs="Arial"/>
          <w:sz w:val="20"/>
          <w:szCs w:val="20"/>
        </w:rPr>
        <w:t xml:space="preserve"> credits (</w:t>
      </w:r>
      <w:r>
        <w:rPr>
          <w:rFonts w:ascii="Arial" w:hAnsi="Arial" w:cs="Arial"/>
          <w:sz w:val="20"/>
          <w:szCs w:val="20"/>
        </w:rPr>
        <w:t>60</w:t>
      </w:r>
      <w:r w:rsidR="00BC1D37">
        <w:rPr>
          <w:rFonts w:ascii="Arial" w:hAnsi="Arial" w:cs="Arial"/>
          <w:sz w:val="20"/>
          <w:szCs w:val="20"/>
        </w:rPr>
        <w:t xml:space="preserve"> ECTS Credits)</w:t>
      </w:r>
    </w:p>
    <w:p w14:paraId="434CB8CD" w14:textId="77777777" w:rsidR="00C07A56" w:rsidRPr="00373ACB" w:rsidRDefault="00C07A56" w:rsidP="005E3FA7">
      <w:pPr>
        <w:spacing w:after="120" w:line="240" w:lineRule="auto"/>
        <w:ind w:left="426" w:right="260"/>
        <w:rPr>
          <w:rFonts w:ascii="Arial" w:hAnsi="Arial" w:cs="Arial"/>
          <w:sz w:val="20"/>
          <w:szCs w:val="20"/>
        </w:rPr>
      </w:pPr>
    </w:p>
    <w:p w14:paraId="715A763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6765C2C" w14:textId="77777777" w:rsidR="00C07A56" w:rsidRPr="00421870" w:rsidRDefault="00421870" w:rsidP="00421870">
      <w:pPr>
        <w:spacing w:line="240" w:lineRule="auto"/>
        <w:ind w:left="426"/>
        <w:rPr>
          <w:rFonts w:ascii="Arial" w:hAnsi="Arial" w:cs="Arial"/>
          <w:sz w:val="20"/>
          <w:szCs w:val="20"/>
        </w:rPr>
      </w:pPr>
      <w:r>
        <w:rPr>
          <w:rFonts w:ascii="Arial" w:hAnsi="Arial" w:cs="Arial"/>
          <w:sz w:val="20"/>
          <w:szCs w:val="20"/>
        </w:rPr>
        <w:t>Autumn and Spring</w:t>
      </w:r>
      <w:r>
        <w:rPr>
          <w:rFonts w:ascii="Arial" w:hAnsi="Arial" w:cs="Arial"/>
          <w:sz w:val="20"/>
          <w:szCs w:val="20"/>
        </w:rPr>
        <w:br/>
      </w:r>
    </w:p>
    <w:p w14:paraId="75BADA6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C587F47" w14:textId="77777777" w:rsidR="005E3FA7" w:rsidRDefault="00421870" w:rsidP="005E3FA7">
      <w:pPr>
        <w:spacing w:after="120" w:line="240" w:lineRule="auto"/>
        <w:ind w:left="426" w:right="260"/>
        <w:rPr>
          <w:rFonts w:ascii="Arial" w:hAnsi="Arial" w:cs="Arial"/>
          <w:iCs/>
          <w:sz w:val="20"/>
          <w:szCs w:val="20"/>
        </w:rPr>
      </w:pPr>
      <w:r w:rsidRPr="00421870">
        <w:rPr>
          <w:rFonts w:ascii="Arial" w:hAnsi="Arial" w:cs="Arial"/>
          <w:iCs/>
          <w:sz w:val="20"/>
          <w:szCs w:val="20"/>
        </w:rPr>
        <w:t>Students must meet the prerequisite requirements for their respective programme as outlined in the Appendix to this specification.</w:t>
      </w:r>
    </w:p>
    <w:p w14:paraId="0A177793" w14:textId="77777777" w:rsidR="00421870" w:rsidRPr="005E3FA7" w:rsidRDefault="00421870" w:rsidP="005E3FA7">
      <w:pPr>
        <w:spacing w:after="120" w:line="240" w:lineRule="auto"/>
        <w:ind w:left="426" w:right="260"/>
        <w:rPr>
          <w:rFonts w:ascii="Arial" w:hAnsi="Arial" w:cs="Arial"/>
          <w:b/>
          <w:sz w:val="20"/>
          <w:szCs w:val="20"/>
        </w:rPr>
      </w:pPr>
    </w:p>
    <w:p w14:paraId="4152FF6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81C99FD" w14:textId="77777777" w:rsidR="00421870" w:rsidRPr="00421870" w:rsidRDefault="00421870" w:rsidP="00421870">
      <w:pPr>
        <w:spacing w:after="120" w:line="240" w:lineRule="auto"/>
        <w:ind w:left="426" w:right="260"/>
        <w:rPr>
          <w:rFonts w:ascii="Arial" w:hAnsi="Arial" w:cs="Arial"/>
          <w:iCs/>
          <w:sz w:val="20"/>
          <w:szCs w:val="20"/>
        </w:rPr>
      </w:pPr>
      <w:r w:rsidRPr="00421870">
        <w:rPr>
          <w:rFonts w:ascii="Arial" w:hAnsi="Arial" w:cs="Arial"/>
          <w:iCs/>
          <w:sz w:val="20"/>
          <w:szCs w:val="20"/>
        </w:rPr>
        <w:t>LLB English &amp; French Law*</w:t>
      </w:r>
    </w:p>
    <w:p w14:paraId="6E66E34B" w14:textId="2130BF96" w:rsidR="00421870" w:rsidRPr="00421870" w:rsidRDefault="00421870" w:rsidP="00421870">
      <w:pPr>
        <w:spacing w:after="120" w:line="240" w:lineRule="auto"/>
        <w:ind w:left="426" w:right="260"/>
        <w:rPr>
          <w:rFonts w:ascii="Arial" w:hAnsi="Arial" w:cs="Arial"/>
          <w:iCs/>
          <w:sz w:val="20"/>
          <w:szCs w:val="20"/>
        </w:rPr>
      </w:pPr>
      <w:r w:rsidRPr="00421870">
        <w:rPr>
          <w:rFonts w:ascii="Arial" w:hAnsi="Arial" w:cs="Arial"/>
          <w:iCs/>
          <w:sz w:val="20"/>
          <w:szCs w:val="20"/>
        </w:rPr>
        <w:t>LLB European Legal Studies</w:t>
      </w:r>
      <w:r w:rsidR="004272EB">
        <w:rPr>
          <w:rFonts w:ascii="Arial" w:hAnsi="Arial" w:cs="Arial"/>
          <w:iCs/>
          <w:sz w:val="20"/>
          <w:szCs w:val="20"/>
        </w:rPr>
        <w:t xml:space="preserve"> (inc. with German,</w:t>
      </w:r>
      <w:r w:rsidR="001B7F67">
        <w:rPr>
          <w:rFonts w:ascii="Arial" w:hAnsi="Arial" w:cs="Arial"/>
          <w:iCs/>
          <w:sz w:val="20"/>
          <w:szCs w:val="20"/>
        </w:rPr>
        <w:t xml:space="preserve"> Spanish</w:t>
      </w:r>
      <w:r w:rsidR="004272EB">
        <w:rPr>
          <w:rFonts w:ascii="Arial" w:hAnsi="Arial" w:cs="Arial"/>
          <w:iCs/>
          <w:sz w:val="20"/>
          <w:szCs w:val="20"/>
        </w:rPr>
        <w:t xml:space="preserve"> or Italian</w:t>
      </w:r>
      <w:r w:rsidR="001B7F67">
        <w:rPr>
          <w:rFonts w:ascii="Arial" w:hAnsi="Arial" w:cs="Arial"/>
          <w:iCs/>
          <w:sz w:val="20"/>
          <w:szCs w:val="20"/>
        </w:rPr>
        <w:t>)</w:t>
      </w:r>
    </w:p>
    <w:p w14:paraId="68C2F895" w14:textId="2157DC45" w:rsidR="009A2D37" w:rsidRPr="00373ACB" w:rsidRDefault="00421870" w:rsidP="001579F3">
      <w:pPr>
        <w:spacing w:after="120" w:line="240" w:lineRule="auto"/>
        <w:ind w:left="426" w:right="260"/>
        <w:rPr>
          <w:rFonts w:ascii="Arial" w:hAnsi="Arial" w:cs="Arial"/>
          <w:iCs/>
          <w:sz w:val="20"/>
          <w:szCs w:val="20"/>
        </w:rPr>
      </w:pPr>
      <w:r w:rsidRPr="00421870">
        <w:rPr>
          <w:rFonts w:ascii="Arial" w:hAnsi="Arial" w:cs="Arial"/>
          <w:iCs/>
          <w:sz w:val="20"/>
          <w:szCs w:val="20"/>
        </w:rPr>
        <w:t>LLB International Legal Studies</w:t>
      </w:r>
    </w:p>
    <w:p w14:paraId="1AC75927" w14:textId="77777777" w:rsidR="00C07A56" w:rsidRPr="00373ACB" w:rsidRDefault="00C07A56" w:rsidP="0066061A">
      <w:pPr>
        <w:spacing w:after="120" w:line="240" w:lineRule="auto"/>
        <w:ind w:left="426" w:right="260"/>
        <w:rPr>
          <w:rFonts w:ascii="Arial" w:hAnsi="Arial" w:cs="Arial"/>
          <w:iCs/>
          <w:sz w:val="20"/>
          <w:szCs w:val="20"/>
        </w:rPr>
      </w:pPr>
    </w:p>
    <w:p w14:paraId="6CB3EBA8"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21870">
        <w:rPr>
          <w:rFonts w:ascii="Arial" w:hAnsi="Arial" w:cs="Arial"/>
          <w:b/>
          <w:sz w:val="20"/>
          <w:szCs w:val="20"/>
        </w:rPr>
        <w:t>have</w:t>
      </w:r>
      <w:r w:rsidR="00C729D7" w:rsidRPr="00373ACB">
        <w:rPr>
          <w:rFonts w:ascii="Arial" w:hAnsi="Arial" w:cs="Arial"/>
          <w:b/>
          <w:sz w:val="20"/>
          <w:szCs w:val="20"/>
        </w:rPr>
        <w:t>:</w:t>
      </w:r>
    </w:p>
    <w:p w14:paraId="4D64789A" w14:textId="77777777" w:rsidR="00380EAE" w:rsidRPr="00373ACB" w:rsidRDefault="00380EAE" w:rsidP="0066061A">
      <w:pPr>
        <w:spacing w:after="120" w:line="240" w:lineRule="auto"/>
        <w:ind w:left="426" w:right="260"/>
        <w:rPr>
          <w:rFonts w:ascii="Arial" w:hAnsi="Arial" w:cs="Arial"/>
          <w:b/>
          <w:sz w:val="20"/>
          <w:szCs w:val="20"/>
        </w:rPr>
      </w:pPr>
    </w:p>
    <w:p w14:paraId="22738D6E" w14:textId="41FD4E9A" w:rsidR="00421870" w:rsidRPr="00421870" w:rsidRDefault="003216A9" w:rsidP="003216A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acquired the ability to study l</w:t>
      </w:r>
      <w:r w:rsidR="00421870" w:rsidRPr="00421870">
        <w:rPr>
          <w:rFonts w:ascii="Arial" w:hAnsi="Arial" w:cs="Arial"/>
          <w:sz w:val="20"/>
          <w:szCs w:val="20"/>
        </w:rPr>
        <w:t xml:space="preserve">aw in a different higher education environment </w:t>
      </w:r>
    </w:p>
    <w:p w14:paraId="46057480"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enhanced their understanding of law within an international context</w:t>
      </w:r>
    </w:p>
    <w:p w14:paraId="5A532D89" w14:textId="6F5EA22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acquired the ability to study </w:t>
      </w:r>
      <w:r w:rsidR="003216A9">
        <w:rPr>
          <w:rFonts w:ascii="Arial" w:hAnsi="Arial" w:cs="Arial"/>
          <w:sz w:val="20"/>
          <w:szCs w:val="20"/>
        </w:rPr>
        <w:t>l</w:t>
      </w:r>
      <w:r w:rsidRPr="00421870">
        <w:rPr>
          <w:rFonts w:ascii="Arial" w:hAnsi="Arial" w:cs="Arial"/>
          <w:sz w:val="20"/>
          <w:szCs w:val="20"/>
        </w:rPr>
        <w:t>aw in a different language (only formally relevant to those LLB programmes marke</w:t>
      </w:r>
      <w:r>
        <w:rPr>
          <w:rFonts w:ascii="Arial" w:hAnsi="Arial" w:cs="Arial"/>
          <w:sz w:val="20"/>
          <w:szCs w:val="20"/>
        </w:rPr>
        <w:t>d with an asterisk in section 7</w:t>
      </w:r>
      <w:r w:rsidRPr="00421870">
        <w:rPr>
          <w:rFonts w:ascii="Arial" w:hAnsi="Arial" w:cs="Arial"/>
          <w:sz w:val="20"/>
          <w:szCs w:val="20"/>
        </w:rPr>
        <w:t>)</w:t>
      </w:r>
    </w:p>
    <w:p w14:paraId="4406D535" w14:textId="77777777" w:rsidR="008A4BCA"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enhanced their command of the target language in a native-speaker setting (only formally relevant to those LLB programmes mark</w:t>
      </w:r>
      <w:r>
        <w:rPr>
          <w:rFonts w:ascii="Arial" w:hAnsi="Arial" w:cs="Arial"/>
          <w:sz w:val="20"/>
          <w:szCs w:val="20"/>
        </w:rPr>
        <w:t>ed with an asterisk in section 7</w:t>
      </w:r>
      <w:r w:rsidRPr="00421870">
        <w:rPr>
          <w:rFonts w:ascii="Arial" w:hAnsi="Arial" w:cs="Arial"/>
          <w:sz w:val="20"/>
          <w:szCs w:val="20"/>
        </w:rPr>
        <w:t>)</w:t>
      </w:r>
    </w:p>
    <w:p w14:paraId="552E366F"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68EB148B"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will </w:t>
      </w:r>
      <w:r w:rsidR="00421870">
        <w:rPr>
          <w:rFonts w:ascii="Arial" w:hAnsi="Arial" w:cs="Arial"/>
          <w:b/>
          <w:sz w:val="20"/>
          <w:szCs w:val="20"/>
        </w:rPr>
        <w:t>have</w:t>
      </w:r>
      <w:r w:rsidR="00C729D7" w:rsidRPr="00373ACB">
        <w:rPr>
          <w:rFonts w:ascii="Arial" w:hAnsi="Arial" w:cs="Arial"/>
          <w:b/>
          <w:sz w:val="20"/>
          <w:szCs w:val="20"/>
        </w:rPr>
        <w:t>:</w:t>
      </w:r>
    </w:p>
    <w:p w14:paraId="1D7FF8A2" w14:textId="77777777" w:rsidR="00380EAE" w:rsidRPr="00380EAE" w:rsidRDefault="00380EAE" w:rsidP="0066061A">
      <w:pPr>
        <w:spacing w:after="120" w:line="240" w:lineRule="auto"/>
        <w:ind w:left="426" w:right="260"/>
        <w:rPr>
          <w:rFonts w:ascii="Arial" w:hAnsi="Arial" w:cs="Arial"/>
          <w:b/>
          <w:sz w:val="20"/>
          <w:szCs w:val="20"/>
        </w:rPr>
      </w:pPr>
    </w:p>
    <w:p w14:paraId="5172140D"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acquired the ability to perform effectively in a different cultural – and, in some cases, linguistic – environment  </w:t>
      </w:r>
    </w:p>
    <w:p w14:paraId="20780F37" w14:textId="77777777" w:rsidR="00421870"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developed their intercultural sensitivity and interpersonal skills</w:t>
      </w:r>
    </w:p>
    <w:p w14:paraId="38EC7850" w14:textId="77777777" w:rsidR="00373ACB" w:rsidRPr="00421870" w:rsidRDefault="00421870" w:rsidP="003216A9">
      <w:pPr>
        <w:pStyle w:val="ListParagraph"/>
        <w:numPr>
          <w:ilvl w:val="1"/>
          <w:numId w:val="1"/>
        </w:numPr>
        <w:spacing w:after="120" w:line="240" w:lineRule="auto"/>
        <w:ind w:left="851" w:right="260" w:hanging="425"/>
        <w:jc w:val="both"/>
        <w:rPr>
          <w:rFonts w:ascii="Arial" w:hAnsi="Arial" w:cs="Arial"/>
          <w:sz w:val="20"/>
          <w:szCs w:val="20"/>
        </w:rPr>
      </w:pPr>
      <w:r w:rsidRPr="00421870">
        <w:rPr>
          <w:rFonts w:ascii="Arial" w:hAnsi="Arial" w:cs="Arial"/>
          <w:sz w:val="20"/>
          <w:szCs w:val="20"/>
        </w:rPr>
        <w:t xml:space="preserve">developed their ability to communicate effectively orally and in writing in more than one language (only formally relevant to those LLB programmes marked with an asterisk in section </w:t>
      </w:r>
      <w:r>
        <w:rPr>
          <w:rFonts w:ascii="Arial" w:hAnsi="Arial" w:cs="Arial"/>
          <w:sz w:val="20"/>
          <w:szCs w:val="20"/>
        </w:rPr>
        <w:t>7</w:t>
      </w:r>
      <w:r w:rsidRPr="00421870">
        <w:rPr>
          <w:rFonts w:ascii="Arial" w:hAnsi="Arial" w:cs="Arial"/>
          <w:sz w:val="20"/>
          <w:szCs w:val="20"/>
        </w:rPr>
        <w:t>)</w:t>
      </w:r>
    </w:p>
    <w:p w14:paraId="62D06BE7" w14:textId="77777777" w:rsidR="00373ACB" w:rsidRPr="00373ACB" w:rsidRDefault="00373ACB" w:rsidP="0066061A">
      <w:pPr>
        <w:pStyle w:val="Default"/>
        <w:spacing w:after="120"/>
        <w:ind w:right="260"/>
        <w:rPr>
          <w:color w:val="auto"/>
          <w:sz w:val="20"/>
          <w:szCs w:val="20"/>
        </w:rPr>
      </w:pPr>
    </w:p>
    <w:p w14:paraId="70C86AC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3B49F9E" w14:textId="437FFC4F" w:rsidR="00373ACB" w:rsidRDefault="00F10A11" w:rsidP="003216A9">
      <w:pPr>
        <w:spacing w:after="120" w:line="240" w:lineRule="auto"/>
        <w:ind w:left="426" w:right="260"/>
        <w:jc w:val="both"/>
        <w:rPr>
          <w:rFonts w:ascii="Arial" w:hAnsi="Arial" w:cs="Arial"/>
          <w:iCs/>
          <w:sz w:val="20"/>
          <w:szCs w:val="20"/>
        </w:rPr>
      </w:pPr>
      <w:r>
        <w:rPr>
          <w:rFonts w:ascii="Arial" w:hAnsi="Arial" w:cs="Arial"/>
          <w:iCs/>
          <w:sz w:val="20"/>
          <w:szCs w:val="20"/>
        </w:rPr>
        <w:lastRenderedPageBreak/>
        <w:t>The year a</w:t>
      </w:r>
      <w:r w:rsidR="00421870" w:rsidRPr="00421870">
        <w:rPr>
          <w:rFonts w:ascii="Arial" w:hAnsi="Arial" w:cs="Arial"/>
          <w:iCs/>
          <w:sz w:val="20"/>
          <w:szCs w:val="20"/>
        </w:rPr>
        <w:t xml:space="preserve">broad involves </w:t>
      </w:r>
      <w:r w:rsidR="00421870">
        <w:rPr>
          <w:rFonts w:ascii="Arial" w:hAnsi="Arial" w:cs="Arial"/>
          <w:iCs/>
          <w:sz w:val="20"/>
          <w:szCs w:val="20"/>
        </w:rPr>
        <w:t xml:space="preserve">the </w:t>
      </w:r>
      <w:r w:rsidR="00421870" w:rsidRPr="00421870">
        <w:rPr>
          <w:rFonts w:ascii="Arial" w:hAnsi="Arial" w:cs="Arial"/>
          <w:iCs/>
          <w:sz w:val="20"/>
          <w:szCs w:val="20"/>
        </w:rPr>
        <w:t xml:space="preserve">delivery of taught content </w:t>
      </w:r>
      <w:r w:rsidR="00421870">
        <w:rPr>
          <w:rFonts w:ascii="Arial" w:hAnsi="Arial" w:cs="Arial"/>
          <w:iCs/>
          <w:sz w:val="20"/>
          <w:szCs w:val="20"/>
        </w:rPr>
        <w:t>(</w:t>
      </w:r>
      <w:r w:rsidR="00421870" w:rsidRPr="00421870">
        <w:rPr>
          <w:rFonts w:ascii="Arial" w:hAnsi="Arial" w:cs="Arial"/>
          <w:iCs/>
          <w:sz w:val="20"/>
          <w:szCs w:val="20"/>
        </w:rPr>
        <w:t xml:space="preserve">and </w:t>
      </w:r>
      <w:r w:rsidR="00421870">
        <w:rPr>
          <w:rFonts w:ascii="Arial" w:hAnsi="Arial" w:cs="Arial"/>
          <w:iCs/>
          <w:sz w:val="20"/>
          <w:szCs w:val="20"/>
        </w:rPr>
        <w:t xml:space="preserve">the </w:t>
      </w:r>
      <w:r w:rsidR="00421870" w:rsidRPr="00421870">
        <w:rPr>
          <w:rFonts w:ascii="Arial" w:hAnsi="Arial" w:cs="Arial"/>
          <w:iCs/>
          <w:sz w:val="20"/>
          <w:szCs w:val="20"/>
        </w:rPr>
        <w:t>assessment</w:t>
      </w:r>
      <w:r w:rsidR="00421870">
        <w:rPr>
          <w:rFonts w:ascii="Arial" w:hAnsi="Arial" w:cs="Arial"/>
          <w:iCs/>
          <w:sz w:val="20"/>
          <w:szCs w:val="20"/>
        </w:rPr>
        <w:t xml:space="preserve"> of that content) at a </w:t>
      </w:r>
      <w:r>
        <w:rPr>
          <w:rFonts w:ascii="Arial" w:hAnsi="Arial" w:cs="Arial"/>
          <w:iCs/>
          <w:sz w:val="20"/>
          <w:szCs w:val="20"/>
        </w:rPr>
        <w:t>partner institution</w:t>
      </w:r>
      <w:r w:rsidR="003216A9">
        <w:rPr>
          <w:rFonts w:ascii="Arial" w:hAnsi="Arial" w:cs="Arial"/>
          <w:iCs/>
          <w:sz w:val="20"/>
          <w:szCs w:val="20"/>
        </w:rPr>
        <w:t>,</w:t>
      </w:r>
      <w:r>
        <w:rPr>
          <w:rFonts w:ascii="Arial" w:hAnsi="Arial" w:cs="Arial"/>
          <w:iCs/>
          <w:sz w:val="20"/>
          <w:szCs w:val="20"/>
        </w:rPr>
        <w:t xml:space="preserve"> </w:t>
      </w:r>
      <w:r w:rsidR="00421870">
        <w:rPr>
          <w:rFonts w:ascii="Arial" w:hAnsi="Arial" w:cs="Arial"/>
          <w:iCs/>
          <w:sz w:val="20"/>
          <w:szCs w:val="20"/>
        </w:rPr>
        <w:t xml:space="preserve">which </w:t>
      </w:r>
      <w:r w:rsidR="00131C17">
        <w:rPr>
          <w:rFonts w:ascii="Arial" w:hAnsi="Arial" w:cs="Arial"/>
          <w:iCs/>
          <w:sz w:val="20"/>
          <w:szCs w:val="20"/>
        </w:rPr>
        <w:t>will enable students</w:t>
      </w:r>
      <w:r w:rsidR="00421870">
        <w:rPr>
          <w:rFonts w:ascii="Arial" w:hAnsi="Arial" w:cs="Arial"/>
          <w:iCs/>
          <w:sz w:val="20"/>
          <w:szCs w:val="20"/>
        </w:rPr>
        <w:t xml:space="preserve"> to achieve the intended specific and generic learning outcomes of this module.</w:t>
      </w:r>
      <w:r w:rsidR="00421870" w:rsidRPr="00421870">
        <w:rPr>
          <w:rFonts w:ascii="Arial" w:hAnsi="Arial" w:cs="Arial"/>
          <w:iCs/>
          <w:sz w:val="20"/>
          <w:szCs w:val="20"/>
        </w:rPr>
        <w:t xml:space="preserve">  Students </w:t>
      </w:r>
      <w:r w:rsidR="00131C17">
        <w:rPr>
          <w:rFonts w:ascii="Arial" w:hAnsi="Arial" w:cs="Arial"/>
          <w:iCs/>
          <w:sz w:val="20"/>
          <w:szCs w:val="20"/>
        </w:rPr>
        <w:t xml:space="preserve">will </w:t>
      </w:r>
      <w:r w:rsidR="00421870" w:rsidRPr="00421870">
        <w:rPr>
          <w:rFonts w:ascii="Arial" w:hAnsi="Arial" w:cs="Arial"/>
          <w:iCs/>
          <w:sz w:val="20"/>
          <w:szCs w:val="20"/>
        </w:rPr>
        <w:t xml:space="preserve">take modules equivalent to </w:t>
      </w:r>
      <w:r w:rsidR="00DC5509">
        <w:rPr>
          <w:rFonts w:ascii="Arial" w:hAnsi="Arial" w:cs="Arial"/>
          <w:iCs/>
          <w:sz w:val="20"/>
          <w:szCs w:val="20"/>
        </w:rPr>
        <w:t>a</w:t>
      </w:r>
      <w:r w:rsidR="00421870">
        <w:rPr>
          <w:rFonts w:ascii="Arial" w:hAnsi="Arial" w:cs="Arial"/>
          <w:iCs/>
          <w:sz w:val="20"/>
          <w:szCs w:val="20"/>
        </w:rPr>
        <w:t xml:space="preserve"> full</w:t>
      </w:r>
      <w:r w:rsidR="001E2481">
        <w:rPr>
          <w:rFonts w:ascii="Arial" w:hAnsi="Arial" w:cs="Arial"/>
          <w:iCs/>
          <w:sz w:val="20"/>
          <w:szCs w:val="20"/>
        </w:rPr>
        <w:t>-time load</w:t>
      </w:r>
      <w:r w:rsidR="00421870">
        <w:rPr>
          <w:rFonts w:ascii="Arial" w:hAnsi="Arial" w:cs="Arial"/>
          <w:iCs/>
          <w:sz w:val="20"/>
          <w:szCs w:val="20"/>
        </w:rPr>
        <w:t xml:space="preserve"> </w:t>
      </w:r>
      <w:r w:rsidR="001E2481">
        <w:rPr>
          <w:rFonts w:ascii="Arial" w:hAnsi="Arial" w:cs="Arial"/>
          <w:iCs/>
          <w:sz w:val="20"/>
          <w:szCs w:val="20"/>
        </w:rPr>
        <w:t xml:space="preserve">(e.g. a full-time </w:t>
      </w:r>
      <w:r w:rsidR="00421870">
        <w:rPr>
          <w:rFonts w:ascii="Arial" w:hAnsi="Arial" w:cs="Arial"/>
          <w:iCs/>
          <w:sz w:val="20"/>
          <w:szCs w:val="20"/>
        </w:rPr>
        <w:t>year of academic study</w:t>
      </w:r>
      <w:r w:rsidR="001E2481">
        <w:rPr>
          <w:rFonts w:ascii="Arial" w:hAnsi="Arial" w:cs="Arial"/>
          <w:iCs/>
          <w:sz w:val="20"/>
          <w:szCs w:val="20"/>
        </w:rPr>
        <w:t xml:space="preserve">, or </w:t>
      </w:r>
      <w:r w:rsidR="001E2481" w:rsidRPr="001E2481">
        <w:rPr>
          <w:rFonts w:ascii="Arial" w:hAnsi="Arial" w:cs="Arial"/>
          <w:iCs/>
          <w:sz w:val="20"/>
          <w:szCs w:val="20"/>
        </w:rPr>
        <w:t xml:space="preserve">as </w:t>
      </w:r>
      <w:r w:rsidR="001E2481">
        <w:rPr>
          <w:rFonts w:ascii="Arial" w:hAnsi="Arial" w:cs="Arial"/>
          <w:iCs/>
          <w:sz w:val="20"/>
          <w:szCs w:val="20"/>
        </w:rPr>
        <w:t xml:space="preserve">otherwise </w:t>
      </w:r>
      <w:r w:rsidR="001E2481" w:rsidRPr="001E2481">
        <w:rPr>
          <w:rFonts w:ascii="Arial" w:hAnsi="Arial" w:cs="Arial"/>
          <w:iCs/>
          <w:sz w:val="20"/>
          <w:szCs w:val="20"/>
        </w:rPr>
        <w:t>defined by the host institution)</w:t>
      </w:r>
      <w:r w:rsidR="003216A9">
        <w:rPr>
          <w:rFonts w:ascii="Arial" w:hAnsi="Arial" w:cs="Arial"/>
          <w:iCs/>
          <w:sz w:val="20"/>
          <w:szCs w:val="20"/>
        </w:rPr>
        <w:t>.</w:t>
      </w:r>
      <w:r w:rsidR="00421870" w:rsidRPr="00421870">
        <w:rPr>
          <w:rFonts w:ascii="Arial" w:hAnsi="Arial" w:cs="Arial"/>
          <w:iCs/>
          <w:sz w:val="20"/>
          <w:szCs w:val="20"/>
        </w:rPr>
        <w:t xml:space="preserve"> </w:t>
      </w:r>
      <w:r w:rsidR="003216A9">
        <w:rPr>
          <w:rFonts w:ascii="Arial" w:hAnsi="Arial" w:cs="Arial"/>
          <w:iCs/>
          <w:sz w:val="20"/>
          <w:szCs w:val="20"/>
        </w:rPr>
        <w:t>T</w:t>
      </w:r>
      <w:r w:rsidR="00421870" w:rsidRPr="00421870">
        <w:rPr>
          <w:rFonts w:ascii="Arial" w:hAnsi="Arial" w:cs="Arial"/>
          <w:iCs/>
          <w:sz w:val="20"/>
          <w:szCs w:val="20"/>
        </w:rPr>
        <w:t>he</w:t>
      </w:r>
      <w:r w:rsidR="00131C17">
        <w:rPr>
          <w:rFonts w:ascii="Arial" w:hAnsi="Arial" w:cs="Arial"/>
          <w:iCs/>
          <w:sz w:val="20"/>
          <w:szCs w:val="20"/>
        </w:rPr>
        <w:t xml:space="preserve"> exact</w:t>
      </w:r>
      <w:r w:rsidR="00421870" w:rsidRPr="00421870">
        <w:rPr>
          <w:rFonts w:ascii="Arial" w:hAnsi="Arial" w:cs="Arial"/>
          <w:iCs/>
          <w:sz w:val="20"/>
          <w:szCs w:val="20"/>
        </w:rPr>
        <w:t xml:space="preserve"> composition will be as agreed with the appropriate Programme </w:t>
      </w:r>
      <w:r w:rsidR="00FD4637">
        <w:rPr>
          <w:rFonts w:ascii="Arial" w:hAnsi="Arial" w:cs="Arial"/>
          <w:iCs/>
          <w:sz w:val="20"/>
          <w:szCs w:val="20"/>
        </w:rPr>
        <w:t>Director, or</w:t>
      </w:r>
      <w:r w:rsidR="00421870" w:rsidRPr="00421870">
        <w:rPr>
          <w:rFonts w:ascii="Arial" w:hAnsi="Arial" w:cs="Arial"/>
          <w:iCs/>
          <w:sz w:val="20"/>
          <w:szCs w:val="20"/>
        </w:rPr>
        <w:t xml:space="preserve"> as set out in the learning agreement</w:t>
      </w:r>
      <w:r w:rsidR="00131C17">
        <w:rPr>
          <w:rFonts w:ascii="Arial" w:hAnsi="Arial" w:cs="Arial"/>
          <w:iCs/>
          <w:sz w:val="20"/>
          <w:szCs w:val="20"/>
        </w:rPr>
        <w:t xml:space="preserve"> (‘the agreed modules’)</w:t>
      </w:r>
      <w:r w:rsidR="00421870" w:rsidRPr="00421870">
        <w:rPr>
          <w:rFonts w:ascii="Arial" w:hAnsi="Arial" w:cs="Arial"/>
          <w:iCs/>
          <w:sz w:val="20"/>
          <w:szCs w:val="20"/>
        </w:rPr>
        <w:t xml:space="preserve">. The curriculum will vary depending on the partner institution and the </w:t>
      </w:r>
      <w:r w:rsidR="00131C17">
        <w:rPr>
          <w:rFonts w:ascii="Arial" w:hAnsi="Arial" w:cs="Arial"/>
          <w:iCs/>
          <w:sz w:val="20"/>
          <w:szCs w:val="20"/>
        </w:rPr>
        <w:t xml:space="preserve">agreed </w:t>
      </w:r>
      <w:r w:rsidR="00421870" w:rsidRPr="00421870">
        <w:rPr>
          <w:rFonts w:ascii="Arial" w:hAnsi="Arial" w:cs="Arial"/>
          <w:iCs/>
          <w:sz w:val="20"/>
          <w:szCs w:val="20"/>
        </w:rPr>
        <w:t>modules</w:t>
      </w:r>
      <w:r w:rsidR="003216A9">
        <w:rPr>
          <w:rFonts w:ascii="Arial" w:hAnsi="Arial" w:cs="Arial"/>
          <w:iCs/>
          <w:sz w:val="20"/>
          <w:szCs w:val="20"/>
        </w:rPr>
        <w:t>,</w:t>
      </w:r>
      <w:r w:rsidR="00421870" w:rsidRPr="00421870">
        <w:rPr>
          <w:rFonts w:ascii="Arial" w:hAnsi="Arial" w:cs="Arial"/>
          <w:iCs/>
          <w:sz w:val="20"/>
          <w:szCs w:val="20"/>
        </w:rPr>
        <w:t xml:space="preserve"> </w:t>
      </w:r>
      <w:r>
        <w:rPr>
          <w:rFonts w:ascii="Arial" w:hAnsi="Arial" w:cs="Arial"/>
          <w:iCs/>
          <w:sz w:val="20"/>
          <w:szCs w:val="20"/>
        </w:rPr>
        <w:t xml:space="preserve">but will be relevant to the student’s </w:t>
      </w:r>
      <w:r w:rsidR="00131C17">
        <w:rPr>
          <w:rFonts w:ascii="Arial" w:hAnsi="Arial" w:cs="Arial"/>
          <w:iCs/>
          <w:sz w:val="20"/>
          <w:szCs w:val="20"/>
        </w:rPr>
        <w:t>programme of study</w:t>
      </w:r>
      <w:r w:rsidR="003216A9">
        <w:rPr>
          <w:rFonts w:ascii="Arial" w:hAnsi="Arial" w:cs="Arial"/>
          <w:iCs/>
          <w:sz w:val="20"/>
          <w:szCs w:val="20"/>
        </w:rPr>
        <w:t>,</w:t>
      </w:r>
      <w:r>
        <w:rPr>
          <w:rFonts w:ascii="Arial" w:hAnsi="Arial" w:cs="Arial"/>
          <w:iCs/>
          <w:sz w:val="20"/>
          <w:szCs w:val="20"/>
        </w:rPr>
        <w:t xml:space="preserve"> and will </w:t>
      </w:r>
      <w:r w:rsidR="00131C17">
        <w:rPr>
          <w:rFonts w:ascii="Arial" w:hAnsi="Arial" w:cs="Arial"/>
          <w:iCs/>
          <w:sz w:val="20"/>
          <w:szCs w:val="20"/>
        </w:rPr>
        <w:t xml:space="preserve">contribute </w:t>
      </w:r>
      <w:r>
        <w:rPr>
          <w:rFonts w:ascii="Arial" w:hAnsi="Arial" w:cs="Arial"/>
          <w:iCs/>
          <w:sz w:val="20"/>
          <w:szCs w:val="20"/>
        </w:rPr>
        <w:t>to achieve</w:t>
      </w:r>
      <w:r w:rsidR="00131C17">
        <w:rPr>
          <w:rFonts w:ascii="Arial" w:hAnsi="Arial" w:cs="Arial"/>
          <w:iCs/>
          <w:sz w:val="20"/>
          <w:szCs w:val="20"/>
        </w:rPr>
        <w:t>ment</w:t>
      </w:r>
      <w:r>
        <w:rPr>
          <w:rFonts w:ascii="Arial" w:hAnsi="Arial" w:cs="Arial"/>
          <w:iCs/>
          <w:sz w:val="20"/>
          <w:szCs w:val="20"/>
        </w:rPr>
        <w:t xml:space="preserve"> </w:t>
      </w:r>
      <w:r w:rsidR="00F93849">
        <w:rPr>
          <w:rFonts w:ascii="Arial" w:hAnsi="Arial" w:cs="Arial"/>
          <w:iCs/>
          <w:sz w:val="20"/>
          <w:szCs w:val="20"/>
        </w:rPr>
        <w:t xml:space="preserve">of </w:t>
      </w:r>
      <w:r>
        <w:rPr>
          <w:rFonts w:ascii="Arial" w:hAnsi="Arial" w:cs="Arial"/>
          <w:iCs/>
          <w:sz w:val="20"/>
          <w:szCs w:val="20"/>
        </w:rPr>
        <w:t xml:space="preserve">the </w:t>
      </w:r>
      <w:r w:rsidR="00131C17">
        <w:rPr>
          <w:rFonts w:ascii="Arial" w:hAnsi="Arial" w:cs="Arial"/>
          <w:iCs/>
          <w:sz w:val="20"/>
          <w:szCs w:val="20"/>
        </w:rPr>
        <w:t xml:space="preserve">programme’s </w:t>
      </w:r>
      <w:r>
        <w:rPr>
          <w:rFonts w:ascii="Arial" w:hAnsi="Arial" w:cs="Arial"/>
          <w:iCs/>
          <w:sz w:val="20"/>
          <w:szCs w:val="20"/>
        </w:rPr>
        <w:t xml:space="preserve">educational aims and </w:t>
      </w:r>
      <w:r w:rsidR="00CD6DA5">
        <w:rPr>
          <w:rFonts w:ascii="Arial" w:hAnsi="Arial" w:cs="Arial"/>
          <w:iCs/>
          <w:sz w:val="20"/>
          <w:szCs w:val="20"/>
        </w:rPr>
        <w:t xml:space="preserve">learning </w:t>
      </w:r>
      <w:r>
        <w:rPr>
          <w:rFonts w:ascii="Arial" w:hAnsi="Arial" w:cs="Arial"/>
          <w:iCs/>
          <w:sz w:val="20"/>
          <w:szCs w:val="20"/>
        </w:rPr>
        <w:t>outcomes</w:t>
      </w:r>
      <w:r w:rsidR="00421870" w:rsidRPr="00421870">
        <w:rPr>
          <w:rFonts w:ascii="Arial" w:hAnsi="Arial" w:cs="Arial"/>
          <w:iCs/>
          <w:sz w:val="20"/>
          <w:szCs w:val="20"/>
        </w:rPr>
        <w:t xml:space="preserve">.   </w:t>
      </w:r>
    </w:p>
    <w:p w14:paraId="535C5613" w14:textId="77777777" w:rsidR="00421870" w:rsidRPr="00373ACB" w:rsidRDefault="00421870" w:rsidP="0066061A">
      <w:pPr>
        <w:spacing w:after="120" w:line="240" w:lineRule="auto"/>
        <w:ind w:left="426" w:right="260"/>
        <w:rPr>
          <w:rFonts w:ascii="Arial" w:hAnsi="Arial" w:cs="Arial"/>
          <w:iCs/>
          <w:sz w:val="20"/>
          <w:szCs w:val="20"/>
        </w:rPr>
      </w:pPr>
    </w:p>
    <w:p w14:paraId="185F036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10123A7F" w14:textId="77777777" w:rsidR="00DE4F08" w:rsidRDefault="00421870" w:rsidP="003216A9">
      <w:pPr>
        <w:spacing w:after="120" w:line="240" w:lineRule="auto"/>
        <w:ind w:left="426" w:right="260"/>
        <w:jc w:val="both"/>
        <w:rPr>
          <w:rFonts w:ascii="Arial" w:hAnsi="Arial" w:cs="Arial"/>
          <w:sz w:val="20"/>
          <w:szCs w:val="20"/>
        </w:rPr>
      </w:pPr>
      <w:r w:rsidRPr="00421870">
        <w:rPr>
          <w:rFonts w:ascii="Arial" w:hAnsi="Arial" w:cs="Arial"/>
          <w:sz w:val="20"/>
          <w:szCs w:val="20"/>
        </w:rPr>
        <w:t xml:space="preserve">Required and recommended reading will be set by the partner institution according to the </w:t>
      </w:r>
      <w:r w:rsidR="00CD6DA5">
        <w:rPr>
          <w:rFonts w:ascii="Arial" w:hAnsi="Arial" w:cs="Arial"/>
          <w:sz w:val="20"/>
          <w:szCs w:val="20"/>
        </w:rPr>
        <w:t>agreed modules</w:t>
      </w:r>
      <w:r w:rsidRPr="00421870">
        <w:rPr>
          <w:rFonts w:ascii="Arial" w:hAnsi="Arial" w:cs="Arial"/>
          <w:sz w:val="20"/>
          <w:szCs w:val="20"/>
        </w:rPr>
        <w:t>.</w:t>
      </w:r>
      <w:r w:rsidR="00F10A11">
        <w:rPr>
          <w:rFonts w:ascii="Arial" w:hAnsi="Arial" w:cs="Arial"/>
          <w:sz w:val="20"/>
          <w:szCs w:val="20"/>
        </w:rPr>
        <w:t xml:space="preserve"> However, students must </w:t>
      </w:r>
      <w:r w:rsidR="00F10A11" w:rsidRPr="00161DAF">
        <w:rPr>
          <w:rFonts w:ascii="Arial" w:hAnsi="Arial" w:cs="Arial"/>
          <w:b/>
          <w:i/>
          <w:sz w:val="20"/>
          <w:szCs w:val="20"/>
        </w:rPr>
        <w:t>carefully</w:t>
      </w:r>
      <w:r w:rsidR="00F10A11">
        <w:rPr>
          <w:rFonts w:ascii="Arial" w:hAnsi="Arial" w:cs="Arial"/>
          <w:sz w:val="20"/>
          <w:szCs w:val="20"/>
        </w:rPr>
        <w:t xml:space="preserve"> read all documentation provided to them in regard to their year abroad </w:t>
      </w:r>
      <w:r w:rsidR="00AA29DE">
        <w:rPr>
          <w:rFonts w:ascii="Arial" w:hAnsi="Arial" w:cs="Arial"/>
          <w:sz w:val="20"/>
          <w:szCs w:val="20"/>
        </w:rPr>
        <w:t>by the University of Kent and by the partner institution</w:t>
      </w:r>
      <w:r w:rsidR="00EF2C12">
        <w:rPr>
          <w:rFonts w:ascii="Arial" w:hAnsi="Arial" w:cs="Arial"/>
          <w:sz w:val="20"/>
          <w:szCs w:val="20"/>
        </w:rPr>
        <w:t xml:space="preserve"> concerned.</w:t>
      </w:r>
    </w:p>
    <w:p w14:paraId="265AD6D5" w14:textId="77777777" w:rsidR="00421870" w:rsidRPr="00373ACB" w:rsidRDefault="00421870" w:rsidP="0066061A">
      <w:pPr>
        <w:spacing w:after="120" w:line="240" w:lineRule="auto"/>
        <w:ind w:left="426" w:right="260"/>
        <w:rPr>
          <w:rFonts w:ascii="Arial" w:hAnsi="Arial" w:cs="Arial"/>
          <w:sz w:val="20"/>
          <w:szCs w:val="20"/>
        </w:rPr>
      </w:pPr>
    </w:p>
    <w:p w14:paraId="05F061CE"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71E4C6B1" w14:textId="42AA0C6C" w:rsidR="00373ACB" w:rsidRDefault="00421870" w:rsidP="003216A9">
      <w:pPr>
        <w:spacing w:after="120" w:line="240" w:lineRule="auto"/>
        <w:ind w:left="426" w:right="260"/>
        <w:jc w:val="both"/>
        <w:rPr>
          <w:rFonts w:ascii="Arial" w:hAnsi="Arial" w:cs="Arial"/>
          <w:iCs/>
          <w:sz w:val="20"/>
          <w:szCs w:val="20"/>
        </w:rPr>
      </w:pPr>
      <w:r w:rsidRPr="00421870">
        <w:rPr>
          <w:rFonts w:ascii="Arial" w:hAnsi="Arial" w:cs="Arial"/>
          <w:iCs/>
          <w:sz w:val="20"/>
          <w:szCs w:val="20"/>
        </w:rPr>
        <w:t xml:space="preserve">Learning and teaching methods will vary depending on the partner institution and the </w:t>
      </w:r>
      <w:r w:rsidR="00CD6DA5">
        <w:rPr>
          <w:rFonts w:ascii="Arial" w:hAnsi="Arial" w:cs="Arial"/>
          <w:iCs/>
          <w:sz w:val="20"/>
          <w:szCs w:val="20"/>
        </w:rPr>
        <w:t>agreed modules</w:t>
      </w:r>
      <w:r w:rsidRPr="00421870">
        <w:rPr>
          <w:rFonts w:ascii="Arial" w:hAnsi="Arial" w:cs="Arial"/>
          <w:iCs/>
          <w:sz w:val="20"/>
          <w:szCs w:val="20"/>
        </w:rPr>
        <w:t xml:space="preserve">. Inclusive of independent study, </w:t>
      </w:r>
      <w:r w:rsidR="00DC5509" w:rsidRPr="00421870">
        <w:rPr>
          <w:rFonts w:ascii="Arial" w:hAnsi="Arial" w:cs="Arial"/>
          <w:iCs/>
          <w:sz w:val="20"/>
          <w:szCs w:val="20"/>
        </w:rPr>
        <w:t>L</w:t>
      </w:r>
      <w:r w:rsidR="00F2647D">
        <w:rPr>
          <w:rFonts w:ascii="Arial" w:hAnsi="Arial" w:cs="Arial"/>
          <w:iCs/>
          <w:sz w:val="20"/>
          <w:szCs w:val="20"/>
        </w:rPr>
        <w:t>A</w:t>
      </w:r>
      <w:r w:rsidR="00DC5509" w:rsidRPr="00421870">
        <w:rPr>
          <w:rFonts w:ascii="Arial" w:hAnsi="Arial" w:cs="Arial"/>
          <w:iCs/>
          <w:sz w:val="20"/>
          <w:szCs w:val="20"/>
        </w:rPr>
        <w:t>W</w:t>
      </w:r>
      <w:r w:rsidR="00F2647D">
        <w:rPr>
          <w:rFonts w:ascii="Arial" w:hAnsi="Arial" w:cs="Arial"/>
          <w:iCs/>
          <w:sz w:val="20"/>
          <w:szCs w:val="20"/>
        </w:rPr>
        <w:t>S</w:t>
      </w:r>
      <w:r w:rsidR="00DC5509">
        <w:rPr>
          <w:rFonts w:ascii="Arial" w:hAnsi="Arial" w:cs="Arial"/>
          <w:iCs/>
          <w:sz w:val="20"/>
          <w:szCs w:val="20"/>
        </w:rPr>
        <w:t>700</w:t>
      </w:r>
      <w:r w:rsidR="00F2647D">
        <w:rPr>
          <w:rFonts w:ascii="Arial" w:hAnsi="Arial" w:cs="Arial"/>
          <w:iCs/>
          <w:sz w:val="20"/>
          <w:szCs w:val="20"/>
        </w:rPr>
        <w:t>0</w:t>
      </w:r>
      <w:r w:rsidR="00DC5509" w:rsidRPr="00421870">
        <w:rPr>
          <w:rFonts w:ascii="Arial" w:hAnsi="Arial" w:cs="Arial"/>
          <w:iCs/>
          <w:sz w:val="20"/>
          <w:szCs w:val="20"/>
        </w:rPr>
        <w:t xml:space="preserve"> </w:t>
      </w:r>
      <w:r w:rsidRPr="00421870">
        <w:rPr>
          <w:rFonts w:ascii="Arial" w:hAnsi="Arial" w:cs="Arial"/>
          <w:iCs/>
          <w:sz w:val="20"/>
          <w:szCs w:val="20"/>
        </w:rPr>
        <w:t xml:space="preserve">will require </w:t>
      </w:r>
      <w:r w:rsidR="00571035">
        <w:rPr>
          <w:rFonts w:ascii="Arial" w:hAnsi="Arial" w:cs="Arial"/>
          <w:iCs/>
          <w:sz w:val="20"/>
          <w:szCs w:val="20"/>
        </w:rPr>
        <w:t xml:space="preserve">approximately </w:t>
      </w:r>
      <w:r w:rsidRPr="00421870">
        <w:rPr>
          <w:rFonts w:ascii="Arial" w:hAnsi="Arial" w:cs="Arial"/>
          <w:iCs/>
          <w:sz w:val="20"/>
          <w:szCs w:val="20"/>
        </w:rPr>
        <w:t>1,200 hours of study</w:t>
      </w:r>
      <w:r w:rsidR="003216A9">
        <w:rPr>
          <w:rFonts w:ascii="Arial" w:hAnsi="Arial" w:cs="Arial"/>
          <w:iCs/>
          <w:sz w:val="20"/>
          <w:szCs w:val="20"/>
        </w:rPr>
        <w:t>,</w:t>
      </w:r>
      <w:r w:rsidR="001E2481">
        <w:rPr>
          <w:rFonts w:ascii="Arial" w:hAnsi="Arial" w:cs="Arial"/>
          <w:iCs/>
          <w:sz w:val="20"/>
          <w:szCs w:val="20"/>
        </w:rPr>
        <w:t xml:space="preserve"> (or the number of study hours otherwise specified by the partner institution concerned as amounting to a full-time load)</w:t>
      </w:r>
      <w:r w:rsidRPr="00421870">
        <w:rPr>
          <w:rFonts w:ascii="Arial" w:hAnsi="Arial" w:cs="Arial"/>
          <w:iCs/>
          <w:sz w:val="20"/>
          <w:szCs w:val="20"/>
        </w:rPr>
        <w:t>.</w:t>
      </w:r>
    </w:p>
    <w:p w14:paraId="70A7709B" w14:textId="77777777" w:rsidR="00421870" w:rsidRPr="00373ACB" w:rsidRDefault="00421870" w:rsidP="0066061A">
      <w:pPr>
        <w:spacing w:after="120" w:line="240" w:lineRule="auto"/>
        <w:ind w:left="426" w:right="260"/>
        <w:rPr>
          <w:rFonts w:ascii="Arial" w:hAnsi="Arial" w:cs="Arial"/>
          <w:i/>
          <w:iCs/>
          <w:sz w:val="20"/>
          <w:szCs w:val="20"/>
        </w:rPr>
      </w:pPr>
    </w:p>
    <w:p w14:paraId="6297D155" w14:textId="77777777" w:rsidR="00726B5F" w:rsidRPr="00726B5F" w:rsidRDefault="00EF4933" w:rsidP="00161DA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7546A0CA" w14:textId="77777777" w:rsidR="00726B5F" w:rsidRPr="006F3F43" w:rsidRDefault="00726B5F" w:rsidP="00726B5F">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1F9A5E83" w14:textId="049F38ED" w:rsidR="003216A9" w:rsidRDefault="006F3F8B" w:rsidP="003216A9">
      <w:pPr>
        <w:spacing w:after="120" w:line="240" w:lineRule="auto"/>
        <w:ind w:left="426" w:right="260"/>
        <w:jc w:val="both"/>
        <w:rPr>
          <w:rFonts w:ascii="Arial" w:hAnsi="Arial" w:cs="Arial"/>
          <w:iCs/>
          <w:sz w:val="20"/>
          <w:szCs w:val="20"/>
        </w:rPr>
      </w:pPr>
      <w:r w:rsidRPr="00373ACB">
        <w:rPr>
          <w:rFonts w:ascii="Arial" w:hAnsi="Arial" w:cs="Arial"/>
          <w:b/>
          <w:sz w:val="20"/>
          <w:szCs w:val="20"/>
        </w:rPr>
        <w:br/>
      </w:r>
      <w:r w:rsidR="00421870" w:rsidRPr="00421870">
        <w:rPr>
          <w:rFonts w:ascii="Arial" w:hAnsi="Arial" w:cs="Arial"/>
          <w:iCs/>
          <w:sz w:val="20"/>
          <w:szCs w:val="20"/>
        </w:rPr>
        <w:t xml:space="preserve">The assessment methods are set </w:t>
      </w:r>
      <w:r w:rsidR="00EF2C12">
        <w:rPr>
          <w:rFonts w:ascii="Arial" w:hAnsi="Arial" w:cs="Arial"/>
          <w:iCs/>
          <w:sz w:val="20"/>
          <w:szCs w:val="20"/>
        </w:rPr>
        <w:t xml:space="preserve">and administered </w:t>
      </w:r>
      <w:r w:rsidR="00421870" w:rsidRPr="00421870">
        <w:rPr>
          <w:rFonts w:ascii="Arial" w:hAnsi="Arial" w:cs="Arial"/>
          <w:iCs/>
          <w:sz w:val="20"/>
          <w:szCs w:val="20"/>
        </w:rPr>
        <w:t>by the partner institution</w:t>
      </w:r>
      <w:r w:rsidR="00EF2C12">
        <w:rPr>
          <w:rFonts w:ascii="Arial" w:hAnsi="Arial" w:cs="Arial"/>
          <w:iCs/>
          <w:sz w:val="20"/>
          <w:szCs w:val="20"/>
        </w:rPr>
        <w:t xml:space="preserve"> in accordance with its own rules and regulations</w:t>
      </w:r>
      <w:r w:rsidR="00421870" w:rsidRPr="00421870">
        <w:rPr>
          <w:rFonts w:ascii="Arial" w:hAnsi="Arial" w:cs="Arial"/>
          <w:iCs/>
          <w:sz w:val="20"/>
          <w:szCs w:val="20"/>
        </w:rPr>
        <w:t xml:space="preserve"> and will vary depending on </w:t>
      </w:r>
      <w:r w:rsidR="00EF2C12">
        <w:rPr>
          <w:rFonts w:ascii="Arial" w:hAnsi="Arial" w:cs="Arial"/>
          <w:iCs/>
          <w:sz w:val="20"/>
          <w:szCs w:val="20"/>
        </w:rPr>
        <w:t>the</w:t>
      </w:r>
      <w:r w:rsidR="00EF2C12" w:rsidRPr="00421870">
        <w:rPr>
          <w:rFonts w:ascii="Arial" w:hAnsi="Arial" w:cs="Arial"/>
          <w:iCs/>
          <w:sz w:val="20"/>
          <w:szCs w:val="20"/>
        </w:rPr>
        <w:t xml:space="preserve"> </w:t>
      </w:r>
      <w:r w:rsidR="00421870" w:rsidRPr="00421870">
        <w:rPr>
          <w:rFonts w:ascii="Arial" w:hAnsi="Arial" w:cs="Arial"/>
          <w:iCs/>
          <w:sz w:val="20"/>
          <w:szCs w:val="20"/>
        </w:rPr>
        <w:t xml:space="preserve">institution and </w:t>
      </w:r>
      <w:r w:rsidR="00CD6DA5">
        <w:rPr>
          <w:rFonts w:ascii="Arial" w:hAnsi="Arial" w:cs="Arial"/>
          <w:iCs/>
          <w:sz w:val="20"/>
          <w:szCs w:val="20"/>
        </w:rPr>
        <w:t>the agreed modules</w:t>
      </w:r>
      <w:r w:rsidR="00421870" w:rsidRPr="00421870">
        <w:rPr>
          <w:rFonts w:ascii="Arial" w:hAnsi="Arial" w:cs="Arial"/>
          <w:iCs/>
          <w:sz w:val="20"/>
          <w:szCs w:val="20"/>
        </w:rPr>
        <w:t xml:space="preserve">. </w:t>
      </w:r>
      <w:r w:rsidR="00667A17" w:rsidRPr="00046170">
        <w:rPr>
          <w:rFonts w:ascii="Arial" w:hAnsi="Arial" w:cs="Arial"/>
          <w:iCs/>
          <w:sz w:val="20"/>
          <w:szCs w:val="20"/>
        </w:rPr>
        <w:t>Kent will assess L</w:t>
      </w:r>
      <w:r w:rsidR="00F2647D">
        <w:rPr>
          <w:rFonts w:ascii="Arial" w:hAnsi="Arial" w:cs="Arial"/>
          <w:iCs/>
          <w:sz w:val="20"/>
          <w:szCs w:val="20"/>
        </w:rPr>
        <w:t>A</w:t>
      </w:r>
      <w:r w:rsidR="00667A17" w:rsidRPr="00046170">
        <w:rPr>
          <w:rFonts w:ascii="Arial" w:hAnsi="Arial" w:cs="Arial"/>
          <w:iCs/>
          <w:sz w:val="20"/>
          <w:szCs w:val="20"/>
        </w:rPr>
        <w:t>W</w:t>
      </w:r>
      <w:r w:rsidR="00F2647D">
        <w:rPr>
          <w:rFonts w:ascii="Arial" w:hAnsi="Arial" w:cs="Arial"/>
          <w:iCs/>
          <w:sz w:val="20"/>
          <w:szCs w:val="20"/>
        </w:rPr>
        <w:t>S</w:t>
      </w:r>
      <w:r w:rsidR="00667A17" w:rsidRPr="00046170">
        <w:rPr>
          <w:rFonts w:ascii="Arial" w:hAnsi="Arial" w:cs="Arial"/>
          <w:iCs/>
          <w:sz w:val="20"/>
          <w:szCs w:val="20"/>
        </w:rPr>
        <w:t>700</w:t>
      </w:r>
      <w:r w:rsidR="00F2647D">
        <w:rPr>
          <w:rFonts w:ascii="Arial" w:hAnsi="Arial" w:cs="Arial"/>
          <w:iCs/>
          <w:sz w:val="20"/>
          <w:szCs w:val="20"/>
        </w:rPr>
        <w:t>0</w:t>
      </w:r>
      <w:r w:rsidR="00667A17" w:rsidRPr="00046170">
        <w:rPr>
          <w:rFonts w:ascii="Arial" w:hAnsi="Arial" w:cs="Arial"/>
          <w:iCs/>
          <w:sz w:val="20"/>
          <w:szCs w:val="20"/>
        </w:rPr>
        <w:t xml:space="preserve"> on a pass/fail basis. </w:t>
      </w:r>
      <w:r w:rsidR="00421870" w:rsidRPr="00421870">
        <w:rPr>
          <w:rFonts w:ascii="Arial" w:hAnsi="Arial" w:cs="Arial"/>
          <w:iCs/>
          <w:sz w:val="20"/>
          <w:szCs w:val="20"/>
        </w:rPr>
        <w:t xml:space="preserve">In order to pass </w:t>
      </w:r>
      <w:r w:rsidR="00EF2C12" w:rsidRPr="00421870">
        <w:rPr>
          <w:rFonts w:ascii="Arial" w:hAnsi="Arial" w:cs="Arial"/>
          <w:iCs/>
          <w:sz w:val="20"/>
          <w:szCs w:val="20"/>
        </w:rPr>
        <w:t>th</w:t>
      </w:r>
      <w:r w:rsidR="00EF2C12">
        <w:rPr>
          <w:rFonts w:ascii="Arial" w:hAnsi="Arial" w:cs="Arial"/>
          <w:iCs/>
          <w:sz w:val="20"/>
          <w:szCs w:val="20"/>
        </w:rPr>
        <w:t>is</w:t>
      </w:r>
      <w:r w:rsidR="00EF2C12" w:rsidRPr="00421870">
        <w:rPr>
          <w:rFonts w:ascii="Arial" w:hAnsi="Arial" w:cs="Arial"/>
          <w:iCs/>
          <w:sz w:val="20"/>
          <w:szCs w:val="20"/>
        </w:rPr>
        <w:t xml:space="preserve"> </w:t>
      </w:r>
      <w:r w:rsidR="00421870" w:rsidRPr="00421870">
        <w:rPr>
          <w:rFonts w:ascii="Arial" w:hAnsi="Arial" w:cs="Arial"/>
          <w:iCs/>
          <w:sz w:val="20"/>
          <w:szCs w:val="20"/>
        </w:rPr>
        <w:t xml:space="preserve">module and be awarded 120 Kent credits, students </w:t>
      </w:r>
      <w:r w:rsidR="001B7F67">
        <w:rPr>
          <w:rFonts w:ascii="Arial" w:hAnsi="Arial" w:cs="Arial"/>
          <w:iCs/>
          <w:sz w:val="20"/>
          <w:szCs w:val="20"/>
        </w:rPr>
        <w:t>must</w:t>
      </w:r>
      <w:r w:rsidR="00421870" w:rsidRPr="00421870">
        <w:rPr>
          <w:rFonts w:ascii="Arial" w:hAnsi="Arial" w:cs="Arial"/>
          <w:iCs/>
          <w:sz w:val="20"/>
          <w:szCs w:val="20"/>
        </w:rPr>
        <w:t xml:space="preserve"> </w:t>
      </w:r>
      <w:r w:rsidR="00EF2C12">
        <w:rPr>
          <w:rFonts w:ascii="Arial" w:hAnsi="Arial" w:cs="Arial"/>
          <w:iCs/>
          <w:sz w:val="20"/>
          <w:szCs w:val="20"/>
        </w:rPr>
        <w:t xml:space="preserve">achieve a </w:t>
      </w:r>
      <w:r w:rsidR="00421870" w:rsidRPr="00421870">
        <w:rPr>
          <w:rFonts w:ascii="Arial" w:hAnsi="Arial" w:cs="Arial"/>
          <w:iCs/>
          <w:sz w:val="20"/>
          <w:szCs w:val="20"/>
        </w:rPr>
        <w:t>pass</w:t>
      </w:r>
      <w:r w:rsidR="00EF2C12">
        <w:rPr>
          <w:rFonts w:ascii="Arial" w:hAnsi="Arial" w:cs="Arial"/>
          <w:iCs/>
          <w:sz w:val="20"/>
          <w:szCs w:val="20"/>
        </w:rPr>
        <w:t xml:space="preserve"> mark</w:t>
      </w:r>
      <w:r w:rsidR="00131C17" w:rsidRPr="00131C17">
        <w:rPr>
          <w:rFonts w:ascii="Arial" w:hAnsi="Arial" w:cs="Arial"/>
          <w:iCs/>
          <w:sz w:val="20"/>
          <w:szCs w:val="20"/>
        </w:rPr>
        <w:t xml:space="preserve"> </w:t>
      </w:r>
      <w:r w:rsidR="00131C17">
        <w:rPr>
          <w:rFonts w:ascii="Arial" w:hAnsi="Arial" w:cs="Arial"/>
          <w:iCs/>
          <w:sz w:val="20"/>
          <w:szCs w:val="20"/>
        </w:rPr>
        <w:t>(</w:t>
      </w:r>
      <w:r w:rsidR="00131C17" w:rsidRPr="00421870">
        <w:rPr>
          <w:rFonts w:ascii="Arial" w:hAnsi="Arial" w:cs="Arial"/>
          <w:iCs/>
          <w:sz w:val="20"/>
          <w:szCs w:val="20"/>
        </w:rPr>
        <w:t>documented by the transcript issued by the partner institution</w:t>
      </w:r>
      <w:r w:rsidR="00131C17">
        <w:rPr>
          <w:rFonts w:ascii="Arial" w:hAnsi="Arial" w:cs="Arial"/>
          <w:iCs/>
          <w:sz w:val="20"/>
          <w:szCs w:val="20"/>
        </w:rPr>
        <w:t>)</w:t>
      </w:r>
      <w:r w:rsidR="00EF2C12">
        <w:rPr>
          <w:rFonts w:ascii="Arial" w:hAnsi="Arial" w:cs="Arial"/>
          <w:iCs/>
          <w:sz w:val="20"/>
          <w:szCs w:val="20"/>
        </w:rPr>
        <w:t xml:space="preserve"> in at least </w:t>
      </w:r>
      <w:r w:rsidR="001E2481">
        <w:rPr>
          <w:rFonts w:ascii="Arial" w:hAnsi="Arial" w:cs="Arial"/>
          <w:iCs/>
          <w:sz w:val="20"/>
          <w:szCs w:val="20"/>
        </w:rPr>
        <w:t xml:space="preserve">two-thirds of the credits </w:t>
      </w:r>
      <w:r w:rsidR="00131C17">
        <w:rPr>
          <w:rFonts w:ascii="Arial" w:hAnsi="Arial" w:cs="Arial"/>
          <w:iCs/>
          <w:sz w:val="20"/>
          <w:szCs w:val="20"/>
        </w:rPr>
        <w:t>of the</w:t>
      </w:r>
      <w:r w:rsidR="001B7F67">
        <w:rPr>
          <w:rFonts w:ascii="Arial" w:hAnsi="Arial" w:cs="Arial"/>
          <w:iCs/>
          <w:sz w:val="20"/>
          <w:szCs w:val="20"/>
        </w:rPr>
        <w:t>ir</w:t>
      </w:r>
      <w:r w:rsidR="00131C17">
        <w:rPr>
          <w:rFonts w:ascii="Arial" w:hAnsi="Arial" w:cs="Arial"/>
          <w:iCs/>
          <w:sz w:val="20"/>
          <w:szCs w:val="20"/>
        </w:rPr>
        <w:t xml:space="preserve"> agreed modules</w:t>
      </w:r>
      <w:r w:rsidR="00131C17">
        <w:rPr>
          <w:rFonts w:ascii="Arial" w:hAnsi="Arial" w:cs="Arial"/>
          <w:b/>
          <w:i/>
          <w:iCs/>
          <w:sz w:val="20"/>
          <w:szCs w:val="20"/>
        </w:rPr>
        <w:t>.</w:t>
      </w:r>
      <w:r w:rsidR="001B7F67">
        <w:rPr>
          <w:rFonts w:ascii="Arial" w:hAnsi="Arial" w:cs="Arial"/>
          <w:b/>
          <w:i/>
          <w:iCs/>
          <w:sz w:val="20"/>
          <w:szCs w:val="20"/>
        </w:rPr>
        <w:t xml:space="preserve"> </w:t>
      </w:r>
      <w:r w:rsidR="001E2481" w:rsidRPr="001B7F67">
        <w:rPr>
          <w:rFonts w:ascii="Arial" w:hAnsi="Arial" w:cs="Arial"/>
          <w:iCs/>
          <w:sz w:val="20"/>
          <w:szCs w:val="20"/>
        </w:rPr>
        <w:t>There will be no compensation</w:t>
      </w:r>
      <w:r w:rsidR="001B7F67">
        <w:rPr>
          <w:rFonts w:ascii="Arial" w:hAnsi="Arial" w:cs="Arial"/>
          <w:iCs/>
          <w:sz w:val="20"/>
          <w:szCs w:val="20"/>
        </w:rPr>
        <w:t xml:space="preserve"> or</w:t>
      </w:r>
      <w:r w:rsidR="001E2481" w:rsidRPr="001B7F67">
        <w:rPr>
          <w:rFonts w:ascii="Arial" w:hAnsi="Arial" w:cs="Arial"/>
          <w:iCs/>
          <w:sz w:val="20"/>
          <w:szCs w:val="20"/>
        </w:rPr>
        <w:t xml:space="preserve"> condonement, and no concessionary adjustment of</w:t>
      </w:r>
      <w:r w:rsidR="001E2481">
        <w:rPr>
          <w:rFonts w:ascii="Arial" w:hAnsi="Arial" w:cs="Arial"/>
          <w:iCs/>
          <w:sz w:val="20"/>
          <w:szCs w:val="20"/>
        </w:rPr>
        <w:t xml:space="preserve"> </w:t>
      </w:r>
      <w:r w:rsidR="001E2481" w:rsidRPr="001B7F67">
        <w:rPr>
          <w:rFonts w:ascii="Arial" w:hAnsi="Arial" w:cs="Arial"/>
          <w:iCs/>
          <w:sz w:val="20"/>
          <w:szCs w:val="20"/>
        </w:rPr>
        <w:t xml:space="preserve">any marks awarded by the partner </w:t>
      </w:r>
      <w:r w:rsidR="001B7F67">
        <w:rPr>
          <w:rFonts w:ascii="Arial" w:hAnsi="Arial" w:cs="Arial"/>
          <w:iCs/>
          <w:sz w:val="20"/>
          <w:szCs w:val="20"/>
        </w:rPr>
        <w:t>institution</w:t>
      </w:r>
      <w:r w:rsidR="001B7F67" w:rsidRPr="001B7F67">
        <w:rPr>
          <w:rFonts w:ascii="Arial" w:hAnsi="Arial" w:cs="Arial"/>
          <w:iCs/>
          <w:sz w:val="20"/>
          <w:szCs w:val="20"/>
        </w:rPr>
        <w:t>.</w:t>
      </w:r>
    </w:p>
    <w:p w14:paraId="31934957" w14:textId="263C8E3A" w:rsidR="00726B5F" w:rsidRPr="001B7F67" w:rsidRDefault="00726B5F" w:rsidP="003216A9">
      <w:pPr>
        <w:spacing w:after="120" w:line="240" w:lineRule="auto"/>
        <w:ind w:left="426" w:right="260"/>
        <w:jc w:val="both"/>
        <w:rPr>
          <w:rFonts w:ascii="Arial" w:hAnsi="Arial" w:cs="Arial"/>
          <w:b/>
          <w:i/>
          <w:iCs/>
          <w:sz w:val="20"/>
          <w:szCs w:val="20"/>
        </w:rPr>
      </w:pPr>
    </w:p>
    <w:p w14:paraId="7A714E11" w14:textId="77777777" w:rsidR="00726B5F" w:rsidRDefault="00726B5F" w:rsidP="00726B5F">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A506158" w14:textId="15B26CC1" w:rsidR="003216A9" w:rsidRDefault="00571035" w:rsidP="003216A9">
      <w:pPr>
        <w:spacing w:after="120" w:line="240" w:lineRule="auto"/>
        <w:ind w:left="426" w:right="260"/>
        <w:jc w:val="both"/>
        <w:rPr>
          <w:rFonts w:ascii="Arial" w:hAnsi="Arial" w:cs="Arial"/>
          <w:iCs/>
          <w:sz w:val="20"/>
          <w:szCs w:val="20"/>
        </w:rPr>
      </w:pPr>
      <w:r>
        <w:rPr>
          <w:rFonts w:ascii="Arial" w:hAnsi="Arial" w:cs="Arial"/>
          <w:iCs/>
          <w:sz w:val="20"/>
          <w:szCs w:val="20"/>
        </w:rPr>
        <w:br/>
        <w:t xml:space="preserve">Reassessment opportunities may be provided by the partner institution during the year abroad in accordance with its own rules and regulations. Where, subsequent to any reassessment opportunities offered by the partner institution, a student fails to obtain two-thirds of the necessary credits, but achieves at least one-third, they will be required to undertake </w:t>
      </w:r>
      <w:r w:rsidR="00655919">
        <w:rPr>
          <w:rFonts w:ascii="Arial" w:hAnsi="Arial" w:cs="Arial"/>
          <w:iCs/>
          <w:sz w:val="20"/>
          <w:szCs w:val="20"/>
        </w:rPr>
        <w:t>further written work to achieve the remaining credits</w:t>
      </w:r>
      <w:r>
        <w:rPr>
          <w:rFonts w:ascii="Arial" w:hAnsi="Arial" w:cs="Arial"/>
          <w:iCs/>
          <w:sz w:val="20"/>
          <w:szCs w:val="20"/>
        </w:rPr>
        <w:t xml:space="preserve">. </w:t>
      </w:r>
      <w:r w:rsidR="00324C39">
        <w:rPr>
          <w:rFonts w:ascii="Arial" w:hAnsi="Arial" w:cs="Arial"/>
          <w:iCs/>
          <w:sz w:val="20"/>
          <w:szCs w:val="20"/>
        </w:rPr>
        <w:t>The pass mark for th</w:t>
      </w:r>
      <w:r w:rsidR="00655919">
        <w:rPr>
          <w:rFonts w:ascii="Arial" w:hAnsi="Arial" w:cs="Arial"/>
          <w:iCs/>
          <w:sz w:val="20"/>
          <w:szCs w:val="20"/>
        </w:rPr>
        <w:t>is assessment will</w:t>
      </w:r>
      <w:r w:rsidR="00324C39">
        <w:rPr>
          <w:rFonts w:ascii="Arial" w:hAnsi="Arial" w:cs="Arial"/>
          <w:iCs/>
          <w:sz w:val="20"/>
          <w:szCs w:val="20"/>
        </w:rPr>
        <w:t xml:space="preserve"> </w:t>
      </w:r>
      <w:r w:rsidR="00655919">
        <w:rPr>
          <w:rFonts w:ascii="Arial" w:hAnsi="Arial" w:cs="Arial"/>
          <w:iCs/>
          <w:sz w:val="20"/>
          <w:szCs w:val="20"/>
        </w:rPr>
        <w:t>be</w:t>
      </w:r>
      <w:r w:rsidR="00324C39">
        <w:rPr>
          <w:rFonts w:ascii="Arial" w:hAnsi="Arial" w:cs="Arial"/>
          <w:iCs/>
          <w:sz w:val="20"/>
          <w:szCs w:val="20"/>
        </w:rPr>
        <w:t xml:space="preserve"> 40%</w:t>
      </w:r>
      <w:r w:rsidR="00655919">
        <w:rPr>
          <w:rFonts w:ascii="Arial" w:hAnsi="Arial" w:cs="Arial"/>
          <w:iCs/>
          <w:sz w:val="20"/>
          <w:szCs w:val="20"/>
        </w:rPr>
        <w:t xml:space="preserve">, however, no </w:t>
      </w:r>
      <w:r w:rsidR="003216A9">
        <w:rPr>
          <w:rFonts w:ascii="Arial" w:hAnsi="Arial" w:cs="Arial"/>
          <w:iCs/>
          <w:sz w:val="20"/>
          <w:szCs w:val="20"/>
        </w:rPr>
        <w:t xml:space="preserve">numerical </w:t>
      </w:r>
      <w:r w:rsidR="00655919">
        <w:rPr>
          <w:rFonts w:ascii="Arial" w:hAnsi="Arial" w:cs="Arial"/>
          <w:iCs/>
          <w:sz w:val="20"/>
          <w:szCs w:val="20"/>
        </w:rPr>
        <w:t>mark will be</w:t>
      </w:r>
      <w:r w:rsidR="003216A9" w:rsidRPr="003216A9">
        <w:rPr>
          <w:rFonts w:ascii="Arial" w:hAnsi="Arial" w:cs="Arial"/>
          <w:iCs/>
          <w:sz w:val="20"/>
          <w:szCs w:val="20"/>
        </w:rPr>
        <w:t xml:space="preserve"> </w:t>
      </w:r>
      <w:r w:rsidR="003216A9">
        <w:rPr>
          <w:rFonts w:ascii="Arial" w:hAnsi="Arial" w:cs="Arial"/>
          <w:iCs/>
          <w:sz w:val="20"/>
          <w:szCs w:val="20"/>
        </w:rPr>
        <w:t>formally</w:t>
      </w:r>
      <w:r w:rsidR="00655919">
        <w:rPr>
          <w:rFonts w:ascii="Arial" w:hAnsi="Arial" w:cs="Arial"/>
          <w:iCs/>
          <w:sz w:val="20"/>
          <w:szCs w:val="20"/>
        </w:rPr>
        <w:t xml:space="preserve"> recorded</w:t>
      </w:r>
      <w:r w:rsidR="00324C39">
        <w:rPr>
          <w:rFonts w:ascii="Arial" w:hAnsi="Arial" w:cs="Arial"/>
          <w:iCs/>
          <w:sz w:val="20"/>
          <w:szCs w:val="20"/>
        </w:rPr>
        <w:t>.</w:t>
      </w:r>
    </w:p>
    <w:p w14:paraId="2385E600" w14:textId="77045D3E" w:rsidR="003216A9" w:rsidRDefault="00571035" w:rsidP="003216A9">
      <w:pPr>
        <w:spacing w:after="120" w:line="240" w:lineRule="auto"/>
        <w:ind w:left="426" w:right="260"/>
        <w:jc w:val="both"/>
        <w:rPr>
          <w:rFonts w:ascii="Arial" w:hAnsi="Arial" w:cs="Arial"/>
          <w:iCs/>
          <w:sz w:val="20"/>
          <w:szCs w:val="20"/>
        </w:rPr>
      </w:pPr>
      <w:r>
        <w:rPr>
          <w:rFonts w:ascii="Arial" w:hAnsi="Arial" w:cs="Arial"/>
          <w:iCs/>
          <w:sz w:val="20"/>
          <w:szCs w:val="20"/>
        </w:rPr>
        <w:br/>
        <w:t xml:space="preserve">Students who fail to achieve at least one-third of the necessary credits will not be offered </w:t>
      </w:r>
      <w:r w:rsidR="00324C39">
        <w:rPr>
          <w:rFonts w:ascii="Arial" w:hAnsi="Arial" w:cs="Arial"/>
          <w:iCs/>
          <w:sz w:val="20"/>
          <w:szCs w:val="20"/>
        </w:rPr>
        <w:t xml:space="preserve">a </w:t>
      </w:r>
      <w:r>
        <w:rPr>
          <w:rFonts w:ascii="Arial" w:hAnsi="Arial" w:cs="Arial"/>
          <w:iCs/>
          <w:sz w:val="20"/>
          <w:szCs w:val="20"/>
        </w:rPr>
        <w:t>reassessment</w:t>
      </w:r>
      <w:r w:rsidR="00324C39">
        <w:rPr>
          <w:rFonts w:ascii="Arial" w:hAnsi="Arial" w:cs="Arial"/>
          <w:iCs/>
          <w:sz w:val="20"/>
          <w:szCs w:val="20"/>
        </w:rPr>
        <w:t xml:space="preserve"> opportunity</w:t>
      </w:r>
      <w:r>
        <w:rPr>
          <w:rFonts w:ascii="Arial" w:hAnsi="Arial" w:cs="Arial"/>
          <w:iCs/>
          <w:sz w:val="20"/>
          <w:szCs w:val="20"/>
        </w:rPr>
        <w:t xml:space="preserve"> at Kent, and will fail this module (and their year abroad).</w:t>
      </w:r>
    </w:p>
    <w:p w14:paraId="67CCDC9B" w14:textId="4DB5AAF1" w:rsidR="0066061A" w:rsidRPr="00704E3E" w:rsidRDefault="001A5C16" w:rsidP="003216A9">
      <w:pPr>
        <w:spacing w:after="120" w:line="240" w:lineRule="auto"/>
        <w:ind w:left="426" w:right="260"/>
        <w:jc w:val="both"/>
        <w:rPr>
          <w:rFonts w:ascii="Arial" w:hAnsi="Arial" w:cs="Arial"/>
          <w:iCs/>
          <w:sz w:val="20"/>
          <w:szCs w:val="20"/>
        </w:rPr>
      </w:pPr>
      <w:r>
        <w:rPr>
          <w:rFonts w:ascii="Arial" w:hAnsi="Arial" w:cs="Arial"/>
          <w:iCs/>
          <w:sz w:val="20"/>
          <w:szCs w:val="20"/>
        </w:rPr>
        <w:br/>
      </w:r>
      <w:r w:rsidR="00726B5F" w:rsidRPr="00161DAF">
        <w:rPr>
          <w:rFonts w:ascii="Arial" w:hAnsi="Arial" w:cs="Arial"/>
          <w:iCs/>
          <w:sz w:val="20"/>
          <w:szCs w:val="20"/>
        </w:rPr>
        <w:t>Students</w:t>
      </w:r>
      <w:r w:rsidR="00667A17">
        <w:rPr>
          <w:rFonts w:ascii="Arial" w:hAnsi="Arial" w:cs="Arial"/>
          <w:iCs/>
          <w:sz w:val="20"/>
          <w:szCs w:val="20"/>
        </w:rPr>
        <w:t xml:space="preserve"> who </w:t>
      </w:r>
      <w:r w:rsidR="00571035">
        <w:rPr>
          <w:rFonts w:ascii="Arial" w:hAnsi="Arial" w:cs="Arial"/>
          <w:iCs/>
          <w:sz w:val="20"/>
          <w:szCs w:val="20"/>
        </w:rPr>
        <w:t xml:space="preserve">ultimately </w:t>
      </w:r>
      <w:r w:rsidR="00667A17">
        <w:rPr>
          <w:rFonts w:ascii="Arial" w:hAnsi="Arial" w:cs="Arial"/>
          <w:iCs/>
          <w:sz w:val="20"/>
          <w:szCs w:val="20"/>
        </w:rPr>
        <w:t xml:space="preserve">fail </w:t>
      </w:r>
      <w:r w:rsidR="00571035">
        <w:rPr>
          <w:rFonts w:ascii="Arial" w:hAnsi="Arial" w:cs="Arial"/>
          <w:iCs/>
          <w:sz w:val="20"/>
          <w:szCs w:val="20"/>
        </w:rPr>
        <w:t>their year abroad</w:t>
      </w:r>
      <w:r w:rsidR="00667A17">
        <w:rPr>
          <w:rFonts w:ascii="Arial" w:hAnsi="Arial" w:cs="Arial"/>
          <w:iCs/>
          <w:sz w:val="20"/>
          <w:szCs w:val="20"/>
        </w:rPr>
        <w:t xml:space="preserve"> will be transferred to the single honours LLB Law and will not achieve a degree with a year abroad.</w:t>
      </w:r>
      <w:r w:rsidR="00667A17" w:rsidRPr="00100B76">
        <w:rPr>
          <w:rFonts w:ascii="Arial" w:hAnsi="Arial" w:cs="Arial"/>
          <w:iCs/>
          <w:sz w:val="20"/>
          <w:szCs w:val="20"/>
        </w:rPr>
        <w:t xml:space="preserve"> </w:t>
      </w:r>
    </w:p>
    <w:p w14:paraId="39381F05" w14:textId="77777777" w:rsidR="00373ACB" w:rsidRPr="00373ACB" w:rsidRDefault="00373ACB" w:rsidP="0066061A">
      <w:pPr>
        <w:spacing w:after="120" w:line="240" w:lineRule="auto"/>
        <w:ind w:left="426" w:right="260"/>
        <w:rPr>
          <w:rFonts w:ascii="Arial" w:hAnsi="Arial" w:cs="Arial"/>
          <w:b/>
          <w:i/>
          <w:iCs/>
          <w:sz w:val="20"/>
          <w:szCs w:val="20"/>
        </w:rPr>
      </w:pPr>
    </w:p>
    <w:p w14:paraId="390ACE32" w14:textId="77777777" w:rsidR="00274ED7" w:rsidRPr="00373ACB" w:rsidRDefault="006F3F8B"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6E9523A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206" w:type="pct"/>
        <w:jc w:val="center"/>
        <w:tblLook w:val="04A0" w:firstRow="1" w:lastRow="0" w:firstColumn="1" w:lastColumn="0" w:noHBand="0" w:noVBand="1"/>
      </w:tblPr>
      <w:tblGrid>
        <w:gridCol w:w="1430"/>
        <w:gridCol w:w="1809"/>
        <w:gridCol w:w="495"/>
        <w:gridCol w:w="495"/>
        <w:gridCol w:w="495"/>
        <w:gridCol w:w="495"/>
        <w:gridCol w:w="495"/>
        <w:gridCol w:w="495"/>
        <w:gridCol w:w="495"/>
      </w:tblGrid>
      <w:tr w:rsidR="000234A7" w:rsidRPr="00373ACB" w14:paraId="1F95298F" w14:textId="77777777" w:rsidTr="000234A7">
        <w:trPr>
          <w:trHeight w:val="397"/>
          <w:jc w:val="center"/>
        </w:trPr>
        <w:tc>
          <w:tcPr>
            <w:tcW w:w="2470" w:type="pct"/>
            <w:gridSpan w:val="2"/>
            <w:shd w:val="clear" w:color="auto" w:fill="D9D9D9" w:themeFill="background1" w:themeFillShade="D9"/>
            <w:vAlign w:val="center"/>
          </w:tcPr>
          <w:p w14:paraId="6A85FFE1" w14:textId="77777777" w:rsidR="000234A7" w:rsidRPr="00373ACB" w:rsidRDefault="000234A7" w:rsidP="0066061A">
            <w:pPr>
              <w:spacing w:after="120"/>
              <w:rPr>
                <w:rFonts w:ascii="Arial" w:hAnsi="Arial" w:cs="Arial"/>
                <w:i/>
                <w:sz w:val="20"/>
                <w:szCs w:val="20"/>
              </w:rPr>
            </w:pPr>
            <w:r w:rsidRPr="00373ACB">
              <w:rPr>
                <w:rFonts w:ascii="Arial" w:hAnsi="Arial" w:cs="Arial"/>
                <w:b/>
                <w:sz w:val="20"/>
                <w:szCs w:val="20"/>
              </w:rPr>
              <w:t>Module learning outcome</w:t>
            </w:r>
          </w:p>
        </w:tc>
        <w:tc>
          <w:tcPr>
            <w:tcW w:w="361" w:type="pct"/>
            <w:vAlign w:val="center"/>
          </w:tcPr>
          <w:p w14:paraId="31B653C0" w14:textId="77777777" w:rsidR="000234A7" w:rsidRPr="007103E4" w:rsidRDefault="000234A7" w:rsidP="0066061A">
            <w:pPr>
              <w:spacing w:after="120"/>
              <w:rPr>
                <w:rFonts w:ascii="Arial" w:hAnsi="Arial" w:cs="Arial"/>
                <w:sz w:val="20"/>
                <w:szCs w:val="20"/>
              </w:rPr>
            </w:pPr>
            <w:r>
              <w:rPr>
                <w:rFonts w:ascii="Arial" w:hAnsi="Arial" w:cs="Arial"/>
                <w:sz w:val="20"/>
                <w:szCs w:val="20"/>
              </w:rPr>
              <w:t>8.1</w:t>
            </w:r>
          </w:p>
        </w:tc>
        <w:tc>
          <w:tcPr>
            <w:tcW w:w="361" w:type="pct"/>
            <w:vAlign w:val="center"/>
          </w:tcPr>
          <w:p w14:paraId="3AB7ADA3" w14:textId="77777777" w:rsidR="000234A7" w:rsidRPr="007103E4" w:rsidRDefault="000234A7" w:rsidP="0066061A">
            <w:pPr>
              <w:spacing w:after="120"/>
              <w:rPr>
                <w:rFonts w:ascii="Arial" w:hAnsi="Arial" w:cs="Arial"/>
                <w:sz w:val="20"/>
                <w:szCs w:val="20"/>
              </w:rPr>
            </w:pPr>
            <w:r>
              <w:rPr>
                <w:rFonts w:ascii="Arial" w:hAnsi="Arial" w:cs="Arial"/>
                <w:sz w:val="20"/>
                <w:szCs w:val="20"/>
              </w:rPr>
              <w:t>8.2</w:t>
            </w:r>
          </w:p>
        </w:tc>
        <w:tc>
          <w:tcPr>
            <w:tcW w:w="361" w:type="pct"/>
            <w:vAlign w:val="center"/>
          </w:tcPr>
          <w:p w14:paraId="338D2B98" w14:textId="77777777" w:rsidR="000234A7" w:rsidRPr="007103E4" w:rsidRDefault="000234A7" w:rsidP="0066061A">
            <w:pPr>
              <w:spacing w:after="120"/>
              <w:rPr>
                <w:rFonts w:ascii="Arial" w:hAnsi="Arial" w:cs="Arial"/>
                <w:sz w:val="20"/>
                <w:szCs w:val="20"/>
              </w:rPr>
            </w:pPr>
            <w:r>
              <w:rPr>
                <w:rFonts w:ascii="Arial" w:hAnsi="Arial" w:cs="Arial"/>
                <w:sz w:val="20"/>
                <w:szCs w:val="20"/>
              </w:rPr>
              <w:t>8.3</w:t>
            </w:r>
          </w:p>
        </w:tc>
        <w:tc>
          <w:tcPr>
            <w:tcW w:w="361" w:type="pct"/>
            <w:vAlign w:val="center"/>
          </w:tcPr>
          <w:p w14:paraId="49CE36D7" w14:textId="77777777" w:rsidR="000234A7" w:rsidRPr="007103E4" w:rsidRDefault="000234A7" w:rsidP="0066061A">
            <w:pPr>
              <w:spacing w:after="120"/>
              <w:rPr>
                <w:rFonts w:ascii="Arial" w:hAnsi="Arial" w:cs="Arial"/>
                <w:sz w:val="20"/>
                <w:szCs w:val="20"/>
              </w:rPr>
            </w:pPr>
            <w:r>
              <w:rPr>
                <w:rFonts w:ascii="Arial" w:hAnsi="Arial" w:cs="Arial"/>
                <w:sz w:val="20"/>
                <w:szCs w:val="20"/>
              </w:rPr>
              <w:t>8.4</w:t>
            </w:r>
          </w:p>
        </w:tc>
        <w:tc>
          <w:tcPr>
            <w:tcW w:w="361" w:type="pct"/>
            <w:vAlign w:val="center"/>
          </w:tcPr>
          <w:p w14:paraId="071AC108" w14:textId="77777777" w:rsidR="000234A7" w:rsidRPr="007103E4" w:rsidRDefault="000234A7" w:rsidP="0066061A">
            <w:pPr>
              <w:spacing w:after="120"/>
              <w:rPr>
                <w:rFonts w:ascii="Arial" w:hAnsi="Arial" w:cs="Arial"/>
                <w:sz w:val="20"/>
                <w:szCs w:val="20"/>
              </w:rPr>
            </w:pPr>
            <w:r>
              <w:rPr>
                <w:rFonts w:ascii="Arial" w:hAnsi="Arial" w:cs="Arial"/>
                <w:sz w:val="20"/>
                <w:szCs w:val="20"/>
              </w:rPr>
              <w:t>9.1</w:t>
            </w:r>
          </w:p>
        </w:tc>
        <w:tc>
          <w:tcPr>
            <w:tcW w:w="361" w:type="pct"/>
            <w:vAlign w:val="center"/>
          </w:tcPr>
          <w:p w14:paraId="286C0B1A" w14:textId="77777777" w:rsidR="000234A7" w:rsidRPr="007103E4" w:rsidRDefault="000234A7" w:rsidP="0066061A">
            <w:pPr>
              <w:spacing w:after="120"/>
              <w:rPr>
                <w:rFonts w:ascii="Arial" w:hAnsi="Arial" w:cs="Arial"/>
                <w:sz w:val="20"/>
                <w:szCs w:val="20"/>
              </w:rPr>
            </w:pPr>
            <w:r>
              <w:rPr>
                <w:rFonts w:ascii="Arial" w:hAnsi="Arial" w:cs="Arial"/>
                <w:sz w:val="20"/>
                <w:szCs w:val="20"/>
              </w:rPr>
              <w:t>9.2</w:t>
            </w:r>
          </w:p>
        </w:tc>
        <w:tc>
          <w:tcPr>
            <w:tcW w:w="361" w:type="pct"/>
            <w:vAlign w:val="center"/>
          </w:tcPr>
          <w:p w14:paraId="53F2AAF4" w14:textId="77777777" w:rsidR="000234A7" w:rsidRPr="007103E4" w:rsidRDefault="000234A7" w:rsidP="0066061A">
            <w:pPr>
              <w:spacing w:after="120"/>
              <w:rPr>
                <w:rFonts w:ascii="Arial" w:hAnsi="Arial" w:cs="Arial"/>
                <w:sz w:val="20"/>
                <w:szCs w:val="20"/>
              </w:rPr>
            </w:pPr>
            <w:r>
              <w:rPr>
                <w:rFonts w:ascii="Arial" w:hAnsi="Arial" w:cs="Arial"/>
                <w:sz w:val="20"/>
                <w:szCs w:val="20"/>
              </w:rPr>
              <w:t>9.3</w:t>
            </w:r>
          </w:p>
        </w:tc>
      </w:tr>
      <w:tr w:rsidR="000234A7" w:rsidRPr="00373ACB" w14:paraId="4740BB0C" w14:textId="77777777" w:rsidTr="000234A7">
        <w:trPr>
          <w:trHeight w:val="397"/>
          <w:jc w:val="center"/>
        </w:trPr>
        <w:tc>
          <w:tcPr>
            <w:tcW w:w="1094" w:type="pct"/>
            <w:shd w:val="clear" w:color="auto" w:fill="D9D9D9" w:themeFill="background1" w:themeFillShade="D9"/>
            <w:vAlign w:val="center"/>
          </w:tcPr>
          <w:p w14:paraId="38682166"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376" w:type="pct"/>
            <w:shd w:val="clear" w:color="auto" w:fill="D9D9D9" w:themeFill="background1" w:themeFillShade="D9"/>
            <w:vAlign w:val="center"/>
          </w:tcPr>
          <w:p w14:paraId="0DD626B7"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shd w:val="clear" w:color="auto" w:fill="D9D9D9" w:themeFill="background1" w:themeFillShade="D9"/>
              </w:rPr>
              <w:t>Hours allocated</w:t>
            </w:r>
          </w:p>
        </w:tc>
        <w:tc>
          <w:tcPr>
            <w:tcW w:w="361" w:type="pct"/>
            <w:vAlign w:val="center"/>
          </w:tcPr>
          <w:p w14:paraId="6B97FA18" w14:textId="77777777" w:rsidR="000234A7" w:rsidRPr="007103E4" w:rsidRDefault="000234A7" w:rsidP="0066061A">
            <w:pPr>
              <w:spacing w:after="120"/>
              <w:rPr>
                <w:rFonts w:ascii="Arial" w:hAnsi="Arial" w:cs="Arial"/>
                <w:b/>
                <w:sz w:val="20"/>
                <w:szCs w:val="20"/>
              </w:rPr>
            </w:pPr>
          </w:p>
        </w:tc>
        <w:tc>
          <w:tcPr>
            <w:tcW w:w="361" w:type="pct"/>
            <w:vAlign w:val="center"/>
          </w:tcPr>
          <w:p w14:paraId="40624CBA" w14:textId="77777777" w:rsidR="000234A7" w:rsidRPr="007103E4" w:rsidRDefault="000234A7" w:rsidP="0066061A">
            <w:pPr>
              <w:spacing w:after="120"/>
              <w:rPr>
                <w:rFonts w:ascii="Arial" w:hAnsi="Arial" w:cs="Arial"/>
                <w:b/>
                <w:sz w:val="20"/>
                <w:szCs w:val="20"/>
              </w:rPr>
            </w:pPr>
          </w:p>
        </w:tc>
        <w:tc>
          <w:tcPr>
            <w:tcW w:w="361" w:type="pct"/>
            <w:vAlign w:val="center"/>
          </w:tcPr>
          <w:p w14:paraId="16264587" w14:textId="77777777" w:rsidR="000234A7" w:rsidRPr="007103E4" w:rsidRDefault="000234A7" w:rsidP="0066061A">
            <w:pPr>
              <w:spacing w:after="120"/>
              <w:rPr>
                <w:rFonts w:ascii="Arial" w:hAnsi="Arial" w:cs="Arial"/>
                <w:b/>
                <w:sz w:val="20"/>
                <w:szCs w:val="20"/>
              </w:rPr>
            </w:pPr>
          </w:p>
        </w:tc>
        <w:tc>
          <w:tcPr>
            <w:tcW w:w="361" w:type="pct"/>
            <w:vAlign w:val="center"/>
          </w:tcPr>
          <w:p w14:paraId="55460A3C" w14:textId="77777777" w:rsidR="000234A7" w:rsidRPr="007103E4" w:rsidRDefault="000234A7" w:rsidP="0066061A">
            <w:pPr>
              <w:spacing w:after="120"/>
              <w:rPr>
                <w:rFonts w:ascii="Arial" w:hAnsi="Arial" w:cs="Arial"/>
                <w:b/>
                <w:sz w:val="20"/>
                <w:szCs w:val="20"/>
              </w:rPr>
            </w:pPr>
          </w:p>
        </w:tc>
        <w:tc>
          <w:tcPr>
            <w:tcW w:w="361" w:type="pct"/>
            <w:vAlign w:val="center"/>
          </w:tcPr>
          <w:p w14:paraId="7B03707E" w14:textId="77777777" w:rsidR="000234A7" w:rsidRPr="007103E4" w:rsidRDefault="000234A7" w:rsidP="0066061A">
            <w:pPr>
              <w:spacing w:after="120"/>
              <w:rPr>
                <w:rFonts w:ascii="Arial" w:hAnsi="Arial" w:cs="Arial"/>
                <w:b/>
                <w:sz w:val="20"/>
                <w:szCs w:val="20"/>
              </w:rPr>
            </w:pPr>
          </w:p>
        </w:tc>
        <w:tc>
          <w:tcPr>
            <w:tcW w:w="361" w:type="pct"/>
            <w:vAlign w:val="center"/>
          </w:tcPr>
          <w:p w14:paraId="4DFF83AA" w14:textId="77777777" w:rsidR="000234A7" w:rsidRPr="007103E4" w:rsidRDefault="000234A7" w:rsidP="0066061A">
            <w:pPr>
              <w:spacing w:after="120"/>
              <w:rPr>
                <w:rFonts w:ascii="Arial" w:hAnsi="Arial" w:cs="Arial"/>
                <w:b/>
                <w:sz w:val="20"/>
                <w:szCs w:val="20"/>
              </w:rPr>
            </w:pPr>
          </w:p>
        </w:tc>
        <w:tc>
          <w:tcPr>
            <w:tcW w:w="361" w:type="pct"/>
            <w:vAlign w:val="center"/>
          </w:tcPr>
          <w:p w14:paraId="5E6AEE31" w14:textId="77777777" w:rsidR="000234A7" w:rsidRPr="007103E4" w:rsidRDefault="000234A7" w:rsidP="0066061A">
            <w:pPr>
              <w:spacing w:after="120"/>
              <w:rPr>
                <w:rFonts w:ascii="Arial" w:hAnsi="Arial" w:cs="Arial"/>
                <w:b/>
                <w:sz w:val="20"/>
                <w:szCs w:val="20"/>
              </w:rPr>
            </w:pPr>
          </w:p>
        </w:tc>
      </w:tr>
      <w:tr w:rsidR="000234A7" w:rsidRPr="00373ACB" w14:paraId="62AEB565" w14:textId="77777777" w:rsidTr="000234A7">
        <w:trPr>
          <w:trHeight w:val="397"/>
          <w:jc w:val="center"/>
        </w:trPr>
        <w:tc>
          <w:tcPr>
            <w:tcW w:w="1094" w:type="pct"/>
            <w:vAlign w:val="center"/>
          </w:tcPr>
          <w:p w14:paraId="19548EC2" w14:textId="77777777" w:rsidR="000234A7" w:rsidRPr="007103E4" w:rsidRDefault="000234A7" w:rsidP="0066061A">
            <w:pPr>
              <w:spacing w:after="120"/>
              <w:rPr>
                <w:rFonts w:ascii="Arial" w:hAnsi="Arial" w:cs="Arial"/>
                <w:sz w:val="20"/>
                <w:szCs w:val="20"/>
              </w:rPr>
            </w:pPr>
            <w:r>
              <w:rPr>
                <w:rFonts w:ascii="Arial" w:hAnsi="Arial" w:cs="Arial"/>
                <w:sz w:val="20"/>
                <w:szCs w:val="20"/>
              </w:rPr>
              <w:t>As described in s.12</w:t>
            </w:r>
          </w:p>
        </w:tc>
        <w:tc>
          <w:tcPr>
            <w:tcW w:w="1376" w:type="pct"/>
            <w:vAlign w:val="center"/>
          </w:tcPr>
          <w:p w14:paraId="5BF56252" w14:textId="0C0B9902" w:rsidR="000234A7" w:rsidRPr="007103E4" w:rsidRDefault="003216A9" w:rsidP="0066061A">
            <w:pPr>
              <w:spacing w:after="120"/>
              <w:rPr>
                <w:rFonts w:ascii="Arial" w:hAnsi="Arial" w:cs="Arial"/>
                <w:sz w:val="20"/>
                <w:szCs w:val="20"/>
              </w:rPr>
            </w:pPr>
            <w:r>
              <w:rPr>
                <w:rFonts w:ascii="Arial" w:hAnsi="Arial" w:cs="Arial"/>
                <w:sz w:val="20"/>
                <w:szCs w:val="20"/>
              </w:rPr>
              <w:t xml:space="preserve">Approx. </w:t>
            </w:r>
            <w:r w:rsidR="000234A7">
              <w:rPr>
                <w:rFonts w:ascii="Arial" w:hAnsi="Arial" w:cs="Arial"/>
                <w:sz w:val="20"/>
                <w:szCs w:val="20"/>
              </w:rPr>
              <w:t>1200</w:t>
            </w:r>
          </w:p>
        </w:tc>
        <w:tc>
          <w:tcPr>
            <w:tcW w:w="361" w:type="pct"/>
            <w:vAlign w:val="center"/>
          </w:tcPr>
          <w:p w14:paraId="6FC9C65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ACA0C29"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44148C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790CF01"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096250BA"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BBFB0A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3E9FD7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r>
      <w:tr w:rsidR="000234A7" w:rsidRPr="00373ACB" w14:paraId="61AE977A" w14:textId="77777777" w:rsidTr="000234A7">
        <w:trPr>
          <w:trHeight w:val="397"/>
          <w:jc w:val="center"/>
        </w:trPr>
        <w:tc>
          <w:tcPr>
            <w:tcW w:w="1094" w:type="pct"/>
            <w:shd w:val="clear" w:color="auto" w:fill="D9D9D9" w:themeFill="background1" w:themeFillShade="D9"/>
            <w:vAlign w:val="center"/>
          </w:tcPr>
          <w:p w14:paraId="6371CFBC" w14:textId="77777777" w:rsidR="000234A7" w:rsidRPr="00373ACB" w:rsidRDefault="000234A7" w:rsidP="0066061A">
            <w:pPr>
              <w:spacing w:after="120"/>
              <w:rPr>
                <w:rFonts w:ascii="Arial" w:hAnsi="Arial" w:cs="Arial"/>
                <w:b/>
                <w:sz w:val="20"/>
                <w:szCs w:val="20"/>
              </w:rPr>
            </w:pPr>
            <w:r w:rsidRPr="00373ACB">
              <w:rPr>
                <w:rFonts w:ascii="Arial" w:hAnsi="Arial" w:cs="Arial"/>
                <w:b/>
                <w:sz w:val="20"/>
                <w:szCs w:val="20"/>
              </w:rPr>
              <w:t>Assessment method</w:t>
            </w:r>
          </w:p>
        </w:tc>
        <w:tc>
          <w:tcPr>
            <w:tcW w:w="1376" w:type="pct"/>
            <w:shd w:val="clear" w:color="auto" w:fill="D9D9D9" w:themeFill="background1" w:themeFillShade="D9"/>
            <w:vAlign w:val="center"/>
          </w:tcPr>
          <w:p w14:paraId="203B5CA7" w14:textId="77777777" w:rsidR="000234A7" w:rsidRPr="007103E4" w:rsidRDefault="000234A7"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61" w:type="pct"/>
            <w:vAlign w:val="center"/>
          </w:tcPr>
          <w:p w14:paraId="205E4817" w14:textId="77777777" w:rsidR="000234A7" w:rsidRPr="007103E4" w:rsidRDefault="000234A7" w:rsidP="0066061A">
            <w:pPr>
              <w:spacing w:after="120"/>
              <w:rPr>
                <w:rFonts w:ascii="Arial" w:hAnsi="Arial" w:cs="Arial"/>
                <w:b/>
                <w:sz w:val="20"/>
                <w:szCs w:val="20"/>
              </w:rPr>
            </w:pPr>
          </w:p>
        </w:tc>
        <w:tc>
          <w:tcPr>
            <w:tcW w:w="361" w:type="pct"/>
            <w:vAlign w:val="center"/>
          </w:tcPr>
          <w:p w14:paraId="5C005087" w14:textId="77777777" w:rsidR="000234A7" w:rsidRPr="007103E4" w:rsidRDefault="000234A7" w:rsidP="0066061A">
            <w:pPr>
              <w:spacing w:after="120"/>
              <w:rPr>
                <w:rFonts w:ascii="Arial" w:hAnsi="Arial" w:cs="Arial"/>
                <w:b/>
                <w:sz w:val="20"/>
                <w:szCs w:val="20"/>
              </w:rPr>
            </w:pPr>
          </w:p>
        </w:tc>
        <w:tc>
          <w:tcPr>
            <w:tcW w:w="361" w:type="pct"/>
            <w:vAlign w:val="center"/>
          </w:tcPr>
          <w:p w14:paraId="131E3166" w14:textId="77777777" w:rsidR="000234A7" w:rsidRPr="007103E4" w:rsidRDefault="000234A7" w:rsidP="0066061A">
            <w:pPr>
              <w:spacing w:after="120"/>
              <w:rPr>
                <w:rFonts w:ascii="Arial" w:hAnsi="Arial" w:cs="Arial"/>
                <w:b/>
                <w:sz w:val="20"/>
                <w:szCs w:val="20"/>
              </w:rPr>
            </w:pPr>
          </w:p>
        </w:tc>
        <w:tc>
          <w:tcPr>
            <w:tcW w:w="361" w:type="pct"/>
            <w:vAlign w:val="center"/>
          </w:tcPr>
          <w:p w14:paraId="0859CE2E" w14:textId="77777777" w:rsidR="000234A7" w:rsidRPr="007103E4" w:rsidRDefault="000234A7" w:rsidP="0066061A">
            <w:pPr>
              <w:spacing w:after="120"/>
              <w:rPr>
                <w:rFonts w:ascii="Arial" w:hAnsi="Arial" w:cs="Arial"/>
                <w:b/>
                <w:sz w:val="20"/>
                <w:szCs w:val="20"/>
              </w:rPr>
            </w:pPr>
          </w:p>
        </w:tc>
        <w:tc>
          <w:tcPr>
            <w:tcW w:w="361" w:type="pct"/>
            <w:vAlign w:val="center"/>
          </w:tcPr>
          <w:p w14:paraId="7847700F" w14:textId="77777777" w:rsidR="000234A7" w:rsidRPr="007103E4" w:rsidRDefault="000234A7" w:rsidP="0066061A">
            <w:pPr>
              <w:spacing w:after="120"/>
              <w:rPr>
                <w:rFonts w:ascii="Arial" w:hAnsi="Arial" w:cs="Arial"/>
                <w:b/>
                <w:sz w:val="20"/>
                <w:szCs w:val="20"/>
              </w:rPr>
            </w:pPr>
          </w:p>
        </w:tc>
        <w:tc>
          <w:tcPr>
            <w:tcW w:w="361" w:type="pct"/>
            <w:vAlign w:val="center"/>
          </w:tcPr>
          <w:p w14:paraId="67A2D5E0" w14:textId="77777777" w:rsidR="000234A7" w:rsidRPr="007103E4" w:rsidRDefault="000234A7" w:rsidP="0066061A">
            <w:pPr>
              <w:spacing w:after="120"/>
              <w:rPr>
                <w:rFonts w:ascii="Arial" w:hAnsi="Arial" w:cs="Arial"/>
                <w:b/>
                <w:sz w:val="20"/>
                <w:szCs w:val="20"/>
              </w:rPr>
            </w:pPr>
          </w:p>
        </w:tc>
        <w:tc>
          <w:tcPr>
            <w:tcW w:w="361" w:type="pct"/>
            <w:vAlign w:val="center"/>
          </w:tcPr>
          <w:p w14:paraId="6CF3D7E7" w14:textId="77777777" w:rsidR="000234A7" w:rsidRPr="007103E4" w:rsidRDefault="000234A7" w:rsidP="0066061A">
            <w:pPr>
              <w:spacing w:after="120"/>
              <w:rPr>
                <w:rFonts w:ascii="Arial" w:hAnsi="Arial" w:cs="Arial"/>
                <w:b/>
                <w:sz w:val="20"/>
                <w:szCs w:val="20"/>
              </w:rPr>
            </w:pPr>
          </w:p>
        </w:tc>
      </w:tr>
      <w:tr w:rsidR="000234A7" w:rsidRPr="00373ACB" w14:paraId="6FC88739" w14:textId="77777777" w:rsidTr="000234A7">
        <w:trPr>
          <w:trHeight w:val="397"/>
          <w:jc w:val="center"/>
        </w:trPr>
        <w:tc>
          <w:tcPr>
            <w:tcW w:w="2470" w:type="pct"/>
            <w:gridSpan w:val="2"/>
            <w:vAlign w:val="center"/>
          </w:tcPr>
          <w:p w14:paraId="01F60628" w14:textId="77777777" w:rsidR="000234A7" w:rsidRPr="00D71DF4" w:rsidRDefault="000234A7" w:rsidP="0066061A">
            <w:pPr>
              <w:spacing w:after="120"/>
              <w:rPr>
                <w:rFonts w:ascii="Arial" w:hAnsi="Arial" w:cs="Arial"/>
                <w:sz w:val="20"/>
                <w:szCs w:val="20"/>
              </w:rPr>
            </w:pPr>
            <w:r>
              <w:rPr>
                <w:rFonts w:ascii="Arial" w:hAnsi="Arial" w:cs="Arial"/>
                <w:sz w:val="20"/>
                <w:szCs w:val="20"/>
              </w:rPr>
              <w:t>As described in s.13</w:t>
            </w:r>
          </w:p>
        </w:tc>
        <w:tc>
          <w:tcPr>
            <w:tcW w:w="361" w:type="pct"/>
            <w:vAlign w:val="center"/>
          </w:tcPr>
          <w:p w14:paraId="5656D00C"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5B7839F2"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2E53E4BD"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637AE8BF"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7D3FC92A"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13155209"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c>
          <w:tcPr>
            <w:tcW w:w="361" w:type="pct"/>
            <w:vAlign w:val="center"/>
          </w:tcPr>
          <w:p w14:paraId="33F8EDD3" w14:textId="77777777" w:rsidR="000234A7" w:rsidRPr="007103E4" w:rsidRDefault="000234A7" w:rsidP="0066061A">
            <w:pPr>
              <w:spacing w:after="120"/>
              <w:rPr>
                <w:rFonts w:ascii="Arial" w:hAnsi="Arial" w:cs="Arial"/>
                <w:sz w:val="20"/>
                <w:szCs w:val="20"/>
              </w:rPr>
            </w:pPr>
            <w:r>
              <w:rPr>
                <w:rFonts w:ascii="Arial" w:hAnsi="Arial" w:cs="Arial"/>
                <w:sz w:val="20"/>
                <w:szCs w:val="20"/>
              </w:rPr>
              <w:t>X</w:t>
            </w:r>
          </w:p>
        </w:tc>
      </w:tr>
    </w:tbl>
    <w:p w14:paraId="7AF89229" w14:textId="77777777" w:rsidR="007A6245" w:rsidRPr="008E668D" w:rsidRDefault="007A6245" w:rsidP="0066061A">
      <w:pPr>
        <w:spacing w:after="120" w:line="240" w:lineRule="auto"/>
        <w:ind w:left="426" w:right="260"/>
        <w:rPr>
          <w:rFonts w:ascii="Arial" w:hAnsi="Arial" w:cs="Arial"/>
          <w:iCs/>
          <w:sz w:val="20"/>
          <w:szCs w:val="20"/>
        </w:rPr>
      </w:pPr>
    </w:p>
    <w:p w14:paraId="734B7AB7" w14:textId="5222D324" w:rsidR="008E668D" w:rsidRPr="008E668D" w:rsidRDefault="0079746F" w:rsidP="008E668D">
      <w:pPr>
        <w:numPr>
          <w:ilvl w:val="0"/>
          <w:numId w:val="1"/>
        </w:numPr>
        <w:spacing w:after="120" w:line="240" w:lineRule="auto"/>
        <w:ind w:left="426" w:right="260" w:hanging="426"/>
        <w:jc w:val="both"/>
        <w:rPr>
          <w:rFonts w:ascii="Arial" w:hAnsi="Arial" w:cs="Arial"/>
          <w:sz w:val="20"/>
          <w:szCs w:val="20"/>
        </w:rPr>
      </w:pPr>
      <w:r>
        <w:rPr>
          <w:rFonts w:ascii="Arial" w:hAnsi="Arial" w:cs="Arial"/>
          <w:sz w:val="20"/>
          <w:szCs w:val="20"/>
        </w:rPr>
        <w:t>Through institutional exchange agreements, p</w:t>
      </w:r>
      <w:r w:rsidR="008E668D" w:rsidRPr="008E668D">
        <w:rPr>
          <w:rFonts w:ascii="Arial" w:hAnsi="Arial" w:cs="Arial"/>
          <w:sz w:val="20"/>
          <w:szCs w:val="20"/>
        </w:rPr>
        <w:t>artner institutions agree to provide equal education opportunities to all students regardless of characteristics such as: gender, race, creed, religion, national origin, disability, ancestry, age, sexual orientation; pregnancy, marital or parental status; doing so in accordance with its own rules, regulations, and codes of conduct, and the laws to which it is subject. The University will liaise with partner institutions in regard to students who require additional alternative arrangements as a result of an Inclusive Learning Plans (ILPs)/a declared disability in accordance with relevant</w:t>
      </w:r>
      <w:r w:rsidR="008E668D">
        <w:rPr>
          <w:rFonts w:ascii="Arial" w:hAnsi="Arial" w:cs="Arial"/>
          <w:sz w:val="20"/>
          <w:szCs w:val="20"/>
        </w:rPr>
        <w:t xml:space="preserve"> policies and support services.</w:t>
      </w:r>
    </w:p>
    <w:p w14:paraId="45C8773A" w14:textId="77777777" w:rsidR="009A2D37" w:rsidRPr="00373ACB" w:rsidRDefault="009A2D37" w:rsidP="0066061A">
      <w:pPr>
        <w:spacing w:after="120" w:line="240" w:lineRule="auto"/>
        <w:ind w:left="426" w:right="260"/>
        <w:rPr>
          <w:rFonts w:ascii="Arial" w:hAnsi="Arial" w:cs="Arial"/>
          <w:iCs/>
          <w:sz w:val="20"/>
          <w:szCs w:val="20"/>
        </w:rPr>
      </w:pPr>
    </w:p>
    <w:p w14:paraId="3692D0C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39601A91" w14:textId="77777777" w:rsidR="00667A17" w:rsidRDefault="00667A17" w:rsidP="0066061A">
      <w:pPr>
        <w:spacing w:after="120" w:line="240" w:lineRule="auto"/>
        <w:ind w:left="426" w:right="260"/>
        <w:rPr>
          <w:rFonts w:ascii="Arial" w:hAnsi="Arial" w:cs="Arial"/>
          <w:iCs/>
          <w:sz w:val="20"/>
          <w:szCs w:val="20"/>
        </w:rPr>
      </w:pPr>
      <w:r>
        <w:rPr>
          <w:rFonts w:ascii="Arial" w:hAnsi="Arial" w:cs="Arial"/>
          <w:iCs/>
          <w:sz w:val="20"/>
          <w:szCs w:val="20"/>
        </w:rPr>
        <w:t>The location of study will vary depending on the location of the partner institution.</w:t>
      </w:r>
    </w:p>
    <w:p w14:paraId="36E7EFF6" w14:textId="77777777" w:rsidR="00726B5F" w:rsidRDefault="00726B5F" w:rsidP="0066061A">
      <w:pPr>
        <w:spacing w:after="120" w:line="240" w:lineRule="auto"/>
        <w:ind w:left="426" w:right="260"/>
        <w:rPr>
          <w:rFonts w:ascii="Arial" w:hAnsi="Arial" w:cs="Arial"/>
          <w:iCs/>
          <w:sz w:val="20"/>
          <w:szCs w:val="20"/>
        </w:rPr>
      </w:pPr>
    </w:p>
    <w:p w14:paraId="7AED8E8C" w14:textId="77777777" w:rsidR="00726B5F" w:rsidRPr="00DF2132" w:rsidRDefault="00726B5F" w:rsidP="00726B5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6829D6E" w14:textId="77777777" w:rsidR="00726B5F" w:rsidRDefault="00726B5F" w:rsidP="0066061A">
      <w:pPr>
        <w:spacing w:after="120" w:line="240" w:lineRule="auto"/>
        <w:ind w:left="426" w:right="260"/>
        <w:rPr>
          <w:rFonts w:ascii="Arial" w:hAnsi="Arial" w:cs="Arial"/>
          <w:iCs/>
          <w:sz w:val="20"/>
          <w:szCs w:val="20"/>
        </w:rPr>
      </w:pPr>
      <w:r>
        <w:rPr>
          <w:rFonts w:ascii="Arial" w:hAnsi="Arial" w:cs="Arial"/>
          <w:sz w:val="20"/>
          <w:szCs w:val="20"/>
        </w:rPr>
        <w:t xml:space="preserve">This module is intrinsically international since it allows students to immerse themselves in the International culture of a destination abroad. </w:t>
      </w:r>
    </w:p>
    <w:p w14:paraId="5BDE2F25" w14:textId="77777777" w:rsidR="00667A17" w:rsidRDefault="00667A17" w:rsidP="00667A17">
      <w:pPr>
        <w:pBdr>
          <w:bottom w:val="single" w:sz="6" w:space="1" w:color="auto"/>
        </w:pBdr>
        <w:rPr>
          <w:rFonts w:ascii="Arial" w:hAnsi="Arial" w:cs="Arial"/>
          <w:iCs/>
          <w:sz w:val="20"/>
          <w:szCs w:val="20"/>
        </w:rPr>
      </w:pPr>
    </w:p>
    <w:p w14:paraId="75C38265" w14:textId="77777777" w:rsidR="00667A17" w:rsidRDefault="00667A17" w:rsidP="00667A17">
      <w:pPr>
        <w:rPr>
          <w:rFonts w:ascii="Arial" w:hAnsi="Arial" w:cs="Arial"/>
          <w:iCs/>
          <w:sz w:val="20"/>
          <w:szCs w:val="20"/>
        </w:rPr>
      </w:pPr>
    </w:p>
    <w:p w14:paraId="686E425E" w14:textId="77777777" w:rsidR="00667A17" w:rsidRPr="00667A17" w:rsidRDefault="00667A17" w:rsidP="00667A17">
      <w:pPr>
        <w:rPr>
          <w:rFonts w:ascii="Arial" w:hAnsi="Arial" w:cs="Arial"/>
          <w:iCs/>
          <w:sz w:val="20"/>
          <w:szCs w:val="20"/>
        </w:rPr>
      </w:pPr>
      <w:r w:rsidRPr="00667A17">
        <w:rPr>
          <w:rFonts w:ascii="Arial" w:hAnsi="Arial" w:cs="Arial"/>
          <w:b/>
          <w:sz w:val="20"/>
          <w:szCs w:val="20"/>
        </w:rPr>
        <w:t xml:space="preserve">Appendix 1: Prerequisite </w:t>
      </w:r>
      <w:r w:rsidR="00100B76">
        <w:rPr>
          <w:rFonts w:ascii="Arial" w:hAnsi="Arial" w:cs="Arial"/>
          <w:b/>
          <w:sz w:val="20"/>
          <w:szCs w:val="20"/>
        </w:rPr>
        <w:t>requirements</w:t>
      </w:r>
      <w:r w:rsidR="00100B76" w:rsidRPr="00667A17">
        <w:rPr>
          <w:rFonts w:ascii="Arial" w:hAnsi="Arial" w:cs="Arial"/>
          <w:b/>
          <w:sz w:val="20"/>
          <w:szCs w:val="20"/>
        </w:rPr>
        <w:t xml:space="preserve"> </w:t>
      </w:r>
      <w:r w:rsidRPr="00667A17">
        <w:rPr>
          <w:rFonts w:ascii="Arial" w:hAnsi="Arial" w:cs="Arial"/>
          <w:b/>
          <w:sz w:val="20"/>
          <w:szCs w:val="20"/>
        </w:rPr>
        <w:t>for entry to the Year Abroad</w:t>
      </w:r>
    </w:p>
    <w:p w14:paraId="68F4FCB8" w14:textId="77777777" w:rsidR="00667A17" w:rsidRPr="00667A17" w:rsidRDefault="00667A17" w:rsidP="00667A17">
      <w:pPr>
        <w:spacing w:before="60" w:after="6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5094"/>
        <w:gridCol w:w="5362"/>
      </w:tblGrid>
      <w:tr w:rsidR="00667A17" w:rsidRPr="00667A17" w14:paraId="499E737F" w14:textId="77777777" w:rsidTr="00D474AF">
        <w:tc>
          <w:tcPr>
            <w:tcW w:w="2436" w:type="pct"/>
            <w:shd w:val="clear" w:color="auto" w:fill="D9D9D9" w:themeFill="background1" w:themeFillShade="D9"/>
          </w:tcPr>
          <w:p w14:paraId="19900041" w14:textId="77777777" w:rsidR="00667A17" w:rsidRPr="00667A17" w:rsidRDefault="00667A17" w:rsidP="00D474AF">
            <w:pPr>
              <w:spacing w:before="60" w:after="60"/>
              <w:ind w:right="-330"/>
              <w:rPr>
                <w:rFonts w:ascii="Arial" w:hAnsi="Arial" w:cs="Arial"/>
                <w:b/>
                <w:sz w:val="20"/>
                <w:szCs w:val="20"/>
              </w:rPr>
            </w:pPr>
            <w:r w:rsidRPr="00667A17">
              <w:rPr>
                <w:rFonts w:ascii="Arial" w:hAnsi="Arial" w:cs="Arial"/>
                <w:b/>
                <w:sz w:val="20"/>
                <w:szCs w:val="20"/>
              </w:rPr>
              <w:t>Programme</w:t>
            </w:r>
          </w:p>
        </w:tc>
        <w:tc>
          <w:tcPr>
            <w:tcW w:w="2564" w:type="pct"/>
            <w:shd w:val="clear" w:color="auto" w:fill="D9D9D9" w:themeFill="background1" w:themeFillShade="D9"/>
          </w:tcPr>
          <w:p w14:paraId="4466762F" w14:textId="77777777" w:rsidR="00667A17" w:rsidRPr="00667A17" w:rsidRDefault="00667A17" w:rsidP="00D474AF">
            <w:pPr>
              <w:spacing w:before="60" w:after="60"/>
              <w:ind w:right="-330"/>
              <w:rPr>
                <w:rFonts w:ascii="Arial" w:hAnsi="Arial" w:cs="Arial"/>
                <w:b/>
                <w:sz w:val="20"/>
                <w:szCs w:val="20"/>
              </w:rPr>
            </w:pPr>
            <w:r w:rsidRPr="00667A17">
              <w:rPr>
                <w:rFonts w:ascii="Arial" w:hAnsi="Arial" w:cs="Arial"/>
                <w:b/>
                <w:sz w:val="20"/>
                <w:szCs w:val="20"/>
              </w:rPr>
              <w:t xml:space="preserve">Prerequisite </w:t>
            </w:r>
            <w:r w:rsidR="00100B76">
              <w:rPr>
                <w:rFonts w:ascii="Arial" w:hAnsi="Arial" w:cs="Arial"/>
                <w:b/>
                <w:sz w:val="20"/>
                <w:szCs w:val="20"/>
              </w:rPr>
              <w:t>requirements</w:t>
            </w:r>
          </w:p>
          <w:p w14:paraId="29D0C83C" w14:textId="77777777" w:rsidR="00667A17" w:rsidRPr="00667A17" w:rsidRDefault="00667A17" w:rsidP="00D474AF">
            <w:pPr>
              <w:spacing w:before="60" w:after="60"/>
              <w:ind w:right="-330"/>
              <w:rPr>
                <w:rFonts w:ascii="Arial" w:hAnsi="Arial" w:cs="Arial"/>
                <w:b/>
                <w:sz w:val="20"/>
                <w:szCs w:val="20"/>
              </w:rPr>
            </w:pPr>
          </w:p>
        </w:tc>
      </w:tr>
      <w:tr w:rsidR="00667A17" w:rsidRPr="00667A17" w14:paraId="3DE77C10" w14:textId="77777777" w:rsidTr="00100B76">
        <w:trPr>
          <w:trHeight w:val="489"/>
        </w:trPr>
        <w:tc>
          <w:tcPr>
            <w:tcW w:w="2436" w:type="pct"/>
          </w:tcPr>
          <w:p w14:paraId="5EC1B6D6" w14:textId="77777777" w:rsidR="00667A17" w:rsidRPr="00667A17" w:rsidRDefault="00667A17" w:rsidP="00667A17">
            <w:pPr>
              <w:spacing w:before="60" w:after="60"/>
              <w:ind w:right="26"/>
              <w:rPr>
                <w:rFonts w:ascii="Arial" w:hAnsi="Arial" w:cs="Arial"/>
                <w:sz w:val="20"/>
                <w:szCs w:val="20"/>
              </w:rPr>
            </w:pPr>
            <w:r w:rsidRPr="00667A17">
              <w:rPr>
                <w:rFonts w:ascii="Arial" w:hAnsi="Arial" w:cs="Arial"/>
                <w:sz w:val="20"/>
                <w:szCs w:val="20"/>
              </w:rPr>
              <w:t xml:space="preserve">LLB English &amp; French Law </w:t>
            </w:r>
          </w:p>
          <w:p w14:paraId="48901891" w14:textId="77777777" w:rsidR="00667A17" w:rsidRPr="00667A17" w:rsidRDefault="00667A17" w:rsidP="00667A17">
            <w:pPr>
              <w:spacing w:before="60" w:after="60"/>
              <w:ind w:right="26"/>
              <w:rPr>
                <w:rFonts w:ascii="Arial" w:hAnsi="Arial" w:cs="Arial"/>
                <w:sz w:val="20"/>
                <w:szCs w:val="20"/>
              </w:rPr>
            </w:pPr>
          </w:p>
        </w:tc>
        <w:tc>
          <w:tcPr>
            <w:tcW w:w="2564" w:type="pct"/>
          </w:tcPr>
          <w:p w14:paraId="5B0B50EF" w14:textId="35D29EED" w:rsidR="00667A17" w:rsidRDefault="00667A17" w:rsidP="00667A17">
            <w:pPr>
              <w:spacing w:before="60" w:after="60"/>
              <w:ind w:right="118"/>
              <w:rPr>
                <w:rFonts w:ascii="Arial" w:hAnsi="Arial" w:cs="Arial"/>
                <w:sz w:val="20"/>
                <w:szCs w:val="20"/>
              </w:rPr>
            </w:pPr>
            <w:r w:rsidRPr="00667A17">
              <w:rPr>
                <w:rFonts w:ascii="Arial" w:hAnsi="Arial" w:cs="Arial"/>
                <w:sz w:val="20"/>
                <w:szCs w:val="20"/>
              </w:rPr>
              <w:t>A pass in L</w:t>
            </w:r>
            <w:r w:rsidR="00F93849">
              <w:rPr>
                <w:rFonts w:ascii="Arial" w:hAnsi="Arial" w:cs="Arial"/>
                <w:sz w:val="20"/>
                <w:szCs w:val="20"/>
              </w:rPr>
              <w:t>A</w:t>
            </w:r>
            <w:r w:rsidRPr="00667A17">
              <w:rPr>
                <w:rFonts w:ascii="Arial" w:hAnsi="Arial" w:cs="Arial"/>
                <w:sz w:val="20"/>
                <w:szCs w:val="20"/>
              </w:rPr>
              <w:t>W</w:t>
            </w:r>
            <w:r w:rsidR="00F93849">
              <w:rPr>
                <w:rFonts w:ascii="Arial" w:hAnsi="Arial" w:cs="Arial"/>
                <w:sz w:val="20"/>
                <w:szCs w:val="20"/>
              </w:rPr>
              <w:t>S</w:t>
            </w:r>
            <w:r w:rsidRPr="00667A17">
              <w:rPr>
                <w:rFonts w:ascii="Arial" w:hAnsi="Arial" w:cs="Arial"/>
                <w:sz w:val="20"/>
                <w:szCs w:val="20"/>
              </w:rPr>
              <w:t>539</w:t>
            </w:r>
            <w:r w:rsidR="00F93849">
              <w:rPr>
                <w:rFonts w:ascii="Arial" w:hAnsi="Arial" w:cs="Arial"/>
                <w:sz w:val="20"/>
                <w:szCs w:val="20"/>
              </w:rPr>
              <w:t>0</w:t>
            </w:r>
            <w:r w:rsidRPr="00667A17">
              <w:rPr>
                <w:rFonts w:ascii="Arial" w:hAnsi="Arial" w:cs="Arial"/>
                <w:sz w:val="20"/>
                <w:szCs w:val="20"/>
              </w:rPr>
              <w:t xml:space="preserve"> (Droit </w:t>
            </w:r>
            <w:proofErr w:type="spellStart"/>
            <w:r w:rsidR="00F93849">
              <w:rPr>
                <w:rFonts w:ascii="Arial" w:hAnsi="Arial" w:cs="Arial"/>
                <w:sz w:val="20"/>
                <w:szCs w:val="20"/>
              </w:rPr>
              <w:t>Francais</w:t>
            </w:r>
            <w:proofErr w:type="spellEnd"/>
            <w:r w:rsidR="00F93849">
              <w:rPr>
                <w:rFonts w:ascii="Arial" w:hAnsi="Arial" w:cs="Arial"/>
                <w:sz w:val="20"/>
                <w:szCs w:val="20"/>
              </w:rPr>
              <w:t>)</w:t>
            </w:r>
          </w:p>
          <w:p w14:paraId="6C27C56F" w14:textId="7DC674B9" w:rsidR="00FA4D33" w:rsidRDefault="00FA4D33" w:rsidP="00667A17">
            <w:pPr>
              <w:spacing w:before="60" w:after="60"/>
              <w:ind w:right="118"/>
              <w:rPr>
                <w:rFonts w:ascii="Arial" w:hAnsi="Arial" w:cs="Arial"/>
                <w:sz w:val="20"/>
                <w:szCs w:val="20"/>
              </w:rPr>
            </w:pPr>
          </w:p>
          <w:p w14:paraId="4178DC83" w14:textId="46882769" w:rsidR="00FA4D33" w:rsidRPr="00667A17" w:rsidRDefault="00FA4D33" w:rsidP="00667A17">
            <w:pPr>
              <w:spacing w:before="60" w:after="60"/>
              <w:ind w:right="118"/>
              <w:rPr>
                <w:rFonts w:ascii="Arial" w:hAnsi="Arial" w:cs="Arial"/>
                <w:sz w:val="20"/>
                <w:szCs w:val="20"/>
              </w:rPr>
            </w:pPr>
            <w:r w:rsidRPr="00FA4D33">
              <w:rPr>
                <w:rFonts w:ascii="Arial" w:hAnsi="Arial" w:cs="Arial"/>
                <w:sz w:val="20"/>
                <w:szCs w:val="20"/>
              </w:rPr>
              <w:t>Students must also achieve an average of 60% (or a merit on preponderance) in Stage 1</w:t>
            </w:r>
            <w:r>
              <w:rPr>
                <w:rFonts w:ascii="Arial" w:hAnsi="Arial" w:cs="Arial"/>
                <w:sz w:val="20"/>
                <w:szCs w:val="20"/>
              </w:rPr>
              <w:t xml:space="preserve"> – unless this requirement is waived by the Director of the programme in accordance with the criteria specified in the programme specification</w:t>
            </w:r>
            <w:r w:rsidR="00AF4EB3">
              <w:rPr>
                <w:rFonts w:ascii="Arial" w:hAnsi="Arial" w:cs="Arial"/>
                <w:sz w:val="20"/>
                <w:szCs w:val="20"/>
              </w:rPr>
              <w:t>.</w:t>
            </w:r>
          </w:p>
          <w:p w14:paraId="5C2CCDFE" w14:textId="77777777" w:rsidR="00667A17" w:rsidRPr="00667A17" w:rsidRDefault="00667A17" w:rsidP="00D474AF">
            <w:pPr>
              <w:spacing w:before="60" w:after="60"/>
              <w:ind w:right="-330"/>
              <w:rPr>
                <w:rFonts w:ascii="Arial" w:hAnsi="Arial" w:cs="Arial"/>
                <w:sz w:val="20"/>
                <w:szCs w:val="20"/>
              </w:rPr>
            </w:pPr>
          </w:p>
        </w:tc>
      </w:tr>
      <w:tr w:rsidR="00FD4637" w:rsidRPr="00667A17" w14:paraId="774D72A8" w14:textId="77777777" w:rsidTr="00D474AF">
        <w:trPr>
          <w:trHeight w:val="1128"/>
        </w:trPr>
        <w:tc>
          <w:tcPr>
            <w:tcW w:w="2436" w:type="pct"/>
          </w:tcPr>
          <w:p w14:paraId="20AA2ECA" w14:textId="77777777" w:rsidR="00FD4637" w:rsidRPr="00667A17" w:rsidRDefault="00FD4637" w:rsidP="00667A17">
            <w:pPr>
              <w:spacing w:before="60" w:after="60"/>
              <w:ind w:right="26"/>
              <w:rPr>
                <w:rFonts w:ascii="Arial" w:hAnsi="Arial" w:cs="Arial"/>
                <w:sz w:val="20"/>
                <w:szCs w:val="20"/>
              </w:rPr>
            </w:pPr>
            <w:r>
              <w:rPr>
                <w:rFonts w:ascii="Arial" w:hAnsi="Arial" w:cs="Arial"/>
                <w:sz w:val="20"/>
                <w:szCs w:val="20"/>
              </w:rPr>
              <w:t>LLB Law:</w:t>
            </w:r>
            <w:r w:rsidRPr="00FD4637">
              <w:rPr>
                <w:rFonts w:ascii="Arial" w:hAnsi="Arial" w:cs="Arial"/>
                <w:sz w:val="20"/>
                <w:szCs w:val="20"/>
              </w:rPr>
              <w:t xml:space="preserve"> International Legal Studies (Year abroad destination)</w:t>
            </w:r>
          </w:p>
        </w:tc>
        <w:tc>
          <w:tcPr>
            <w:tcW w:w="2564" w:type="pct"/>
          </w:tcPr>
          <w:p w14:paraId="77457801" w14:textId="36A31ACC" w:rsidR="00AF4EB3" w:rsidRDefault="00FD4637" w:rsidP="001579F3">
            <w:pPr>
              <w:spacing w:before="60" w:after="60"/>
              <w:ind w:right="118"/>
              <w:rPr>
                <w:rFonts w:ascii="Arial" w:hAnsi="Arial" w:cs="Arial"/>
                <w:sz w:val="20"/>
                <w:szCs w:val="20"/>
              </w:rPr>
            </w:pPr>
            <w:r>
              <w:rPr>
                <w:rFonts w:ascii="Arial" w:hAnsi="Arial" w:cs="Arial"/>
                <w:sz w:val="20"/>
                <w:szCs w:val="20"/>
              </w:rPr>
              <w:t xml:space="preserve">An average mark of </w:t>
            </w:r>
            <w:r w:rsidR="00FA4D33">
              <w:rPr>
                <w:rFonts w:ascii="Arial" w:hAnsi="Arial" w:cs="Arial"/>
                <w:sz w:val="20"/>
                <w:szCs w:val="20"/>
              </w:rPr>
              <w:t>60</w:t>
            </w:r>
            <w:r>
              <w:rPr>
                <w:rFonts w:ascii="Arial" w:hAnsi="Arial" w:cs="Arial"/>
                <w:sz w:val="20"/>
                <w:szCs w:val="20"/>
              </w:rPr>
              <w:t xml:space="preserve">% for Stage 1 and </w:t>
            </w:r>
            <w:r w:rsidR="00FA4D33">
              <w:rPr>
                <w:rFonts w:ascii="Arial" w:hAnsi="Arial" w:cs="Arial"/>
                <w:sz w:val="20"/>
                <w:szCs w:val="20"/>
              </w:rPr>
              <w:t>60</w:t>
            </w:r>
            <w:r>
              <w:rPr>
                <w:rFonts w:ascii="Arial" w:hAnsi="Arial" w:cs="Arial"/>
                <w:sz w:val="20"/>
                <w:szCs w:val="20"/>
              </w:rPr>
              <w:t>% for Stage 2</w:t>
            </w:r>
            <w:r w:rsidR="00FA4D33">
              <w:rPr>
                <w:rFonts w:ascii="Arial" w:hAnsi="Arial" w:cs="Arial"/>
                <w:sz w:val="20"/>
                <w:szCs w:val="20"/>
              </w:rPr>
              <w:t xml:space="preserve"> – unless this requirement is waived by the Director of the programme in accordance with the criteria specified in the programme specification. </w:t>
            </w:r>
          </w:p>
          <w:p w14:paraId="2517FE86" w14:textId="77777777" w:rsidR="00AF4EB3" w:rsidRDefault="00AF4EB3" w:rsidP="001579F3">
            <w:pPr>
              <w:spacing w:before="60" w:after="60"/>
              <w:ind w:right="118"/>
              <w:rPr>
                <w:rFonts w:ascii="Arial" w:hAnsi="Arial" w:cs="Arial"/>
                <w:sz w:val="20"/>
                <w:szCs w:val="20"/>
              </w:rPr>
            </w:pPr>
          </w:p>
          <w:p w14:paraId="6B46252F" w14:textId="762C167F" w:rsidR="00FD4637" w:rsidRDefault="00AF4EB3" w:rsidP="001579F3">
            <w:pPr>
              <w:spacing w:before="60" w:after="60"/>
              <w:ind w:right="118"/>
              <w:rPr>
                <w:rFonts w:ascii="Arial" w:hAnsi="Arial" w:cs="Arial"/>
                <w:sz w:val="20"/>
                <w:szCs w:val="20"/>
              </w:rPr>
            </w:pPr>
            <w:r>
              <w:rPr>
                <w:rFonts w:ascii="Arial" w:hAnsi="Arial" w:cs="Arial"/>
                <w:sz w:val="20"/>
                <w:szCs w:val="20"/>
              </w:rPr>
              <w:lastRenderedPageBreak/>
              <w:t>Note: s</w:t>
            </w:r>
            <w:r w:rsidR="00FA4D33">
              <w:rPr>
                <w:rFonts w:ascii="Arial" w:hAnsi="Arial" w:cs="Arial"/>
                <w:sz w:val="20"/>
                <w:szCs w:val="20"/>
              </w:rPr>
              <w:t xml:space="preserve">ome partner institutions on this programme require 60% in </w:t>
            </w:r>
            <w:r>
              <w:rPr>
                <w:rFonts w:ascii="Arial" w:hAnsi="Arial" w:cs="Arial"/>
                <w:sz w:val="20"/>
                <w:szCs w:val="20"/>
              </w:rPr>
              <w:t xml:space="preserve">both </w:t>
            </w:r>
            <w:r w:rsidR="00FA4D33">
              <w:rPr>
                <w:rFonts w:ascii="Arial" w:hAnsi="Arial" w:cs="Arial"/>
                <w:sz w:val="20"/>
                <w:szCs w:val="20"/>
              </w:rPr>
              <w:t>Stage 1 and Stage 2 – regardless of the circumstances.</w:t>
            </w:r>
          </w:p>
          <w:p w14:paraId="3BD1B65A" w14:textId="29DF016B" w:rsidR="00FA4D33" w:rsidRPr="00667A17" w:rsidRDefault="00FA4D33" w:rsidP="001579F3">
            <w:pPr>
              <w:spacing w:before="60" w:after="60"/>
              <w:ind w:right="118"/>
              <w:rPr>
                <w:rFonts w:ascii="Arial" w:hAnsi="Arial" w:cs="Arial"/>
                <w:sz w:val="20"/>
                <w:szCs w:val="20"/>
              </w:rPr>
            </w:pPr>
          </w:p>
        </w:tc>
      </w:tr>
      <w:tr w:rsidR="008D726A" w:rsidRPr="00667A17" w14:paraId="02FD7E0C" w14:textId="77777777" w:rsidTr="00D474AF">
        <w:trPr>
          <w:trHeight w:val="1128"/>
        </w:trPr>
        <w:tc>
          <w:tcPr>
            <w:tcW w:w="2436" w:type="pct"/>
          </w:tcPr>
          <w:p w14:paraId="2CBD93B6" w14:textId="77777777" w:rsidR="008D726A" w:rsidRDefault="008D726A" w:rsidP="00667A17">
            <w:pPr>
              <w:spacing w:before="60" w:after="60"/>
              <w:ind w:right="26"/>
              <w:rPr>
                <w:rFonts w:ascii="Arial" w:hAnsi="Arial" w:cs="Arial"/>
                <w:sz w:val="20"/>
                <w:szCs w:val="20"/>
              </w:rPr>
            </w:pPr>
            <w:r>
              <w:rPr>
                <w:rFonts w:ascii="Arial" w:hAnsi="Arial" w:cs="Arial"/>
                <w:sz w:val="20"/>
                <w:szCs w:val="20"/>
              </w:rPr>
              <w:lastRenderedPageBreak/>
              <w:t xml:space="preserve">LLB European Legal Studies </w:t>
            </w:r>
          </w:p>
          <w:p w14:paraId="1FD300AF" w14:textId="37BB9A8B" w:rsidR="008D726A" w:rsidRDefault="008D726A" w:rsidP="008D726A">
            <w:pPr>
              <w:spacing w:before="60" w:after="60"/>
              <w:ind w:right="26"/>
              <w:rPr>
                <w:rFonts w:ascii="Arial" w:hAnsi="Arial" w:cs="Arial"/>
                <w:sz w:val="20"/>
                <w:szCs w:val="20"/>
              </w:rPr>
            </w:pPr>
            <w:r>
              <w:rPr>
                <w:rFonts w:ascii="Arial" w:hAnsi="Arial" w:cs="Arial"/>
                <w:sz w:val="20"/>
                <w:szCs w:val="20"/>
              </w:rPr>
              <w:t>LLB European Legal Studies with German, Italian and Spanish</w:t>
            </w:r>
          </w:p>
        </w:tc>
        <w:tc>
          <w:tcPr>
            <w:tcW w:w="2564" w:type="pct"/>
          </w:tcPr>
          <w:p w14:paraId="2FA0133E" w14:textId="6F9B91D6" w:rsidR="008D726A" w:rsidRDefault="008D726A" w:rsidP="008D726A">
            <w:pPr>
              <w:spacing w:before="60" w:after="60"/>
              <w:ind w:right="118"/>
              <w:rPr>
                <w:rFonts w:ascii="Arial" w:hAnsi="Arial" w:cs="Arial"/>
                <w:sz w:val="20"/>
                <w:szCs w:val="20"/>
              </w:rPr>
            </w:pPr>
            <w:r>
              <w:rPr>
                <w:rFonts w:ascii="Arial" w:hAnsi="Arial" w:cs="Arial"/>
                <w:sz w:val="20"/>
                <w:szCs w:val="20"/>
              </w:rPr>
              <w:t xml:space="preserve">Students must </w:t>
            </w:r>
            <w:r w:rsidRPr="00FA4D33">
              <w:rPr>
                <w:rFonts w:ascii="Arial" w:hAnsi="Arial" w:cs="Arial"/>
                <w:sz w:val="20"/>
                <w:szCs w:val="20"/>
              </w:rPr>
              <w:t>achieve an average of 60% (or a merit on preponderance) in Stage 1</w:t>
            </w:r>
            <w:r>
              <w:rPr>
                <w:rFonts w:ascii="Arial" w:hAnsi="Arial" w:cs="Arial"/>
                <w:sz w:val="20"/>
                <w:szCs w:val="20"/>
              </w:rPr>
              <w:t xml:space="preserve"> – unless this requirement is waived by the Director of the programme in accordance with the criteria specified in the programme specification. </w:t>
            </w:r>
          </w:p>
          <w:p w14:paraId="259AFB2A" w14:textId="790D9C7C" w:rsidR="008D726A" w:rsidRDefault="008D726A" w:rsidP="001579F3">
            <w:pPr>
              <w:spacing w:before="60" w:after="60"/>
              <w:ind w:right="118"/>
              <w:rPr>
                <w:rFonts w:ascii="Arial" w:hAnsi="Arial" w:cs="Arial"/>
                <w:sz w:val="20"/>
                <w:szCs w:val="20"/>
              </w:rPr>
            </w:pPr>
            <w:r>
              <w:rPr>
                <w:rFonts w:ascii="Arial" w:hAnsi="Arial" w:cs="Arial"/>
                <w:sz w:val="20"/>
                <w:szCs w:val="20"/>
              </w:rPr>
              <w:t>For students taking LLB European Legal Studies with German, Italian or Spanish a</w:t>
            </w:r>
            <w:r w:rsidRPr="00667A17">
              <w:rPr>
                <w:rFonts w:ascii="Arial" w:hAnsi="Arial" w:cs="Arial"/>
                <w:sz w:val="20"/>
                <w:szCs w:val="20"/>
              </w:rPr>
              <w:t xml:space="preserve"> pass </w:t>
            </w:r>
            <w:r>
              <w:rPr>
                <w:rFonts w:ascii="Arial" w:hAnsi="Arial" w:cs="Arial"/>
                <w:sz w:val="20"/>
                <w:szCs w:val="20"/>
              </w:rPr>
              <w:t xml:space="preserve">is also required </w:t>
            </w:r>
            <w:r w:rsidRPr="00667A17">
              <w:rPr>
                <w:rFonts w:ascii="Arial" w:hAnsi="Arial" w:cs="Arial"/>
                <w:sz w:val="20"/>
                <w:szCs w:val="20"/>
              </w:rPr>
              <w:t xml:space="preserve">in </w:t>
            </w:r>
            <w:r>
              <w:rPr>
                <w:rFonts w:ascii="Arial" w:hAnsi="Arial" w:cs="Arial"/>
                <w:sz w:val="20"/>
                <w:szCs w:val="20"/>
              </w:rPr>
              <w:t xml:space="preserve">the relevant Stage 1 </w:t>
            </w:r>
            <w:r w:rsidRPr="00704E3E">
              <w:rPr>
                <w:rFonts w:ascii="Arial" w:hAnsi="Arial" w:cs="Arial"/>
                <w:b/>
                <w:sz w:val="20"/>
                <w:szCs w:val="20"/>
              </w:rPr>
              <w:t>and</w:t>
            </w:r>
            <w:r>
              <w:rPr>
                <w:rFonts w:ascii="Arial" w:hAnsi="Arial" w:cs="Arial"/>
                <w:sz w:val="20"/>
                <w:szCs w:val="20"/>
              </w:rPr>
              <w:t xml:space="preserve"> 2 language modules.</w:t>
            </w:r>
          </w:p>
          <w:p w14:paraId="7CCDECAC" w14:textId="3529F4A4" w:rsidR="008D726A" w:rsidRDefault="008D726A" w:rsidP="001579F3">
            <w:pPr>
              <w:spacing w:before="60" w:after="60"/>
              <w:ind w:right="118"/>
              <w:rPr>
                <w:rFonts w:ascii="Arial" w:hAnsi="Arial" w:cs="Arial"/>
                <w:sz w:val="20"/>
                <w:szCs w:val="20"/>
              </w:rPr>
            </w:pPr>
          </w:p>
        </w:tc>
      </w:tr>
    </w:tbl>
    <w:p w14:paraId="0F59A546" w14:textId="77777777" w:rsidR="009A2D37" w:rsidRPr="00373ACB" w:rsidRDefault="009A2D37" w:rsidP="0066061A">
      <w:pPr>
        <w:spacing w:after="120" w:line="240" w:lineRule="auto"/>
        <w:ind w:left="426" w:right="260"/>
        <w:rPr>
          <w:rFonts w:ascii="Arial" w:hAnsi="Arial" w:cs="Arial"/>
          <w:iCs/>
          <w:sz w:val="20"/>
          <w:szCs w:val="20"/>
        </w:rPr>
      </w:pPr>
    </w:p>
    <w:p w14:paraId="7D261D55"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3A403AD8"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D1E38C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B74E8A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2D65A12E" w14:textId="77777777" w:rsidTr="003216A9">
        <w:trPr>
          <w:trHeight w:val="317"/>
        </w:trPr>
        <w:tc>
          <w:tcPr>
            <w:tcW w:w="1673" w:type="dxa"/>
          </w:tcPr>
          <w:p w14:paraId="6F0D6D7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12E17B1"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04FE601"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4375BD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3ACB897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D2FDAFD" w14:textId="77777777" w:rsidTr="003216A9">
        <w:trPr>
          <w:trHeight w:val="305"/>
        </w:trPr>
        <w:tc>
          <w:tcPr>
            <w:tcW w:w="1673" w:type="dxa"/>
          </w:tcPr>
          <w:p w14:paraId="2EE51A5C"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12/02/16</w:t>
            </w:r>
          </w:p>
        </w:tc>
        <w:tc>
          <w:tcPr>
            <w:tcW w:w="1417" w:type="dxa"/>
          </w:tcPr>
          <w:p w14:paraId="2630FB30"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0212A04"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5355C387"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10,11,12,13,16</w:t>
            </w:r>
          </w:p>
        </w:tc>
        <w:tc>
          <w:tcPr>
            <w:tcW w:w="2513" w:type="dxa"/>
          </w:tcPr>
          <w:p w14:paraId="1C3AF759" w14:textId="77777777" w:rsidR="00422B69" w:rsidRPr="00373ACB" w:rsidRDefault="00261C5B" w:rsidP="0066061A">
            <w:pPr>
              <w:spacing w:after="120"/>
              <w:ind w:right="-330"/>
              <w:rPr>
                <w:rFonts w:ascii="Arial" w:hAnsi="Arial" w:cs="Arial"/>
                <w:sz w:val="20"/>
                <w:szCs w:val="20"/>
              </w:rPr>
            </w:pPr>
            <w:r>
              <w:rPr>
                <w:rFonts w:ascii="Arial" w:hAnsi="Arial" w:cs="Arial"/>
                <w:sz w:val="20"/>
                <w:szCs w:val="20"/>
              </w:rPr>
              <w:t>No</w:t>
            </w:r>
          </w:p>
        </w:tc>
      </w:tr>
      <w:tr w:rsidR="00302082" w:rsidRPr="00373ACB" w14:paraId="58F17E0D" w14:textId="77777777" w:rsidTr="003216A9">
        <w:trPr>
          <w:trHeight w:val="305"/>
        </w:trPr>
        <w:tc>
          <w:tcPr>
            <w:tcW w:w="1673" w:type="dxa"/>
          </w:tcPr>
          <w:p w14:paraId="4FF0E497" w14:textId="59B19920" w:rsidR="00422B69" w:rsidRPr="00373ACB" w:rsidRDefault="00CD19A8"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677E5609" w14:textId="37566A28" w:rsidR="00422B69" w:rsidRPr="00373ACB" w:rsidRDefault="00CD19A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4B787A9" w14:textId="6BB5875F" w:rsidR="00422B69" w:rsidRPr="00373ACB" w:rsidRDefault="00CD19A8"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3FDC49EB" w14:textId="10E7E9FA" w:rsidR="00422B69" w:rsidRPr="00373ACB" w:rsidRDefault="00CD19A8" w:rsidP="0066061A">
            <w:pPr>
              <w:spacing w:after="120"/>
              <w:ind w:right="-330"/>
              <w:rPr>
                <w:rFonts w:ascii="Arial" w:hAnsi="Arial" w:cs="Arial"/>
                <w:sz w:val="20"/>
                <w:szCs w:val="20"/>
              </w:rPr>
            </w:pPr>
            <w:r>
              <w:rPr>
                <w:rFonts w:ascii="Arial" w:hAnsi="Arial" w:cs="Arial"/>
                <w:sz w:val="20"/>
                <w:szCs w:val="20"/>
              </w:rPr>
              <w:t>7,10,12,13,14</w:t>
            </w:r>
          </w:p>
        </w:tc>
        <w:tc>
          <w:tcPr>
            <w:tcW w:w="2513" w:type="dxa"/>
          </w:tcPr>
          <w:p w14:paraId="010C8907" w14:textId="29497752" w:rsidR="00422B69" w:rsidRPr="00373ACB" w:rsidRDefault="00CD19A8" w:rsidP="0066061A">
            <w:pPr>
              <w:spacing w:after="120"/>
              <w:ind w:right="-330"/>
              <w:rPr>
                <w:rFonts w:ascii="Arial" w:hAnsi="Arial" w:cs="Arial"/>
                <w:sz w:val="20"/>
                <w:szCs w:val="20"/>
              </w:rPr>
            </w:pPr>
            <w:r>
              <w:rPr>
                <w:rFonts w:ascii="Arial" w:hAnsi="Arial" w:cs="Arial"/>
                <w:sz w:val="20"/>
                <w:szCs w:val="20"/>
              </w:rPr>
              <w:t>No</w:t>
            </w:r>
          </w:p>
        </w:tc>
      </w:tr>
    </w:tbl>
    <w:p w14:paraId="437D8E84"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D0AE" w14:textId="77777777" w:rsidR="00926D10" w:rsidRDefault="00926D10" w:rsidP="009A2D37">
      <w:pPr>
        <w:spacing w:after="0" w:line="240" w:lineRule="auto"/>
      </w:pPr>
      <w:r>
        <w:separator/>
      </w:r>
    </w:p>
  </w:endnote>
  <w:endnote w:type="continuationSeparator" w:id="0">
    <w:p w14:paraId="03768FCD" w14:textId="77777777" w:rsidR="00926D10" w:rsidRDefault="00926D10" w:rsidP="009A2D37">
      <w:pPr>
        <w:spacing w:after="0" w:line="240" w:lineRule="auto"/>
      </w:pPr>
      <w:r>
        <w:continuationSeparator/>
      </w:r>
    </w:p>
  </w:endnote>
  <w:endnote w:type="continuationNotice" w:id="1">
    <w:p w14:paraId="59FE7EEB" w14:textId="77777777" w:rsidR="00926D10" w:rsidRDefault="00926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13E77E0" w14:textId="44F17DA9" w:rsidR="008B2543" w:rsidRDefault="0019787E" w:rsidP="009A2D37">
        <w:pPr>
          <w:pStyle w:val="Footer"/>
          <w:jc w:val="center"/>
        </w:pPr>
        <w:r>
          <w:fldChar w:fldCharType="begin"/>
        </w:r>
        <w:r>
          <w:instrText xml:space="preserve"> PAGE   \* MERGEFORMAT </w:instrText>
        </w:r>
        <w:r>
          <w:fldChar w:fldCharType="separate"/>
        </w:r>
        <w:r w:rsidR="00301BE4">
          <w:rPr>
            <w:noProof/>
          </w:rPr>
          <w:t>5</w:t>
        </w:r>
        <w:r>
          <w:rPr>
            <w:noProof/>
          </w:rPr>
          <w:fldChar w:fldCharType="end"/>
        </w:r>
      </w:p>
    </w:sdtContent>
  </w:sdt>
  <w:p w14:paraId="3489BF9E" w14:textId="4C034697" w:rsidR="00F93849" w:rsidRPr="007B7724" w:rsidRDefault="00F93849" w:rsidP="00F93849">
    <w:pPr>
      <w:pStyle w:val="Footer"/>
      <w:spacing w:after="120"/>
      <w:ind w:right="-330"/>
      <w:jc w:val="center"/>
      <w:rPr>
        <w:rFonts w:ascii="Arial" w:hAnsi="Arial"/>
        <w:sz w:val="18"/>
      </w:rPr>
    </w:pPr>
    <w:r>
      <w:rPr>
        <w:rFonts w:ascii="Arial" w:hAnsi="Arial"/>
        <w:sz w:val="18"/>
      </w:rPr>
      <w:t xml:space="preserve">Law Year Abroad (LAWS7000/ LW700) - (Sept. </w:t>
    </w:r>
    <w:r w:rsidR="001B7F67">
      <w:rPr>
        <w:rFonts w:ascii="Arial" w:hAnsi="Arial"/>
        <w:sz w:val="18"/>
      </w:rPr>
      <w:t xml:space="preserve">2020 </w:t>
    </w:r>
    <w:r>
      <w:rPr>
        <w:rFonts w:ascii="Arial" w:hAnsi="Arial"/>
        <w:sz w:val="18"/>
      </w:rPr>
      <w:t>onwards)</w:t>
    </w:r>
  </w:p>
  <w:p w14:paraId="2388D1D0" w14:textId="77777777"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67FA" w14:textId="34B7F4C3" w:rsidR="00726B5F" w:rsidRPr="007B7724" w:rsidRDefault="00726B5F" w:rsidP="00726B5F">
    <w:pPr>
      <w:pStyle w:val="Footer"/>
      <w:spacing w:after="120"/>
      <w:ind w:right="-330"/>
      <w:jc w:val="center"/>
      <w:rPr>
        <w:rFonts w:ascii="Arial" w:hAnsi="Arial"/>
        <w:sz w:val="18"/>
      </w:rPr>
    </w:pPr>
    <w:r>
      <w:rPr>
        <w:rFonts w:ascii="Arial" w:hAnsi="Arial"/>
        <w:sz w:val="18"/>
      </w:rPr>
      <w:t xml:space="preserve">Law Year Abroad (LAWS7000/ LW700) - (Sept. </w:t>
    </w:r>
    <w:r w:rsidR="00B87004">
      <w:rPr>
        <w:rFonts w:ascii="Arial" w:hAnsi="Arial"/>
        <w:sz w:val="18"/>
      </w:rPr>
      <w:t xml:space="preserve">2020 </w:t>
    </w:r>
    <w:r>
      <w:rPr>
        <w:rFonts w:ascii="Arial" w:hAnsi="Arial"/>
        <w:sz w:val="18"/>
      </w:rPr>
      <w:t>onwards)</w:t>
    </w:r>
  </w:p>
  <w:p w14:paraId="73C7C5D9" w14:textId="77777777" w:rsidR="00726B5F" w:rsidRDefault="00726B5F" w:rsidP="00726B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0265" w14:textId="77777777" w:rsidR="00926D10" w:rsidRDefault="00926D10" w:rsidP="009A2D37">
      <w:pPr>
        <w:spacing w:after="0" w:line="240" w:lineRule="auto"/>
      </w:pPr>
      <w:r>
        <w:separator/>
      </w:r>
    </w:p>
  </w:footnote>
  <w:footnote w:type="continuationSeparator" w:id="0">
    <w:p w14:paraId="052445B4" w14:textId="77777777" w:rsidR="00926D10" w:rsidRDefault="00926D10" w:rsidP="009A2D37">
      <w:pPr>
        <w:spacing w:after="0" w:line="240" w:lineRule="auto"/>
      </w:pPr>
      <w:r>
        <w:continuationSeparator/>
      </w:r>
    </w:p>
  </w:footnote>
  <w:footnote w:type="continuationNotice" w:id="1">
    <w:p w14:paraId="24DE9E1A" w14:textId="77777777" w:rsidR="00926D10" w:rsidRDefault="00926D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43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8B4937" wp14:editId="0684C0A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8BE955" w14:textId="77777777" w:rsidR="008B2543" w:rsidRPr="008C00F8" w:rsidRDefault="008B2543" w:rsidP="005E6D38">
    <w:pPr>
      <w:pStyle w:val="Heading1"/>
      <w:spacing w:before="60" w:after="60"/>
      <w:rPr>
        <w:rFonts w:ascii="Arial" w:hAnsi="Arial" w:cs="Arial"/>
      </w:rPr>
    </w:pPr>
  </w:p>
  <w:p w14:paraId="4C831E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A769" w14:textId="2CBEC60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DEF838" wp14:editId="5DE54F5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F254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70"/>
    <w:rsid w:val="00000C8C"/>
    <w:rsid w:val="000017F2"/>
    <w:rsid w:val="00002762"/>
    <w:rsid w:val="00005661"/>
    <w:rsid w:val="00010A16"/>
    <w:rsid w:val="0001243F"/>
    <w:rsid w:val="00021EA0"/>
    <w:rsid w:val="000234A7"/>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B73"/>
    <w:rsid w:val="000F6C56"/>
    <w:rsid w:val="000F7FBF"/>
    <w:rsid w:val="00100B76"/>
    <w:rsid w:val="00106BE5"/>
    <w:rsid w:val="00110947"/>
    <w:rsid w:val="00111906"/>
    <w:rsid w:val="00111CB3"/>
    <w:rsid w:val="00117577"/>
    <w:rsid w:val="00117793"/>
    <w:rsid w:val="001206E4"/>
    <w:rsid w:val="001214D3"/>
    <w:rsid w:val="00121BFC"/>
    <w:rsid w:val="00131C17"/>
    <w:rsid w:val="001402AD"/>
    <w:rsid w:val="001540CE"/>
    <w:rsid w:val="0015717B"/>
    <w:rsid w:val="001579F3"/>
    <w:rsid w:val="00157ACA"/>
    <w:rsid w:val="00160427"/>
    <w:rsid w:val="00161DAF"/>
    <w:rsid w:val="00162D46"/>
    <w:rsid w:val="001709C3"/>
    <w:rsid w:val="00172793"/>
    <w:rsid w:val="00180558"/>
    <w:rsid w:val="001811E5"/>
    <w:rsid w:val="00183B34"/>
    <w:rsid w:val="00185F46"/>
    <w:rsid w:val="00196C6A"/>
    <w:rsid w:val="0019787E"/>
    <w:rsid w:val="001A425B"/>
    <w:rsid w:val="001A5C16"/>
    <w:rsid w:val="001B1B28"/>
    <w:rsid w:val="001B27FB"/>
    <w:rsid w:val="001B7F67"/>
    <w:rsid w:val="001C4A85"/>
    <w:rsid w:val="001C5443"/>
    <w:rsid w:val="001D0C7D"/>
    <w:rsid w:val="001D1F2D"/>
    <w:rsid w:val="001D2314"/>
    <w:rsid w:val="001D6398"/>
    <w:rsid w:val="001E1F45"/>
    <w:rsid w:val="001E2481"/>
    <w:rsid w:val="001E2B7D"/>
    <w:rsid w:val="001E62C1"/>
    <w:rsid w:val="001F0779"/>
    <w:rsid w:val="001F3C3E"/>
    <w:rsid w:val="0020243A"/>
    <w:rsid w:val="0021578E"/>
    <w:rsid w:val="00215E9E"/>
    <w:rsid w:val="00227582"/>
    <w:rsid w:val="002308BE"/>
    <w:rsid w:val="002407C0"/>
    <w:rsid w:val="002461AF"/>
    <w:rsid w:val="002465A1"/>
    <w:rsid w:val="00261C5B"/>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1BE4"/>
    <w:rsid w:val="00302082"/>
    <w:rsid w:val="00304503"/>
    <w:rsid w:val="00306620"/>
    <w:rsid w:val="003216A9"/>
    <w:rsid w:val="00324C39"/>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A7377"/>
    <w:rsid w:val="003B35F4"/>
    <w:rsid w:val="003B7C76"/>
    <w:rsid w:val="003C3E0C"/>
    <w:rsid w:val="003C776B"/>
    <w:rsid w:val="003D4A1C"/>
    <w:rsid w:val="003D7AA0"/>
    <w:rsid w:val="003E1FF7"/>
    <w:rsid w:val="003E311D"/>
    <w:rsid w:val="003F4470"/>
    <w:rsid w:val="003F5A04"/>
    <w:rsid w:val="003F67CD"/>
    <w:rsid w:val="00402ED7"/>
    <w:rsid w:val="004114F8"/>
    <w:rsid w:val="004155A9"/>
    <w:rsid w:val="00421870"/>
    <w:rsid w:val="00422B69"/>
    <w:rsid w:val="00423D86"/>
    <w:rsid w:val="00424C90"/>
    <w:rsid w:val="004272EB"/>
    <w:rsid w:val="00436BE9"/>
    <w:rsid w:val="00441E76"/>
    <w:rsid w:val="004443DA"/>
    <w:rsid w:val="00445C30"/>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15A9"/>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035"/>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5919"/>
    <w:rsid w:val="0066061A"/>
    <w:rsid w:val="0066747B"/>
    <w:rsid w:val="00667A17"/>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04E3E"/>
    <w:rsid w:val="007103E4"/>
    <w:rsid w:val="007105E4"/>
    <w:rsid w:val="00714EE5"/>
    <w:rsid w:val="00720270"/>
    <w:rsid w:val="00724362"/>
    <w:rsid w:val="00726B5F"/>
    <w:rsid w:val="00727780"/>
    <w:rsid w:val="0073792C"/>
    <w:rsid w:val="00754069"/>
    <w:rsid w:val="00763508"/>
    <w:rsid w:val="007667DF"/>
    <w:rsid w:val="0077080B"/>
    <w:rsid w:val="00787070"/>
    <w:rsid w:val="007906FD"/>
    <w:rsid w:val="00797197"/>
    <w:rsid w:val="007972A7"/>
    <w:rsid w:val="0079746F"/>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26A"/>
    <w:rsid w:val="008D7401"/>
    <w:rsid w:val="008E668D"/>
    <w:rsid w:val="00903DF6"/>
    <w:rsid w:val="00921CF6"/>
    <w:rsid w:val="009246F0"/>
    <w:rsid w:val="00924EF0"/>
    <w:rsid w:val="00926D1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6C92"/>
    <w:rsid w:val="00A776DE"/>
    <w:rsid w:val="00A80640"/>
    <w:rsid w:val="00A87FFD"/>
    <w:rsid w:val="00A97038"/>
    <w:rsid w:val="00AA29DE"/>
    <w:rsid w:val="00AA3C15"/>
    <w:rsid w:val="00AA6330"/>
    <w:rsid w:val="00AC7501"/>
    <w:rsid w:val="00AD1039"/>
    <w:rsid w:val="00AD748B"/>
    <w:rsid w:val="00AE4865"/>
    <w:rsid w:val="00AF4EB3"/>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87004"/>
    <w:rsid w:val="00B9109B"/>
    <w:rsid w:val="00B927AE"/>
    <w:rsid w:val="00B93721"/>
    <w:rsid w:val="00B937B1"/>
    <w:rsid w:val="00BA453C"/>
    <w:rsid w:val="00BA4E02"/>
    <w:rsid w:val="00BB2A6D"/>
    <w:rsid w:val="00BB4189"/>
    <w:rsid w:val="00BC19F7"/>
    <w:rsid w:val="00BC1D37"/>
    <w:rsid w:val="00BC41ED"/>
    <w:rsid w:val="00BC4F15"/>
    <w:rsid w:val="00BD009E"/>
    <w:rsid w:val="00BD0EF8"/>
    <w:rsid w:val="00BD7A8C"/>
    <w:rsid w:val="00BE2126"/>
    <w:rsid w:val="00BE3B17"/>
    <w:rsid w:val="00BF51AB"/>
    <w:rsid w:val="00BF62FB"/>
    <w:rsid w:val="00BF716B"/>
    <w:rsid w:val="00BF7233"/>
    <w:rsid w:val="00C02AA2"/>
    <w:rsid w:val="00C02B90"/>
    <w:rsid w:val="00C04C95"/>
    <w:rsid w:val="00C05A84"/>
    <w:rsid w:val="00C07A56"/>
    <w:rsid w:val="00C12613"/>
    <w:rsid w:val="00C16DEF"/>
    <w:rsid w:val="00C2492F"/>
    <w:rsid w:val="00C3744A"/>
    <w:rsid w:val="00C4002A"/>
    <w:rsid w:val="00C41756"/>
    <w:rsid w:val="00C43A47"/>
    <w:rsid w:val="00C46912"/>
    <w:rsid w:val="00C612A8"/>
    <w:rsid w:val="00C67631"/>
    <w:rsid w:val="00C729D7"/>
    <w:rsid w:val="00C83354"/>
    <w:rsid w:val="00C84004"/>
    <w:rsid w:val="00C843F6"/>
    <w:rsid w:val="00C84507"/>
    <w:rsid w:val="00C862C7"/>
    <w:rsid w:val="00CA3254"/>
    <w:rsid w:val="00CB11CE"/>
    <w:rsid w:val="00CC25A2"/>
    <w:rsid w:val="00CD19A8"/>
    <w:rsid w:val="00CD6DA5"/>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0423"/>
    <w:rsid w:val="00DA64B6"/>
    <w:rsid w:val="00DB5C9D"/>
    <w:rsid w:val="00DC5509"/>
    <w:rsid w:val="00DD02E6"/>
    <w:rsid w:val="00DD2606"/>
    <w:rsid w:val="00DE4F08"/>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065B"/>
    <w:rsid w:val="00EB1C2D"/>
    <w:rsid w:val="00EC1810"/>
    <w:rsid w:val="00EC3FCC"/>
    <w:rsid w:val="00EC432B"/>
    <w:rsid w:val="00ED32FF"/>
    <w:rsid w:val="00EF039B"/>
    <w:rsid w:val="00EF2C12"/>
    <w:rsid w:val="00EF351D"/>
    <w:rsid w:val="00EF4933"/>
    <w:rsid w:val="00EF5044"/>
    <w:rsid w:val="00F01956"/>
    <w:rsid w:val="00F10A11"/>
    <w:rsid w:val="00F116CE"/>
    <w:rsid w:val="00F176DE"/>
    <w:rsid w:val="00F21C47"/>
    <w:rsid w:val="00F244E2"/>
    <w:rsid w:val="00F25953"/>
    <w:rsid w:val="00F2647D"/>
    <w:rsid w:val="00F340DE"/>
    <w:rsid w:val="00F43542"/>
    <w:rsid w:val="00F527CB"/>
    <w:rsid w:val="00F562AA"/>
    <w:rsid w:val="00F66348"/>
    <w:rsid w:val="00F7105A"/>
    <w:rsid w:val="00F77676"/>
    <w:rsid w:val="00F8197C"/>
    <w:rsid w:val="00F82B4E"/>
    <w:rsid w:val="00F87559"/>
    <w:rsid w:val="00F93849"/>
    <w:rsid w:val="00F96D71"/>
    <w:rsid w:val="00F97C9E"/>
    <w:rsid w:val="00FA20DE"/>
    <w:rsid w:val="00FA4D33"/>
    <w:rsid w:val="00FA4EE8"/>
    <w:rsid w:val="00FB12CA"/>
    <w:rsid w:val="00FB36EC"/>
    <w:rsid w:val="00FB4E1B"/>
    <w:rsid w:val="00FC0291"/>
    <w:rsid w:val="00FC1C92"/>
    <w:rsid w:val="00FD333B"/>
    <w:rsid w:val="00FD4637"/>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F46B9"/>
  <w15:docId w15:val="{CAE64538-8CF8-46A1-84D4-B09DD99A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870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3637-3D38-4C70-A8B1-2F972BE9B0E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663965E-E262-40CD-85E4-6117CFAF4A23}">
  <ds:schemaRefs>
    <ds:schemaRef ds:uri="http://schemas.microsoft.com/sharepoint/events"/>
  </ds:schemaRefs>
</ds:datastoreItem>
</file>

<file path=customXml/itemProps3.xml><?xml version="1.0" encoding="utf-8"?>
<ds:datastoreItem xmlns:ds="http://schemas.openxmlformats.org/officeDocument/2006/customXml" ds:itemID="{B341609D-5120-477B-A025-E52F24BD2BB2}"/>
</file>

<file path=customXml/itemProps4.xml><?xml version="1.0" encoding="utf-8"?>
<ds:datastoreItem xmlns:ds="http://schemas.openxmlformats.org/officeDocument/2006/customXml" ds:itemID="{5459EACE-A635-45CB-B7D9-57A59AF2EC19}">
  <ds:schemaRefs>
    <ds:schemaRef ds:uri="http://schemas.microsoft.com/sharepoint/v3/contenttype/forms"/>
  </ds:schemaRefs>
</ds:datastoreItem>
</file>

<file path=customXml/itemProps5.xml><?xml version="1.0" encoding="utf-8"?>
<ds:datastoreItem xmlns:ds="http://schemas.openxmlformats.org/officeDocument/2006/customXml" ds:itemID="{C048636C-19F0-429C-A1FD-663A6B0B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Mould</cp:lastModifiedBy>
  <cp:revision>5</cp:revision>
  <cp:lastPrinted>2016-01-29T15:48:00Z</cp:lastPrinted>
  <dcterms:created xsi:type="dcterms:W3CDTF">2020-01-20T10:23:00Z</dcterms:created>
  <dcterms:modified xsi:type="dcterms:W3CDTF">2022-03-04T13:25:00Z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5b0cee37-daa8-48fa-ba73-c957dbe7940e</vt:lpwstr>
  </property>
  <property fmtid="{D5CDD505-2E9C-101B-9397-08002B2CF9AE}" pid="4" name="Order">
    <vt:r8>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