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5429" w14:textId="77777777" w:rsidR="009A2D37" w:rsidRPr="007F6EF6" w:rsidRDefault="00C07A56"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w:t>
      </w:r>
      <w:r w:rsidR="009A2D37" w:rsidRPr="007F6EF6">
        <w:rPr>
          <w:rFonts w:ascii="Arial" w:hAnsi="Arial"/>
          <w:b/>
          <w:sz w:val="20"/>
        </w:rPr>
        <w:t>itle of the module</w:t>
      </w:r>
    </w:p>
    <w:p w14:paraId="4CAC5A0C" w14:textId="66A49AF9" w:rsidR="009A2D37" w:rsidRPr="007F6EF6" w:rsidRDefault="002761F3" w:rsidP="002761F3">
      <w:pPr>
        <w:spacing w:after="120" w:line="240" w:lineRule="auto"/>
        <w:ind w:right="260" w:firstLine="426"/>
        <w:rPr>
          <w:rFonts w:ascii="Arial" w:hAnsi="Arial"/>
          <w:sz w:val="20"/>
        </w:rPr>
      </w:pPr>
      <w:r w:rsidRPr="002761F3">
        <w:rPr>
          <w:rFonts w:ascii="Arial" w:hAnsi="Arial"/>
          <w:sz w:val="20"/>
        </w:rPr>
        <w:t>LAWS5700 (LW570)</w:t>
      </w:r>
      <w:r>
        <w:rPr>
          <w:rFonts w:ascii="Arial" w:hAnsi="Arial"/>
          <w:sz w:val="20"/>
        </w:rPr>
        <w:t xml:space="preserve"> </w:t>
      </w:r>
      <w:r w:rsidR="00D0074E" w:rsidRPr="007F6EF6">
        <w:rPr>
          <w:rFonts w:ascii="Arial" w:hAnsi="Arial"/>
          <w:sz w:val="20"/>
        </w:rPr>
        <w:t>Law and Social Change</w:t>
      </w:r>
    </w:p>
    <w:p w14:paraId="0B075E33" w14:textId="77777777" w:rsidR="00C07A56" w:rsidRPr="007F6EF6" w:rsidRDefault="00C07A56" w:rsidP="007F6EF6">
      <w:pPr>
        <w:spacing w:after="120" w:line="240" w:lineRule="auto"/>
        <w:ind w:left="426" w:right="260"/>
        <w:jc w:val="both"/>
        <w:rPr>
          <w:rFonts w:ascii="Arial" w:hAnsi="Arial"/>
          <w:sz w:val="20"/>
        </w:rPr>
      </w:pPr>
    </w:p>
    <w:p w14:paraId="34B57ADB"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School or partner institution which will be responsible for management of the module</w:t>
      </w:r>
    </w:p>
    <w:p w14:paraId="31370378" w14:textId="77777777" w:rsidR="009A2D37" w:rsidRPr="007F6EF6" w:rsidRDefault="00380EAE" w:rsidP="007F6EF6">
      <w:pPr>
        <w:spacing w:after="120" w:line="240" w:lineRule="auto"/>
        <w:ind w:left="426" w:right="260"/>
        <w:rPr>
          <w:rFonts w:ascii="Arial" w:hAnsi="Arial"/>
          <w:sz w:val="20"/>
        </w:rPr>
      </w:pPr>
      <w:r w:rsidRPr="007F6EF6">
        <w:rPr>
          <w:rFonts w:ascii="Arial" w:hAnsi="Arial"/>
          <w:sz w:val="20"/>
        </w:rPr>
        <w:t>Kent Law School</w:t>
      </w:r>
    </w:p>
    <w:p w14:paraId="268CD941" w14:textId="77777777" w:rsidR="00C07A56" w:rsidRPr="007F6EF6" w:rsidRDefault="00C07A56" w:rsidP="007F6EF6">
      <w:pPr>
        <w:spacing w:after="120" w:line="240" w:lineRule="auto"/>
        <w:ind w:left="426" w:right="260"/>
        <w:rPr>
          <w:rFonts w:ascii="Arial" w:hAnsi="Arial"/>
          <w:sz w:val="20"/>
        </w:rPr>
      </w:pPr>
    </w:p>
    <w:p w14:paraId="0477511C"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06F3F04" w14:textId="77777777" w:rsidR="009A2D37" w:rsidRPr="00373ACB" w:rsidRDefault="00D0074E"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76D15DDB" w14:textId="77777777" w:rsidR="00C07A56" w:rsidRPr="00373ACB" w:rsidRDefault="00C07A56" w:rsidP="0066061A">
      <w:pPr>
        <w:spacing w:after="120" w:line="240" w:lineRule="auto"/>
        <w:ind w:left="426" w:right="260"/>
        <w:rPr>
          <w:rFonts w:ascii="Arial" w:hAnsi="Arial" w:cs="Arial"/>
          <w:iCs/>
          <w:sz w:val="20"/>
          <w:szCs w:val="20"/>
        </w:rPr>
      </w:pPr>
    </w:p>
    <w:p w14:paraId="590A9FDB"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The number of credits and the ECTS value which the module represents</w:t>
      </w:r>
      <w:r w:rsidRPr="00373ACB">
        <w:rPr>
          <w:rFonts w:ascii="Arial" w:hAnsi="Arial" w:cs="Arial"/>
          <w:b/>
          <w:sz w:val="20"/>
          <w:szCs w:val="20"/>
        </w:rPr>
        <w:t xml:space="preserve"> </w:t>
      </w:r>
    </w:p>
    <w:p w14:paraId="07A373CC" w14:textId="60F682CE" w:rsidR="00BC1D37" w:rsidRPr="007F6EF6" w:rsidRDefault="00D0074E" w:rsidP="007F6EF6">
      <w:pPr>
        <w:spacing w:after="120" w:line="240" w:lineRule="auto"/>
        <w:ind w:left="426" w:right="260"/>
        <w:rPr>
          <w:rFonts w:ascii="Arial" w:hAnsi="Arial"/>
          <w:sz w:val="20"/>
        </w:rPr>
      </w:pPr>
      <w:r w:rsidRPr="007F6EF6">
        <w:rPr>
          <w:rFonts w:ascii="Arial" w:hAnsi="Arial"/>
          <w:sz w:val="20"/>
        </w:rPr>
        <w:t>15 credits (7.5</w:t>
      </w:r>
      <w:r w:rsidR="00BC1D37" w:rsidRPr="007F6EF6">
        <w:rPr>
          <w:rFonts w:ascii="Arial" w:hAnsi="Arial"/>
          <w:sz w:val="20"/>
        </w:rPr>
        <w:t xml:space="preserve"> ECTS</w:t>
      </w:r>
      <w:r w:rsidR="00BC1D37">
        <w:rPr>
          <w:rFonts w:ascii="Arial" w:hAnsi="Arial" w:cs="Arial"/>
          <w:sz w:val="20"/>
          <w:szCs w:val="20"/>
        </w:rPr>
        <w:t xml:space="preserve"> Credits)</w:t>
      </w:r>
    </w:p>
    <w:p w14:paraId="249E076B" w14:textId="77777777" w:rsidR="00C07A56" w:rsidRPr="007F6EF6" w:rsidRDefault="00C07A56" w:rsidP="007F6EF6">
      <w:pPr>
        <w:spacing w:after="120" w:line="240" w:lineRule="auto"/>
        <w:ind w:left="426" w:right="260"/>
        <w:rPr>
          <w:rFonts w:ascii="Arial" w:hAnsi="Arial"/>
          <w:sz w:val="20"/>
        </w:rPr>
      </w:pPr>
    </w:p>
    <w:p w14:paraId="5D8F5116"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Which term(s) the module is to be taught in (or other teaching pattern)</w:t>
      </w:r>
    </w:p>
    <w:p w14:paraId="5E26A231" w14:textId="33C8EAED" w:rsidR="00BC1D37" w:rsidRPr="00BE606A" w:rsidRDefault="00D0074E" w:rsidP="007F6EF6">
      <w:pPr>
        <w:spacing w:line="240" w:lineRule="auto"/>
        <w:ind w:left="426"/>
        <w:rPr>
          <w:rFonts w:ascii="Arial" w:hAnsi="Arial" w:cs="Arial"/>
          <w:sz w:val="20"/>
        </w:rPr>
      </w:pPr>
      <w:r w:rsidRPr="00BE606A">
        <w:rPr>
          <w:rFonts w:ascii="Arial" w:hAnsi="Arial" w:cs="Arial"/>
          <w:sz w:val="20"/>
        </w:rPr>
        <w:t>Spring</w:t>
      </w:r>
      <w:r w:rsidR="00580DBE" w:rsidRPr="00BE606A">
        <w:rPr>
          <w:rFonts w:ascii="Arial" w:hAnsi="Arial" w:cs="Arial"/>
          <w:sz w:val="20"/>
          <w:szCs w:val="20"/>
        </w:rPr>
        <w:t xml:space="preserve"> term</w:t>
      </w:r>
    </w:p>
    <w:p w14:paraId="0B290C8B" w14:textId="77777777" w:rsidR="00C07A56" w:rsidRPr="007F6EF6" w:rsidRDefault="00C07A56" w:rsidP="007F6EF6">
      <w:pPr>
        <w:spacing w:line="240" w:lineRule="auto"/>
        <w:ind w:left="426"/>
        <w:rPr>
          <w:rFonts w:ascii="Arial" w:hAnsi="Arial"/>
          <w:b/>
          <w:sz w:val="20"/>
        </w:rPr>
      </w:pPr>
    </w:p>
    <w:p w14:paraId="40D2E2B3" w14:textId="77777777" w:rsidR="00B2615F" w:rsidRPr="007F6EF6" w:rsidRDefault="00B2615F"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Prerequisite and co-requisite modules</w:t>
      </w:r>
    </w:p>
    <w:p w14:paraId="754FBB53" w14:textId="6C04F538" w:rsidR="005E3FA7" w:rsidRPr="007F6EF6" w:rsidRDefault="00D0074E" w:rsidP="007F6EF6">
      <w:pPr>
        <w:spacing w:after="120" w:line="240" w:lineRule="auto"/>
        <w:ind w:left="426" w:right="260"/>
        <w:rPr>
          <w:rFonts w:ascii="Arial" w:hAnsi="Arial"/>
          <w:sz w:val="20"/>
        </w:rPr>
      </w:pPr>
      <w:r w:rsidRPr="007F6EF6">
        <w:rPr>
          <w:rFonts w:ascii="Arial" w:hAnsi="Arial"/>
          <w:sz w:val="20"/>
        </w:rPr>
        <w:t>None</w:t>
      </w:r>
    </w:p>
    <w:p w14:paraId="0ED2583D" w14:textId="77777777" w:rsidR="005E3FA7" w:rsidRPr="007F6EF6" w:rsidRDefault="005E3FA7" w:rsidP="007F6EF6">
      <w:pPr>
        <w:spacing w:after="120" w:line="240" w:lineRule="auto"/>
        <w:ind w:left="426" w:right="260"/>
        <w:rPr>
          <w:rFonts w:ascii="Arial" w:hAnsi="Arial"/>
          <w:b/>
          <w:sz w:val="20"/>
        </w:rPr>
      </w:pPr>
    </w:p>
    <w:p w14:paraId="368FE404"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The programmes of study to which the module contributes</w:t>
      </w:r>
    </w:p>
    <w:p w14:paraId="492B4EB6" w14:textId="15406420" w:rsidR="009A2D37" w:rsidRPr="007F6EF6" w:rsidRDefault="00D0074E" w:rsidP="007F6EF6">
      <w:pPr>
        <w:spacing w:after="120" w:line="240" w:lineRule="auto"/>
        <w:ind w:left="426" w:right="260"/>
        <w:rPr>
          <w:rFonts w:ascii="Arial" w:hAnsi="Arial"/>
          <w:sz w:val="20"/>
        </w:rPr>
      </w:pPr>
      <w:r w:rsidRPr="007F6EF6">
        <w:rPr>
          <w:rFonts w:ascii="Arial" w:hAnsi="Arial"/>
          <w:sz w:val="20"/>
        </w:rPr>
        <w:t>All single and joint hono</w:t>
      </w:r>
      <w:r>
        <w:rPr>
          <w:rFonts w:ascii="Arial" w:hAnsi="Arial" w:cs="Arial"/>
          <w:iCs/>
          <w:sz w:val="20"/>
          <w:szCs w:val="20"/>
        </w:rPr>
        <w:t>u</w:t>
      </w:r>
      <w:r w:rsidRPr="002D1AD8">
        <w:rPr>
          <w:rFonts w:ascii="Arial" w:hAnsi="Arial"/>
          <w:sz w:val="20"/>
        </w:rPr>
        <w:t>rs Law programmes</w:t>
      </w:r>
    </w:p>
    <w:p w14:paraId="1D776D1E" w14:textId="77777777" w:rsidR="00C07A56" w:rsidRPr="007F6EF6" w:rsidRDefault="00C07A56" w:rsidP="007F6EF6">
      <w:pPr>
        <w:spacing w:after="120" w:line="240" w:lineRule="auto"/>
        <w:ind w:left="426" w:right="260"/>
        <w:rPr>
          <w:rFonts w:ascii="Arial" w:hAnsi="Arial"/>
          <w:sz w:val="20"/>
        </w:rPr>
      </w:pPr>
    </w:p>
    <w:p w14:paraId="09A1D8F1" w14:textId="137EA37C" w:rsidR="009A2D37" w:rsidRPr="007F6EF6" w:rsidRDefault="009A2D37" w:rsidP="007F6EF6">
      <w:pPr>
        <w:numPr>
          <w:ilvl w:val="0"/>
          <w:numId w:val="1"/>
        </w:numPr>
        <w:spacing w:after="120" w:line="240" w:lineRule="auto"/>
        <w:ind w:left="426" w:right="260" w:hanging="426"/>
        <w:rPr>
          <w:rFonts w:ascii="Arial" w:hAnsi="Arial"/>
          <w:b/>
          <w:sz w:val="20"/>
        </w:rPr>
      </w:pPr>
      <w:r w:rsidRPr="007F6EF6">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7F6EF6">
        <w:rPr>
          <w:rFonts w:ascii="Arial" w:hAnsi="Arial"/>
          <w:b/>
          <w:sz w:val="20"/>
        </w:rPr>
        <w:t xml:space="preserve">On </w:t>
      </w:r>
      <w:r w:rsidR="00C729D7" w:rsidRPr="00373ACB">
        <w:rPr>
          <w:rFonts w:ascii="Arial" w:hAnsi="Arial" w:cs="Arial"/>
          <w:b/>
          <w:sz w:val="20"/>
          <w:szCs w:val="20"/>
        </w:rPr>
        <w:t>successfully completing the</w:t>
      </w:r>
      <w:r w:rsidR="00C729D7" w:rsidRPr="007F6EF6">
        <w:rPr>
          <w:rFonts w:ascii="Arial" w:hAnsi="Arial"/>
          <w:b/>
          <w:sz w:val="20"/>
        </w:rPr>
        <w:t xml:space="preserve"> module students will be able to:</w:t>
      </w:r>
    </w:p>
    <w:p w14:paraId="210C3C24" w14:textId="7C528DFB" w:rsidR="00380EAE" w:rsidRPr="00373ACB" w:rsidRDefault="00380EAE" w:rsidP="0066061A">
      <w:pPr>
        <w:spacing w:after="120" w:line="240" w:lineRule="auto"/>
        <w:ind w:left="426" w:right="260"/>
        <w:rPr>
          <w:rFonts w:ascii="Arial" w:hAnsi="Arial" w:cs="Arial"/>
          <w:b/>
          <w:sz w:val="20"/>
          <w:szCs w:val="20"/>
        </w:rPr>
      </w:pPr>
    </w:p>
    <w:p w14:paraId="6D6BF975" w14:textId="77777777"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Employ a range of theoretical approaches to understanding law, morality, and social change, by exploring diverse perspectives, and selected case studies.</w:t>
      </w:r>
    </w:p>
    <w:p w14:paraId="624DE92D" w14:textId="2D2DF221"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w:t>
      </w:r>
      <w:r w:rsidR="00D0074E" w:rsidRPr="007F6EF6">
        <w:rPr>
          <w:rFonts w:ascii="Arial" w:hAnsi="Arial"/>
          <w:sz w:val="20"/>
        </w:rPr>
        <w:t xml:space="preserve"> independent, critical thinking on the history, and social and political character of legal change.</w:t>
      </w:r>
    </w:p>
    <w:p w14:paraId="61F73DEF" w14:textId="40D0700F"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Reflect upon and analyse the moral and ethical content and impact of law as it impacts on social change.</w:t>
      </w:r>
    </w:p>
    <w:p w14:paraId="650FEAD0" w14:textId="1767C03A"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 xml:space="preserve">Demonstrate advanced research and writing skills </w:t>
      </w:r>
    </w:p>
    <w:p w14:paraId="2EB02A78" w14:textId="02461D35"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Engage in a critical discussion of the nature, function and effects of law as it has been, is, ought to and/or might be expressed in the bringing about of social change</w:t>
      </w:r>
    </w:p>
    <w:p w14:paraId="375A0F91" w14:textId="56DB2D34" w:rsidR="008A4BCA" w:rsidRPr="007F6EF6" w:rsidRDefault="00D0074E" w:rsidP="00BE606A">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D0074E">
        <w:rPr>
          <w:rFonts w:ascii="Arial" w:hAnsi="Arial" w:cs="Arial"/>
          <w:sz w:val="20"/>
          <w:szCs w:val="20"/>
        </w:rPr>
        <w:t>ndertake</w:t>
      </w:r>
      <w:r w:rsidRPr="007F6EF6">
        <w:rPr>
          <w:rFonts w:ascii="Arial" w:hAnsi="Arial"/>
          <w:sz w:val="20"/>
        </w:rPr>
        <w:t xml:space="preserve"> explorations, demonstrations, critical evaluations and engagements in the context of moral discourse, social struggle, conflict resolution and social integration</w:t>
      </w:r>
    </w:p>
    <w:p w14:paraId="37A81D57" w14:textId="77777777" w:rsidR="00EA652B"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w:t>
      </w:r>
      <w:r w:rsidRPr="007F6EF6">
        <w:rPr>
          <w:rFonts w:ascii="Arial" w:hAnsi="Arial"/>
          <w:sz w:val="20"/>
        </w:rPr>
        <w:t>emonstrate an awareness of the economic, political and/or social implications of legal forms and remedies in the pursuit of social change</w:t>
      </w:r>
      <w:r>
        <w:rPr>
          <w:rFonts w:ascii="Arial" w:hAnsi="Arial"/>
          <w:sz w:val="20"/>
        </w:rPr>
        <w:t>.</w:t>
      </w:r>
    </w:p>
    <w:p w14:paraId="1513FC94" w14:textId="77777777" w:rsidR="00373ACB" w:rsidRPr="007F6EF6" w:rsidRDefault="00373ACB" w:rsidP="007F6EF6">
      <w:pPr>
        <w:pStyle w:val="ListParagraph"/>
        <w:spacing w:after="120" w:line="240" w:lineRule="auto"/>
        <w:ind w:left="851" w:right="260"/>
        <w:rPr>
          <w:rFonts w:ascii="Arial" w:hAnsi="Arial"/>
          <w:sz w:val="20"/>
        </w:rPr>
      </w:pPr>
    </w:p>
    <w:p w14:paraId="3ACD7782" w14:textId="42EA6C3D" w:rsidR="00380EAE" w:rsidRPr="007F6EF6" w:rsidRDefault="009A2D37" w:rsidP="007F6EF6">
      <w:pPr>
        <w:numPr>
          <w:ilvl w:val="0"/>
          <w:numId w:val="1"/>
        </w:numPr>
        <w:spacing w:after="120" w:line="240" w:lineRule="auto"/>
        <w:ind w:left="426" w:right="260" w:hanging="426"/>
        <w:rPr>
          <w:rFonts w:ascii="Arial" w:hAnsi="Arial"/>
          <w:b/>
          <w:sz w:val="20"/>
        </w:rPr>
      </w:pPr>
      <w:r w:rsidRPr="007F6EF6">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EA652B">
        <w:rPr>
          <w:rFonts w:ascii="Arial" w:hAnsi="Arial" w:cs="Arial"/>
          <w:b/>
          <w:sz w:val="20"/>
          <w:szCs w:val="20"/>
        </w:rPr>
        <w:t>be able to</w:t>
      </w:r>
      <w:r w:rsidR="00C729D7" w:rsidRPr="00373ACB">
        <w:rPr>
          <w:rFonts w:ascii="Arial" w:hAnsi="Arial" w:cs="Arial"/>
          <w:b/>
          <w:sz w:val="20"/>
          <w:szCs w:val="20"/>
        </w:rPr>
        <w:t>:</w:t>
      </w:r>
    </w:p>
    <w:p w14:paraId="776E8379" w14:textId="1A46B578" w:rsidR="00380EAE" w:rsidRPr="00380EAE" w:rsidRDefault="00380EAE" w:rsidP="0066061A">
      <w:pPr>
        <w:spacing w:after="120" w:line="240" w:lineRule="auto"/>
        <w:ind w:left="426" w:right="260"/>
        <w:rPr>
          <w:rFonts w:ascii="Arial" w:hAnsi="Arial" w:cs="Arial"/>
          <w:b/>
          <w:sz w:val="20"/>
          <w:szCs w:val="20"/>
        </w:rPr>
      </w:pPr>
    </w:p>
    <w:p w14:paraId="65B6C393" w14:textId="3D9D590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w:t>
      </w:r>
      <w:r w:rsidR="00D0074E" w:rsidRPr="007F6EF6">
        <w:rPr>
          <w:rFonts w:ascii="Arial" w:hAnsi="Arial"/>
          <w:sz w:val="20"/>
        </w:rPr>
        <w:t xml:space="preserve">evise and sustain </w:t>
      </w:r>
      <w:r>
        <w:rPr>
          <w:rFonts w:ascii="Arial" w:hAnsi="Arial"/>
          <w:sz w:val="20"/>
        </w:rPr>
        <w:t xml:space="preserve">an </w:t>
      </w:r>
      <w:r w:rsidR="00D0074E" w:rsidRPr="007F6EF6">
        <w:rPr>
          <w:rFonts w:ascii="Arial" w:hAnsi="Arial"/>
          <w:sz w:val="20"/>
        </w:rPr>
        <w:t>argument and present relevant knowledge and understanding in the form of reasoned argument</w:t>
      </w:r>
      <w:r>
        <w:rPr>
          <w:rFonts w:ascii="Arial" w:hAnsi="Arial"/>
          <w:sz w:val="20"/>
        </w:rPr>
        <w:t>.</w:t>
      </w:r>
    </w:p>
    <w:p w14:paraId="2F79B997" w14:textId="1063076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C</w:t>
      </w:r>
      <w:r w:rsidR="00D0074E" w:rsidRPr="007F6EF6">
        <w:rPr>
          <w:rFonts w:ascii="Arial" w:hAnsi="Arial"/>
          <w:sz w:val="20"/>
        </w:rPr>
        <w:t>arry out further research from a variety of sources including scholarly reviews and primary sources to inform a sustained and detailed argument</w:t>
      </w:r>
      <w:r>
        <w:rPr>
          <w:rFonts w:ascii="Arial" w:hAnsi="Arial"/>
          <w:sz w:val="20"/>
        </w:rPr>
        <w:t>.</w:t>
      </w:r>
    </w:p>
    <w:p w14:paraId="6BD1B1DD" w14:textId="1BC14EF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I</w:t>
      </w:r>
      <w:r w:rsidR="00D0074E" w:rsidRPr="007F6EF6">
        <w:rPr>
          <w:rFonts w:ascii="Arial" w:hAnsi="Arial"/>
          <w:sz w:val="20"/>
        </w:rPr>
        <w:t>dentify and evaluate legal and policy problems according to their historical, political and legal context</w:t>
      </w:r>
      <w:r>
        <w:rPr>
          <w:rFonts w:ascii="Arial" w:hAnsi="Arial"/>
          <w:sz w:val="20"/>
        </w:rPr>
        <w:t>.</w:t>
      </w:r>
    </w:p>
    <w:p w14:paraId="66A16D95" w14:textId="1082F16E"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A</w:t>
      </w:r>
      <w:r w:rsidR="00D0074E" w:rsidRPr="007F6EF6">
        <w:rPr>
          <w:rFonts w:ascii="Arial" w:hAnsi="Arial"/>
          <w:sz w:val="20"/>
        </w:rPr>
        <w:t>nalyse critically detailed conceptual current and historical material</w:t>
      </w:r>
      <w:r>
        <w:rPr>
          <w:rFonts w:ascii="Arial" w:hAnsi="Arial"/>
          <w:sz w:val="20"/>
        </w:rPr>
        <w:t xml:space="preserve">, and </w:t>
      </w:r>
      <w:r w:rsidR="00D0074E" w:rsidRPr="007F6EF6">
        <w:rPr>
          <w:rFonts w:ascii="Arial" w:hAnsi="Arial"/>
          <w:sz w:val="20"/>
        </w:rPr>
        <w:t>recognize and comment on the different positions that are taken in the literature surveyed</w:t>
      </w:r>
      <w:r>
        <w:rPr>
          <w:rFonts w:ascii="Arial" w:hAnsi="Arial"/>
          <w:sz w:val="20"/>
        </w:rPr>
        <w:t>.</w:t>
      </w:r>
    </w:p>
    <w:p w14:paraId="31F42C9C"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lastRenderedPageBreak/>
        <w:t>A synopsis of the curriculum</w:t>
      </w:r>
    </w:p>
    <w:p w14:paraId="15B383FB" w14:textId="5D6E9307" w:rsidR="00E07ED5" w:rsidRPr="00E07ED5" w:rsidRDefault="00E07ED5" w:rsidP="00BE606A">
      <w:pPr>
        <w:spacing w:after="120" w:line="240" w:lineRule="auto"/>
        <w:ind w:left="426" w:right="260"/>
        <w:jc w:val="both"/>
        <w:rPr>
          <w:rFonts w:ascii="Arial" w:hAnsi="Arial"/>
          <w:sz w:val="20"/>
        </w:rPr>
      </w:pPr>
      <w:r w:rsidRPr="00E07ED5">
        <w:rPr>
          <w:rFonts w:ascii="Arial" w:hAnsi="Arial"/>
          <w:sz w:val="20"/>
        </w:rPr>
        <w:t xml:space="preserve">This module investigates the relationship between law and social change, and explores the political, economic and social dynamics that affect this relationship over time. </w:t>
      </w:r>
      <w:r>
        <w:rPr>
          <w:rFonts w:ascii="Arial" w:hAnsi="Arial"/>
          <w:sz w:val="20"/>
        </w:rPr>
        <w:t>The module</w:t>
      </w:r>
      <w:r w:rsidRPr="00E07ED5">
        <w:rPr>
          <w:rFonts w:ascii="Arial" w:hAnsi="Arial"/>
          <w:sz w:val="20"/>
        </w:rPr>
        <w:t xml:space="preserve"> will consider questions such as:</w:t>
      </w:r>
    </w:p>
    <w:p w14:paraId="22DAFA2B" w14:textId="77777777" w:rsidR="00E07ED5" w:rsidRPr="00E07ED5" w:rsidRDefault="00E07ED5" w:rsidP="00BE606A">
      <w:pPr>
        <w:spacing w:after="120" w:line="240" w:lineRule="auto"/>
        <w:ind w:left="426" w:right="260"/>
        <w:jc w:val="both"/>
        <w:rPr>
          <w:rFonts w:ascii="Arial" w:hAnsi="Arial"/>
          <w:sz w:val="20"/>
        </w:rPr>
      </w:pPr>
    </w:p>
    <w:p w14:paraId="45BC101F"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Why is the law a terrain of social struggle?</w:t>
      </w:r>
    </w:p>
    <w:p w14:paraId="5AC3608F"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does the law respond and/or contribute to social change?</w:t>
      </w:r>
    </w:p>
    <w:p w14:paraId="145C2BFD"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 the values or worldviews that the law incorporates affect the legal advancement of social change?</w:t>
      </w:r>
    </w:p>
    <w:p w14:paraId="2F103AD0"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does the character of the law change in relation to different political, economic and social contexts?</w:t>
      </w:r>
    </w:p>
    <w:p w14:paraId="1CAD165B"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What are the obstacles and limitations to the law contributing to and creating social change? How is the context in which the law operates important in this analysis?</w:t>
      </w:r>
    </w:p>
    <w:p w14:paraId="373F5DE7"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can we engage with the law to pursue change towards social justice?</w:t>
      </w:r>
    </w:p>
    <w:p w14:paraId="15022D47" w14:textId="77777777" w:rsidR="00E07ED5" w:rsidRPr="00E07ED5" w:rsidRDefault="00E07ED5" w:rsidP="00BE606A">
      <w:pPr>
        <w:spacing w:after="120" w:line="240" w:lineRule="auto"/>
        <w:ind w:left="426" w:right="260"/>
        <w:jc w:val="both"/>
        <w:rPr>
          <w:rFonts w:ascii="Arial" w:hAnsi="Arial"/>
          <w:sz w:val="20"/>
        </w:rPr>
      </w:pPr>
    </w:p>
    <w:p w14:paraId="7F603948" w14:textId="4AC14495" w:rsidR="00D0074E" w:rsidRPr="007F6EF6" w:rsidRDefault="00E07ED5" w:rsidP="00BE606A">
      <w:pPr>
        <w:spacing w:after="120" w:line="240" w:lineRule="auto"/>
        <w:ind w:left="426" w:right="260"/>
        <w:jc w:val="both"/>
        <w:rPr>
          <w:rFonts w:ascii="Arial" w:hAnsi="Arial"/>
          <w:sz w:val="20"/>
        </w:rPr>
      </w:pPr>
      <w:r w:rsidRPr="00E07ED5">
        <w:rPr>
          <w:rFonts w:ascii="Arial" w:hAnsi="Arial"/>
          <w:sz w:val="20"/>
        </w:rPr>
        <w:t>The first part of the module examines the relationship between law and social change as addressed by key classical and contemporary social theorists. This exploration is then extended with an analysis of how and to what extent social movements can affect legal reform and eventually contribute to social change. The second part of the module investigates a number of concepts and areas in relation to which the approaches and ideas explored in the previous part can be applied, questioned, reframed or expanded. These concepts and areas are morality, democracy, globalisation, rights and citizenship, and the role of lega</w:t>
      </w:r>
      <w:r>
        <w:rPr>
          <w:rFonts w:ascii="Arial" w:hAnsi="Arial"/>
          <w:sz w:val="20"/>
        </w:rPr>
        <w:t>l professions in social change.</w:t>
      </w:r>
    </w:p>
    <w:p w14:paraId="31FE0A80" w14:textId="77777777" w:rsidR="00373ACB" w:rsidRPr="007F6EF6" w:rsidRDefault="00373ACB" w:rsidP="007F6EF6">
      <w:pPr>
        <w:spacing w:after="120" w:line="240" w:lineRule="auto"/>
        <w:ind w:left="426" w:right="260"/>
        <w:rPr>
          <w:rFonts w:ascii="Arial" w:hAnsi="Arial"/>
          <w:sz w:val="20"/>
        </w:rPr>
      </w:pPr>
    </w:p>
    <w:p w14:paraId="79E59CB3" w14:textId="32BC2490"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78B974D0" w14:textId="77777777" w:rsidR="002C18EE" w:rsidRPr="007F6EF6" w:rsidRDefault="002C18EE" w:rsidP="007F6EF6">
      <w:pPr>
        <w:spacing w:after="120" w:line="240" w:lineRule="auto"/>
        <w:ind w:left="426" w:right="260"/>
        <w:rPr>
          <w:rFonts w:ascii="Arial" w:hAnsi="Arial"/>
          <w:b/>
          <w:sz w:val="20"/>
        </w:rPr>
      </w:pPr>
    </w:p>
    <w:p w14:paraId="3DCAB606" w14:textId="2E591504" w:rsidR="00E07ED5" w:rsidRDefault="00E07ED5" w:rsidP="001E0BEF">
      <w:pPr>
        <w:pStyle w:val="ListParagraph"/>
        <w:numPr>
          <w:ilvl w:val="0"/>
          <w:numId w:val="13"/>
        </w:numPr>
        <w:spacing w:after="0" w:line="240" w:lineRule="auto"/>
        <w:ind w:right="260"/>
        <w:jc w:val="both"/>
        <w:rPr>
          <w:rFonts w:ascii="Arial" w:hAnsi="Arial"/>
          <w:sz w:val="20"/>
        </w:rPr>
      </w:pPr>
      <w:r w:rsidRPr="007F6EF6">
        <w:rPr>
          <w:rFonts w:ascii="Arial" w:hAnsi="Arial"/>
          <w:sz w:val="20"/>
        </w:rPr>
        <w:t>S</w:t>
      </w:r>
      <w:r>
        <w:rPr>
          <w:rFonts w:ascii="Arial" w:hAnsi="Arial"/>
          <w:sz w:val="20"/>
        </w:rPr>
        <w:t>.</w:t>
      </w:r>
      <w:r w:rsidRPr="007F6EF6">
        <w:rPr>
          <w:rFonts w:ascii="Arial" w:hAnsi="Arial"/>
          <w:sz w:val="20"/>
        </w:rPr>
        <w:t xml:space="preserve"> L</w:t>
      </w:r>
      <w:r>
        <w:rPr>
          <w:rFonts w:ascii="Arial" w:hAnsi="Arial"/>
          <w:sz w:val="20"/>
        </w:rPr>
        <w:t>.</w:t>
      </w:r>
      <w:r w:rsidRPr="007F6EF6">
        <w:rPr>
          <w:rFonts w:ascii="Arial" w:hAnsi="Arial"/>
          <w:sz w:val="20"/>
        </w:rPr>
        <w:t xml:space="preserve"> Roach </w:t>
      </w:r>
      <w:proofErr w:type="spellStart"/>
      <w:r w:rsidRPr="007F6EF6">
        <w:rPr>
          <w:rFonts w:ascii="Arial" w:hAnsi="Arial"/>
          <w:sz w:val="20"/>
        </w:rPr>
        <w:t>Anleu</w:t>
      </w:r>
      <w:proofErr w:type="spellEnd"/>
      <w:r w:rsidRPr="007F6EF6">
        <w:rPr>
          <w:rFonts w:ascii="Arial" w:hAnsi="Arial"/>
          <w:sz w:val="20"/>
        </w:rPr>
        <w:t xml:space="preserve">, </w:t>
      </w:r>
      <w:r>
        <w:rPr>
          <w:rFonts w:ascii="Arial" w:hAnsi="Arial"/>
          <w:sz w:val="20"/>
        </w:rPr>
        <w:t>‘</w:t>
      </w:r>
      <w:r w:rsidRPr="007F6EF6">
        <w:rPr>
          <w:rFonts w:ascii="Arial" w:hAnsi="Arial"/>
          <w:sz w:val="20"/>
        </w:rPr>
        <w:t>Law and Social Change</w:t>
      </w:r>
      <w:r>
        <w:rPr>
          <w:rFonts w:ascii="Arial" w:hAnsi="Arial"/>
          <w:sz w:val="20"/>
        </w:rPr>
        <w:t>’</w:t>
      </w:r>
      <w:r w:rsidRPr="007F6EF6">
        <w:rPr>
          <w:rFonts w:ascii="Arial" w:hAnsi="Arial"/>
          <w:sz w:val="20"/>
        </w:rPr>
        <w:t>, Sage; 2nd Ed; 2010</w:t>
      </w:r>
    </w:p>
    <w:p w14:paraId="62B434F6" w14:textId="2D8672D0" w:rsidR="00E07ED5" w:rsidRPr="00E07ED5" w:rsidRDefault="00E07ED5" w:rsidP="001E0BEF">
      <w:pPr>
        <w:pStyle w:val="ListParagraph"/>
        <w:numPr>
          <w:ilvl w:val="0"/>
          <w:numId w:val="13"/>
        </w:numPr>
        <w:spacing w:after="0" w:line="240" w:lineRule="auto"/>
        <w:ind w:right="260"/>
        <w:jc w:val="both"/>
        <w:rPr>
          <w:rFonts w:ascii="Arial" w:hAnsi="Arial"/>
          <w:sz w:val="20"/>
        </w:rPr>
      </w:pPr>
      <w:r w:rsidRPr="00E07ED5">
        <w:rPr>
          <w:rFonts w:ascii="Arial" w:hAnsi="Arial"/>
          <w:sz w:val="20"/>
        </w:rPr>
        <w:t xml:space="preserve">R. </w:t>
      </w:r>
      <w:proofErr w:type="spellStart"/>
      <w:r w:rsidRPr="00E07ED5">
        <w:rPr>
          <w:rFonts w:ascii="Arial" w:hAnsi="Arial"/>
          <w:sz w:val="20"/>
        </w:rPr>
        <w:t>Mawani</w:t>
      </w:r>
      <w:proofErr w:type="spellEnd"/>
      <w:r w:rsidRPr="00E07ED5">
        <w:rPr>
          <w:rFonts w:ascii="Arial" w:hAnsi="Arial"/>
          <w:sz w:val="20"/>
        </w:rPr>
        <w:t xml:space="preserve">, ‘Law and Colonialism: Legacies and Lineages’ (chapter 27) in A. </w:t>
      </w:r>
      <w:proofErr w:type="spellStart"/>
      <w:r w:rsidRPr="00E07ED5">
        <w:rPr>
          <w:rFonts w:ascii="Arial" w:hAnsi="Arial"/>
          <w:sz w:val="20"/>
        </w:rPr>
        <w:t>Sarat</w:t>
      </w:r>
      <w:proofErr w:type="spellEnd"/>
      <w:r>
        <w:rPr>
          <w:rFonts w:ascii="Arial" w:hAnsi="Arial"/>
          <w:sz w:val="20"/>
        </w:rPr>
        <w:t xml:space="preserve"> </w:t>
      </w:r>
      <w:r w:rsidRPr="00E07ED5">
        <w:rPr>
          <w:rFonts w:ascii="Arial" w:hAnsi="Arial"/>
          <w:sz w:val="20"/>
        </w:rPr>
        <w:t xml:space="preserve">and P. </w:t>
      </w:r>
      <w:proofErr w:type="spellStart"/>
      <w:r w:rsidRPr="00E07ED5">
        <w:rPr>
          <w:rFonts w:ascii="Arial" w:hAnsi="Arial"/>
          <w:sz w:val="20"/>
        </w:rPr>
        <w:t>Ewick</w:t>
      </w:r>
      <w:proofErr w:type="spellEnd"/>
      <w:r w:rsidRPr="00E07ED5">
        <w:rPr>
          <w:rFonts w:ascii="Arial" w:hAnsi="Arial"/>
          <w:sz w:val="20"/>
        </w:rPr>
        <w:t xml:space="preserve"> (eds.) </w:t>
      </w:r>
      <w:r>
        <w:rPr>
          <w:rFonts w:ascii="Arial" w:hAnsi="Arial"/>
          <w:sz w:val="20"/>
        </w:rPr>
        <w:t>‘</w:t>
      </w:r>
      <w:r w:rsidRPr="00E07ED5">
        <w:rPr>
          <w:rFonts w:ascii="Arial" w:hAnsi="Arial"/>
          <w:sz w:val="20"/>
        </w:rPr>
        <w:t>The Handbook of Law and Society</w:t>
      </w:r>
      <w:r>
        <w:rPr>
          <w:rFonts w:ascii="Arial" w:hAnsi="Arial"/>
          <w:sz w:val="20"/>
        </w:rPr>
        <w:t>’</w:t>
      </w:r>
      <w:r w:rsidRPr="00E07ED5">
        <w:rPr>
          <w:rFonts w:ascii="Arial" w:hAnsi="Arial"/>
          <w:sz w:val="20"/>
        </w:rPr>
        <w:t>, Malden: Wiley-Blackwell, 2015.</w:t>
      </w:r>
    </w:p>
    <w:p w14:paraId="49D8B704" w14:textId="008BC50F" w:rsidR="00E07ED5" w:rsidRPr="00E07ED5"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S. L. Cummings, ‘Empirical Studies of Law and Social Change: What is the Field?</w:t>
      </w:r>
      <w:r>
        <w:rPr>
          <w:rFonts w:ascii="Arial" w:hAnsi="Arial"/>
          <w:sz w:val="20"/>
        </w:rPr>
        <w:t xml:space="preserve"> </w:t>
      </w:r>
      <w:r w:rsidRPr="00E07ED5">
        <w:rPr>
          <w:rFonts w:ascii="Arial" w:hAnsi="Arial"/>
          <w:sz w:val="20"/>
        </w:rPr>
        <w:t>What are the Questions?’, Wis. L. Rev. 171, 2013.</w:t>
      </w:r>
    </w:p>
    <w:p w14:paraId="11362EE4" w14:textId="5415D5A2" w:rsidR="00E07ED5" w:rsidRP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S. Falk Moore, ‘Law and Social Change: The Semi-Autonomous Social Field as an</w:t>
      </w:r>
      <w:r w:rsidR="00C94847">
        <w:rPr>
          <w:rFonts w:ascii="Arial" w:hAnsi="Arial"/>
          <w:sz w:val="20"/>
        </w:rPr>
        <w:t xml:space="preserve"> </w:t>
      </w:r>
      <w:r w:rsidRPr="00C94847">
        <w:rPr>
          <w:rFonts w:ascii="Arial" w:hAnsi="Arial"/>
          <w:sz w:val="20"/>
        </w:rPr>
        <w:t>Appropriate Subject of Study’, Law and Society Review 7(1), 1972.</w:t>
      </w:r>
    </w:p>
    <w:p w14:paraId="47597193" w14:textId="06DE9C50" w:rsidR="00E07ED5" w:rsidRP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P. Fitzpatrick, ‘Being Social in Socio-Legal Studies’ 22(1), Journal of Law and</w:t>
      </w:r>
      <w:r w:rsidR="00C94847">
        <w:rPr>
          <w:rFonts w:ascii="Arial" w:hAnsi="Arial"/>
          <w:sz w:val="20"/>
        </w:rPr>
        <w:t xml:space="preserve"> </w:t>
      </w:r>
      <w:r w:rsidRPr="00C94847">
        <w:rPr>
          <w:rFonts w:ascii="Arial" w:hAnsi="Arial"/>
          <w:sz w:val="20"/>
        </w:rPr>
        <w:t>Society, 1995.</w:t>
      </w:r>
    </w:p>
    <w:p w14:paraId="40F1080D" w14:textId="18EE851D" w:rsidR="00E07ED5" w:rsidRPr="00E07ED5" w:rsidRDefault="00E07ED5" w:rsidP="00BE606A">
      <w:pPr>
        <w:pStyle w:val="ListParagraph"/>
        <w:numPr>
          <w:ilvl w:val="0"/>
          <w:numId w:val="14"/>
        </w:numPr>
        <w:spacing w:after="120" w:line="240" w:lineRule="auto"/>
        <w:ind w:right="260"/>
        <w:jc w:val="both"/>
        <w:rPr>
          <w:rFonts w:ascii="Arial" w:hAnsi="Arial"/>
          <w:sz w:val="20"/>
        </w:rPr>
      </w:pPr>
      <w:r>
        <w:rPr>
          <w:rFonts w:ascii="Arial" w:hAnsi="Arial"/>
          <w:sz w:val="20"/>
        </w:rPr>
        <w:t xml:space="preserve">S. M. </w:t>
      </w:r>
      <w:proofErr w:type="spellStart"/>
      <w:r>
        <w:rPr>
          <w:rFonts w:ascii="Arial" w:hAnsi="Arial"/>
          <w:sz w:val="20"/>
        </w:rPr>
        <w:t>Sterett</w:t>
      </w:r>
      <w:proofErr w:type="spellEnd"/>
      <w:r>
        <w:rPr>
          <w:rFonts w:ascii="Arial" w:hAnsi="Arial"/>
          <w:sz w:val="20"/>
        </w:rPr>
        <w:t xml:space="preserve">, </w:t>
      </w:r>
      <w:r w:rsidR="00C94847">
        <w:rPr>
          <w:rFonts w:ascii="Arial" w:hAnsi="Arial"/>
          <w:sz w:val="20"/>
        </w:rPr>
        <w:t>‘</w:t>
      </w:r>
      <w:r w:rsidRPr="00E07ED5">
        <w:rPr>
          <w:rFonts w:ascii="Arial" w:hAnsi="Arial"/>
          <w:sz w:val="20"/>
        </w:rPr>
        <w:t>What is Law and Society? Definitional Disputes</w:t>
      </w:r>
      <w:r w:rsidR="00C94847">
        <w:rPr>
          <w:rFonts w:ascii="Arial" w:hAnsi="Arial"/>
          <w:sz w:val="20"/>
        </w:rPr>
        <w:t>’</w:t>
      </w:r>
      <w:r w:rsidRPr="00E07ED5">
        <w:rPr>
          <w:rFonts w:ascii="Arial" w:hAnsi="Arial"/>
          <w:sz w:val="20"/>
        </w:rPr>
        <w:t xml:space="preserve"> (chapter 1) in A.</w:t>
      </w:r>
      <w:r>
        <w:rPr>
          <w:rFonts w:ascii="Arial" w:hAnsi="Arial"/>
          <w:sz w:val="20"/>
        </w:rPr>
        <w:t xml:space="preserve"> </w:t>
      </w:r>
      <w:proofErr w:type="spellStart"/>
      <w:r w:rsidRPr="00E07ED5">
        <w:rPr>
          <w:rFonts w:ascii="Arial" w:hAnsi="Arial"/>
          <w:sz w:val="20"/>
        </w:rPr>
        <w:t>Sarat</w:t>
      </w:r>
      <w:proofErr w:type="spellEnd"/>
      <w:r w:rsidRPr="00E07ED5">
        <w:rPr>
          <w:rFonts w:ascii="Arial" w:hAnsi="Arial"/>
          <w:sz w:val="20"/>
        </w:rPr>
        <w:t xml:space="preserve"> and P. </w:t>
      </w:r>
      <w:proofErr w:type="spellStart"/>
      <w:r w:rsidRPr="00E07ED5">
        <w:rPr>
          <w:rFonts w:ascii="Arial" w:hAnsi="Arial"/>
          <w:sz w:val="20"/>
        </w:rPr>
        <w:t>Ewick</w:t>
      </w:r>
      <w:proofErr w:type="spellEnd"/>
      <w:r w:rsidRPr="00E07ED5">
        <w:rPr>
          <w:rFonts w:ascii="Arial" w:hAnsi="Arial"/>
          <w:sz w:val="20"/>
        </w:rPr>
        <w:t xml:space="preserve"> (eds.), </w:t>
      </w:r>
      <w:r w:rsidR="00C94847">
        <w:rPr>
          <w:rFonts w:ascii="Arial" w:hAnsi="Arial"/>
          <w:sz w:val="20"/>
        </w:rPr>
        <w:t>‘</w:t>
      </w:r>
      <w:r w:rsidRPr="00E07ED5">
        <w:rPr>
          <w:rFonts w:ascii="Arial" w:hAnsi="Arial"/>
          <w:sz w:val="20"/>
        </w:rPr>
        <w:t>The Handbook of Law and Society</w:t>
      </w:r>
      <w:r w:rsidR="00C94847">
        <w:rPr>
          <w:rFonts w:ascii="Arial" w:hAnsi="Arial"/>
          <w:sz w:val="20"/>
        </w:rPr>
        <w:t>’</w:t>
      </w:r>
      <w:r w:rsidRPr="00E07ED5">
        <w:rPr>
          <w:rFonts w:ascii="Arial" w:hAnsi="Arial"/>
          <w:sz w:val="20"/>
        </w:rPr>
        <w:t>, Malden: Wiley</w:t>
      </w:r>
      <w:r>
        <w:rPr>
          <w:rFonts w:ascii="Arial" w:hAnsi="Arial"/>
          <w:sz w:val="20"/>
        </w:rPr>
        <w:t>-</w:t>
      </w:r>
      <w:r w:rsidRPr="00E07ED5">
        <w:rPr>
          <w:rFonts w:ascii="Arial" w:hAnsi="Arial"/>
          <w:sz w:val="20"/>
        </w:rPr>
        <w:t>Blackwell,</w:t>
      </w:r>
      <w:r>
        <w:rPr>
          <w:rFonts w:ascii="Arial" w:hAnsi="Arial"/>
          <w:sz w:val="20"/>
        </w:rPr>
        <w:t xml:space="preserve"> </w:t>
      </w:r>
      <w:r w:rsidRPr="00E07ED5">
        <w:rPr>
          <w:rFonts w:ascii="Arial" w:hAnsi="Arial"/>
          <w:sz w:val="20"/>
        </w:rPr>
        <w:t>2015.</w:t>
      </w:r>
    </w:p>
    <w:p w14:paraId="038DB924" w14:textId="398894CF" w:rsidR="00C94847" w:rsidRPr="00C94847" w:rsidRDefault="00C94847"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B. Z. </w:t>
      </w:r>
      <w:proofErr w:type="spellStart"/>
      <w:r w:rsidRPr="00E07ED5">
        <w:rPr>
          <w:rFonts w:ascii="Arial" w:hAnsi="Arial"/>
          <w:sz w:val="20"/>
        </w:rPr>
        <w:t>Tamanaha</w:t>
      </w:r>
      <w:proofErr w:type="spellEnd"/>
      <w:r w:rsidRPr="00E07ED5">
        <w:rPr>
          <w:rFonts w:ascii="Arial" w:hAnsi="Arial"/>
          <w:sz w:val="20"/>
        </w:rPr>
        <w:t xml:space="preserve">, </w:t>
      </w:r>
      <w:r>
        <w:rPr>
          <w:rFonts w:ascii="Arial" w:hAnsi="Arial"/>
          <w:sz w:val="20"/>
        </w:rPr>
        <w:t>‘</w:t>
      </w:r>
      <w:r w:rsidRPr="00E07ED5">
        <w:rPr>
          <w:rFonts w:ascii="Arial" w:hAnsi="Arial"/>
          <w:sz w:val="20"/>
        </w:rPr>
        <w:t>A General Jurisprudence of Law and Society</w:t>
      </w:r>
      <w:r>
        <w:rPr>
          <w:rFonts w:ascii="Arial" w:hAnsi="Arial"/>
          <w:sz w:val="20"/>
        </w:rPr>
        <w:t>’</w:t>
      </w:r>
      <w:r w:rsidRPr="00E07ED5">
        <w:rPr>
          <w:rFonts w:ascii="Arial" w:hAnsi="Arial"/>
          <w:sz w:val="20"/>
        </w:rPr>
        <w:t>, Oxford: Oxford</w:t>
      </w:r>
      <w:r>
        <w:rPr>
          <w:rFonts w:ascii="Arial" w:hAnsi="Arial"/>
          <w:sz w:val="20"/>
        </w:rPr>
        <w:t xml:space="preserve"> </w:t>
      </w:r>
      <w:r w:rsidRPr="00C94847">
        <w:rPr>
          <w:rFonts w:ascii="Arial" w:hAnsi="Arial"/>
          <w:sz w:val="20"/>
        </w:rPr>
        <w:t>University Press, 2001.</w:t>
      </w:r>
    </w:p>
    <w:p w14:paraId="6F0446CF" w14:textId="01329FCE" w:rsidR="00C94847" w:rsidRPr="00C94847" w:rsidRDefault="00C94847"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A. Sen, </w:t>
      </w:r>
      <w:r>
        <w:rPr>
          <w:rFonts w:ascii="Arial" w:hAnsi="Arial"/>
          <w:sz w:val="20"/>
        </w:rPr>
        <w:t>‘</w:t>
      </w:r>
      <w:r w:rsidRPr="00E07ED5">
        <w:rPr>
          <w:rFonts w:ascii="Arial" w:hAnsi="Arial"/>
          <w:sz w:val="20"/>
        </w:rPr>
        <w:t>What is the Role of Legal and Judicial Reform in The Development</w:t>
      </w:r>
      <w:r>
        <w:rPr>
          <w:rFonts w:ascii="Arial" w:hAnsi="Arial"/>
          <w:sz w:val="20"/>
        </w:rPr>
        <w:t xml:space="preserve"> </w:t>
      </w:r>
      <w:r w:rsidRPr="00C94847">
        <w:rPr>
          <w:rFonts w:ascii="Arial" w:hAnsi="Arial"/>
          <w:sz w:val="20"/>
        </w:rPr>
        <w:t>Process?</w:t>
      </w:r>
      <w:r>
        <w:rPr>
          <w:rFonts w:ascii="Arial" w:hAnsi="Arial"/>
          <w:sz w:val="20"/>
        </w:rPr>
        <w:t>’</w:t>
      </w:r>
      <w:r w:rsidRPr="00C94847">
        <w:rPr>
          <w:rFonts w:ascii="Arial" w:hAnsi="Arial"/>
          <w:sz w:val="20"/>
        </w:rPr>
        <w:t>, World Bank Legal Conference, Washington DC, 5 June 2000</w:t>
      </w:r>
    </w:p>
    <w:p w14:paraId="230ADF95" w14:textId="3B5C5249" w:rsid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B. Z. </w:t>
      </w:r>
      <w:proofErr w:type="spellStart"/>
      <w:r w:rsidRPr="00E07ED5">
        <w:rPr>
          <w:rFonts w:ascii="Arial" w:hAnsi="Arial"/>
          <w:sz w:val="20"/>
        </w:rPr>
        <w:t>Tamanaha</w:t>
      </w:r>
      <w:proofErr w:type="spellEnd"/>
      <w:r w:rsidRPr="00E07ED5">
        <w:rPr>
          <w:rFonts w:ascii="Arial" w:hAnsi="Arial"/>
          <w:sz w:val="20"/>
        </w:rPr>
        <w:t xml:space="preserve">, </w:t>
      </w:r>
      <w:r w:rsidR="00C94847">
        <w:rPr>
          <w:rFonts w:ascii="Arial" w:hAnsi="Arial"/>
          <w:sz w:val="20"/>
        </w:rPr>
        <w:t>‘</w:t>
      </w:r>
      <w:r w:rsidRPr="00E07ED5">
        <w:rPr>
          <w:rFonts w:ascii="Arial" w:hAnsi="Arial"/>
          <w:sz w:val="20"/>
        </w:rPr>
        <w:t>Law and Society</w:t>
      </w:r>
      <w:r w:rsidR="00C94847">
        <w:rPr>
          <w:rFonts w:ascii="Arial" w:hAnsi="Arial"/>
          <w:sz w:val="20"/>
        </w:rPr>
        <w:t>’</w:t>
      </w:r>
      <w:r w:rsidRPr="00E07ED5">
        <w:rPr>
          <w:rFonts w:ascii="Arial" w:hAnsi="Arial"/>
          <w:sz w:val="20"/>
        </w:rPr>
        <w:t xml:space="preserve"> in Dennis Patterson (ed.) </w:t>
      </w:r>
      <w:r w:rsidR="00C94847">
        <w:rPr>
          <w:rFonts w:ascii="Arial" w:hAnsi="Arial"/>
          <w:sz w:val="20"/>
        </w:rPr>
        <w:t>‘</w:t>
      </w:r>
      <w:r w:rsidRPr="00E07ED5">
        <w:rPr>
          <w:rFonts w:ascii="Arial" w:hAnsi="Arial"/>
          <w:sz w:val="20"/>
        </w:rPr>
        <w:t>A Companion to</w:t>
      </w:r>
      <w:r>
        <w:rPr>
          <w:rFonts w:ascii="Arial" w:hAnsi="Arial"/>
          <w:sz w:val="20"/>
        </w:rPr>
        <w:t xml:space="preserve"> </w:t>
      </w:r>
      <w:r w:rsidRPr="00E07ED5">
        <w:rPr>
          <w:rFonts w:ascii="Arial" w:hAnsi="Arial"/>
          <w:sz w:val="20"/>
        </w:rPr>
        <w:t>Philosophy of Law and Legal Theory</w:t>
      </w:r>
      <w:r w:rsidR="00C94847">
        <w:rPr>
          <w:rFonts w:ascii="Arial" w:hAnsi="Arial"/>
          <w:sz w:val="20"/>
        </w:rPr>
        <w:t>’</w:t>
      </w:r>
      <w:r w:rsidRPr="00E07ED5">
        <w:rPr>
          <w:rFonts w:ascii="Arial" w:hAnsi="Arial"/>
          <w:sz w:val="20"/>
        </w:rPr>
        <w:t>,</w:t>
      </w:r>
      <w:r w:rsidR="00C94847">
        <w:rPr>
          <w:rFonts w:ascii="Arial" w:hAnsi="Arial"/>
          <w:sz w:val="20"/>
        </w:rPr>
        <w:t xml:space="preserve"> Malden: Wiley-Blackwell, 2010.</w:t>
      </w:r>
    </w:p>
    <w:p w14:paraId="193319D8" w14:textId="090DABCD" w:rsidR="00E07ED5" w:rsidRPr="00C94847" w:rsidRDefault="00C94847" w:rsidP="00BE606A">
      <w:pPr>
        <w:pStyle w:val="ListParagraph"/>
        <w:numPr>
          <w:ilvl w:val="0"/>
          <w:numId w:val="14"/>
        </w:numPr>
        <w:spacing w:after="120" w:line="240" w:lineRule="auto"/>
        <w:ind w:right="260"/>
        <w:jc w:val="both"/>
        <w:rPr>
          <w:rFonts w:ascii="Arial" w:hAnsi="Arial"/>
          <w:sz w:val="20"/>
        </w:rPr>
      </w:pPr>
      <w:r>
        <w:rPr>
          <w:rFonts w:ascii="Arial" w:hAnsi="Arial"/>
          <w:sz w:val="20"/>
        </w:rPr>
        <w:t>M. Travers, ‘</w:t>
      </w:r>
      <w:r w:rsidRPr="00E07ED5">
        <w:rPr>
          <w:rFonts w:ascii="Arial" w:hAnsi="Arial"/>
          <w:sz w:val="20"/>
        </w:rPr>
        <w:t>Introduction’ in Understanding Law and Society</w:t>
      </w:r>
      <w:r>
        <w:rPr>
          <w:rFonts w:ascii="Arial" w:hAnsi="Arial"/>
          <w:sz w:val="20"/>
        </w:rPr>
        <w:t>’</w:t>
      </w:r>
      <w:r w:rsidRPr="00E07ED5">
        <w:rPr>
          <w:rFonts w:ascii="Arial" w:hAnsi="Arial"/>
          <w:sz w:val="20"/>
        </w:rPr>
        <w:t>, London: Routledge,</w:t>
      </w:r>
      <w:r>
        <w:rPr>
          <w:rFonts w:ascii="Arial" w:hAnsi="Arial"/>
          <w:sz w:val="20"/>
        </w:rPr>
        <w:t xml:space="preserve"> </w:t>
      </w:r>
      <w:r w:rsidRPr="00E07ED5">
        <w:rPr>
          <w:rFonts w:ascii="Arial" w:hAnsi="Arial"/>
          <w:sz w:val="20"/>
        </w:rPr>
        <w:t>2010.</w:t>
      </w:r>
    </w:p>
    <w:p w14:paraId="160E3499" w14:textId="77777777" w:rsidR="00DE4F08" w:rsidRPr="007F6EF6" w:rsidRDefault="00DE4F08" w:rsidP="007F6EF6">
      <w:pPr>
        <w:spacing w:after="120" w:line="240" w:lineRule="auto"/>
        <w:ind w:left="426" w:right="260"/>
        <w:rPr>
          <w:rFonts w:ascii="Arial" w:hAnsi="Arial"/>
          <w:sz w:val="20"/>
        </w:rPr>
      </w:pPr>
    </w:p>
    <w:p w14:paraId="3A0482D0"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7B856600" w14:textId="77777777" w:rsidR="00C94847" w:rsidRDefault="00C94847" w:rsidP="007F6EF6">
      <w:pPr>
        <w:spacing w:after="120" w:line="240" w:lineRule="auto"/>
        <w:ind w:left="426" w:right="260"/>
        <w:rPr>
          <w:rFonts w:ascii="Arial" w:hAnsi="Arial"/>
          <w:sz w:val="20"/>
        </w:rPr>
      </w:pPr>
      <w:r>
        <w:rPr>
          <w:rFonts w:ascii="Arial" w:hAnsi="Arial"/>
          <w:sz w:val="20"/>
        </w:rPr>
        <w:t>Total study hours: 150</w:t>
      </w:r>
    </w:p>
    <w:p w14:paraId="64154B97" w14:textId="77777777" w:rsidR="00C94847" w:rsidRDefault="00C94847" w:rsidP="007F6EF6">
      <w:pPr>
        <w:spacing w:after="120" w:line="240" w:lineRule="auto"/>
        <w:ind w:left="426" w:right="260"/>
        <w:rPr>
          <w:rFonts w:ascii="Arial" w:hAnsi="Arial"/>
          <w:sz w:val="20"/>
        </w:rPr>
      </w:pPr>
      <w:r>
        <w:rPr>
          <w:rFonts w:ascii="Arial" w:hAnsi="Arial"/>
          <w:sz w:val="20"/>
        </w:rPr>
        <w:t>Contact hours: 20</w:t>
      </w:r>
    </w:p>
    <w:p w14:paraId="69C1A9BF" w14:textId="77777777" w:rsidR="00C94847" w:rsidRDefault="00C94847" w:rsidP="00C94847">
      <w:pPr>
        <w:spacing w:after="120" w:line="240" w:lineRule="auto"/>
        <w:ind w:left="426" w:right="260"/>
        <w:rPr>
          <w:rFonts w:ascii="Arial" w:hAnsi="Arial"/>
          <w:sz w:val="20"/>
        </w:rPr>
      </w:pPr>
      <w:r>
        <w:rPr>
          <w:rFonts w:ascii="Arial" w:hAnsi="Arial"/>
          <w:sz w:val="20"/>
        </w:rPr>
        <w:t>Private study hours: 130</w:t>
      </w:r>
    </w:p>
    <w:p w14:paraId="0E56D950" w14:textId="77777777" w:rsidR="00C94847" w:rsidRDefault="00C94847" w:rsidP="00C94847">
      <w:pPr>
        <w:spacing w:after="120" w:line="240" w:lineRule="auto"/>
        <w:ind w:left="426" w:right="260"/>
        <w:rPr>
          <w:rFonts w:ascii="Arial" w:hAnsi="Arial"/>
          <w:sz w:val="20"/>
        </w:rPr>
      </w:pPr>
    </w:p>
    <w:p w14:paraId="1DEC2A01" w14:textId="77777777" w:rsidR="00A176A1" w:rsidRDefault="00A176A1">
      <w:pPr>
        <w:rPr>
          <w:rFonts w:ascii="Arial" w:hAnsi="Arial" w:cs="Arial"/>
          <w:b/>
          <w:sz w:val="20"/>
          <w:szCs w:val="20"/>
        </w:rPr>
      </w:pPr>
      <w:r>
        <w:rPr>
          <w:rFonts w:ascii="Arial" w:hAnsi="Arial" w:cs="Arial"/>
          <w:b/>
          <w:sz w:val="20"/>
          <w:szCs w:val="20"/>
        </w:rPr>
        <w:br w:type="page"/>
      </w:r>
    </w:p>
    <w:p w14:paraId="1A14BBE0" w14:textId="2EE83954" w:rsidR="00373ACB" w:rsidRPr="007F6EF6" w:rsidRDefault="00EF4933" w:rsidP="00C94847">
      <w:pPr>
        <w:pStyle w:val="ListParagraph"/>
        <w:numPr>
          <w:ilvl w:val="0"/>
          <w:numId w:val="1"/>
        </w:numPr>
        <w:ind w:left="426" w:hanging="426"/>
        <w:rPr>
          <w:b/>
          <w:i/>
        </w:rPr>
      </w:pPr>
      <w:r w:rsidRPr="00C94847">
        <w:rPr>
          <w:rFonts w:ascii="Arial" w:hAnsi="Arial" w:cs="Arial"/>
          <w:b/>
          <w:sz w:val="20"/>
          <w:szCs w:val="20"/>
        </w:rPr>
        <w:lastRenderedPageBreak/>
        <w:t>Assessment methods</w:t>
      </w:r>
      <w:r w:rsidR="006F3F8B" w:rsidRPr="00C94847">
        <w:rPr>
          <w:rFonts w:ascii="Arial" w:hAnsi="Arial" w:cs="Arial"/>
          <w:b/>
          <w:sz w:val="20"/>
          <w:szCs w:val="20"/>
        </w:rPr>
        <w:t>.</w:t>
      </w:r>
      <w:r w:rsidR="006F3F8B" w:rsidRPr="00373ACB">
        <w:rPr>
          <w:rFonts w:cs="Arial"/>
          <w:b/>
          <w:szCs w:val="20"/>
        </w:rPr>
        <w:br/>
      </w:r>
    </w:p>
    <w:p w14:paraId="2F51391B" w14:textId="317585AF" w:rsidR="00BE606A" w:rsidRPr="00BE606A" w:rsidRDefault="00BE606A" w:rsidP="007F6EF6">
      <w:pPr>
        <w:spacing w:after="120" w:line="240" w:lineRule="auto"/>
        <w:ind w:left="426" w:right="260"/>
        <w:rPr>
          <w:rFonts w:ascii="Arial" w:hAnsi="Arial"/>
          <w:sz w:val="20"/>
          <w:u w:val="single"/>
        </w:rPr>
      </w:pPr>
      <w:r w:rsidRPr="00BE606A">
        <w:rPr>
          <w:rFonts w:ascii="Arial" w:hAnsi="Arial"/>
          <w:sz w:val="20"/>
          <w:u w:val="single"/>
        </w:rPr>
        <w:t>13.1. Main assessment methods</w:t>
      </w:r>
    </w:p>
    <w:p w14:paraId="5C5A5595" w14:textId="77777777" w:rsidR="00BE606A" w:rsidRDefault="00BE606A" w:rsidP="007F6EF6">
      <w:pPr>
        <w:spacing w:after="120" w:line="240" w:lineRule="auto"/>
        <w:ind w:left="426" w:right="260"/>
        <w:rPr>
          <w:rFonts w:ascii="Arial" w:hAnsi="Arial"/>
          <w:sz w:val="20"/>
        </w:rPr>
      </w:pPr>
    </w:p>
    <w:p w14:paraId="670D531F" w14:textId="54F9A752" w:rsidR="00BE606A" w:rsidRDefault="002761F3" w:rsidP="007F6EF6">
      <w:pPr>
        <w:spacing w:after="120" w:line="240" w:lineRule="auto"/>
        <w:ind w:left="426" w:right="260"/>
        <w:rPr>
          <w:rFonts w:ascii="Arial" w:hAnsi="Arial"/>
          <w:sz w:val="20"/>
        </w:rPr>
      </w:pPr>
      <w:r>
        <w:rPr>
          <w:rFonts w:ascii="Arial" w:hAnsi="Arial"/>
          <w:sz w:val="20"/>
        </w:rPr>
        <w:t>Research Essay (6000 words) (100%)</w:t>
      </w:r>
    </w:p>
    <w:p w14:paraId="1D5EFBA1" w14:textId="77777777" w:rsidR="00BE606A" w:rsidRDefault="00BE606A" w:rsidP="007F6EF6">
      <w:pPr>
        <w:spacing w:after="120" w:line="240" w:lineRule="auto"/>
        <w:ind w:left="426" w:right="260"/>
        <w:rPr>
          <w:rFonts w:ascii="Arial" w:hAnsi="Arial"/>
          <w:sz w:val="20"/>
        </w:rPr>
      </w:pPr>
    </w:p>
    <w:p w14:paraId="47BBBC70" w14:textId="77777777" w:rsidR="00BE606A" w:rsidRDefault="00BE606A" w:rsidP="007F6EF6">
      <w:pPr>
        <w:spacing w:after="120" w:line="240" w:lineRule="auto"/>
        <w:ind w:left="426" w:right="260"/>
        <w:rPr>
          <w:rFonts w:ascii="Arial" w:hAnsi="Arial"/>
          <w:sz w:val="20"/>
          <w:u w:val="single"/>
        </w:rPr>
      </w:pPr>
      <w:r w:rsidRPr="00BE606A">
        <w:rPr>
          <w:rFonts w:ascii="Arial" w:hAnsi="Arial"/>
          <w:sz w:val="20"/>
          <w:u w:val="single"/>
        </w:rPr>
        <w:t>13.2. Reassessment methods</w:t>
      </w:r>
    </w:p>
    <w:p w14:paraId="31321A5C" w14:textId="77777777" w:rsidR="00BE606A" w:rsidRDefault="00BE606A" w:rsidP="007F6EF6">
      <w:pPr>
        <w:spacing w:after="120" w:line="240" w:lineRule="auto"/>
        <w:ind w:left="426" w:right="260"/>
        <w:rPr>
          <w:rFonts w:ascii="Arial" w:hAnsi="Arial"/>
          <w:sz w:val="20"/>
        </w:rPr>
      </w:pPr>
    </w:p>
    <w:p w14:paraId="287850C6" w14:textId="628BBF13" w:rsidR="0066061A" w:rsidRPr="00BE606A" w:rsidRDefault="00BE606A" w:rsidP="007F6EF6">
      <w:pPr>
        <w:spacing w:after="120" w:line="240" w:lineRule="auto"/>
        <w:ind w:left="426" w:right="260"/>
        <w:rPr>
          <w:rFonts w:ascii="Arial" w:hAnsi="Arial"/>
          <w:sz w:val="20"/>
        </w:rPr>
      </w:pPr>
      <w:r w:rsidRPr="00BE606A">
        <w:rPr>
          <w:rFonts w:ascii="Arial" w:hAnsi="Arial"/>
          <w:sz w:val="20"/>
        </w:rPr>
        <w:t>Reasses</w:t>
      </w:r>
      <w:r>
        <w:rPr>
          <w:rFonts w:ascii="Arial" w:hAnsi="Arial"/>
          <w:sz w:val="20"/>
        </w:rPr>
        <w:t>s</w:t>
      </w:r>
      <w:r w:rsidRPr="00BE606A">
        <w:rPr>
          <w:rFonts w:ascii="Arial" w:hAnsi="Arial"/>
          <w:sz w:val="20"/>
        </w:rPr>
        <w:t>ment instrument</w:t>
      </w:r>
      <w:r w:rsidR="002761F3">
        <w:rPr>
          <w:rFonts w:ascii="Arial" w:hAnsi="Arial"/>
          <w:sz w:val="20"/>
        </w:rPr>
        <w:t>:</w:t>
      </w:r>
      <w:r w:rsidRPr="00BE606A">
        <w:rPr>
          <w:rFonts w:ascii="Arial" w:hAnsi="Arial"/>
          <w:sz w:val="20"/>
        </w:rPr>
        <w:t xml:space="preserve"> 100% project</w:t>
      </w:r>
    </w:p>
    <w:p w14:paraId="2ABF91F3" w14:textId="77777777" w:rsidR="00373ACB" w:rsidRPr="007F6EF6" w:rsidRDefault="00373ACB" w:rsidP="007F6EF6">
      <w:pPr>
        <w:spacing w:after="120" w:line="240" w:lineRule="auto"/>
        <w:ind w:left="426" w:right="260"/>
        <w:rPr>
          <w:rFonts w:ascii="Arial" w:hAnsi="Arial"/>
          <w:b/>
          <w:i/>
          <w:sz w:val="20"/>
        </w:rPr>
      </w:pPr>
    </w:p>
    <w:p w14:paraId="124EDED6" w14:textId="77777777" w:rsidR="00274ED7" w:rsidRPr="000524BB" w:rsidRDefault="006F3F8B" w:rsidP="0066061A">
      <w:pPr>
        <w:numPr>
          <w:ilvl w:val="0"/>
          <w:numId w:val="1"/>
        </w:numPr>
        <w:spacing w:after="120" w:line="240" w:lineRule="auto"/>
        <w:ind w:left="426" w:right="260" w:hanging="426"/>
        <w:rPr>
          <w:rFonts w:ascii="Arial" w:hAnsi="Arial" w:cs="Arial"/>
          <w:b/>
          <w:iCs/>
          <w:sz w:val="20"/>
          <w:szCs w:val="20"/>
        </w:rPr>
      </w:pPr>
      <w:r w:rsidRPr="000524BB">
        <w:rPr>
          <w:rFonts w:ascii="Arial" w:hAnsi="Arial" w:cs="Arial"/>
          <w:b/>
          <w:iCs/>
          <w:sz w:val="20"/>
          <w:szCs w:val="20"/>
        </w:rPr>
        <w:t>Map of Module Learning Outcomes</w:t>
      </w:r>
      <w:r w:rsidR="00B30E07" w:rsidRPr="000524BB">
        <w:rPr>
          <w:rFonts w:ascii="Arial" w:hAnsi="Arial" w:cs="Arial"/>
          <w:b/>
          <w:iCs/>
          <w:sz w:val="20"/>
          <w:szCs w:val="20"/>
        </w:rPr>
        <w:t xml:space="preserve"> (sections 8 &amp; 9)</w:t>
      </w:r>
      <w:r w:rsidRPr="000524BB">
        <w:rPr>
          <w:rFonts w:ascii="Arial" w:hAnsi="Arial" w:cs="Arial"/>
          <w:b/>
          <w:iCs/>
          <w:sz w:val="20"/>
          <w:szCs w:val="20"/>
        </w:rPr>
        <w:t xml:space="preserve"> to Learning</w:t>
      </w:r>
      <w:r w:rsidR="00B30E07" w:rsidRPr="000524BB">
        <w:rPr>
          <w:rFonts w:ascii="Arial" w:hAnsi="Arial" w:cs="Arial"/>
          <w:b/>
          <w:iCs/>
          <w:sz w:val="20"/>
          <w:szCs w:val="20"/>
        </w:rPr>
        <w:t xml:space="preserve"> and Teaching Methods (section</w:t>
      </w:r>
      <w:r w:rsidR="0066061A" w:rsidRPr="000524BB">
        <w:rPr>
          <w:rFonts w:ascii="Arial" w:hAnsi="Arial" w:cs="Arial"/>
          <w:b/>
          <w:iCs/>
          <w:sz w:val="20"/>
          <w:szCs w:val="20"/>
        </w:rPr>
        <w:t xml:space="preserve"> </w:t>
      </w:r>
      <w:r w:rsidR="00B30E07" w:rsidRPr="000524BB">
        <w:rPr>
          <w:rFonts w:ascii="Arial" w:hAnsi="Arial" w:cs="Arial"/>
          <w:b/>
          <w:iCs/>
          <w:sz w:val="20"/>
          <w:szCs w:val="20"/>
        </w:rPr>
        <w:t>12</w:t>
      </w:r>
      <w:r w:rsidRPr="000524BB">
        <w:rPr>
          <w:rFonts w:ascii="Arial" w:hAnsi="Arial" w:cs="Arial"/>
          <w:b/>
          <w:iCs/>
          <w:sz w:val="20"/>
          <w:szCs w:val="20"/>
        </w:rPr>
        <w:t>) and m</w:t>
      </w:r>
      <w:r w:rsidR="00B30E07" w:rsidRPr="000524BB">
        <w:rPr>
          <w:rFonts w:ascii="Arial" w:hAnsi="Arial" w:cs="Arial"/>
          <w:b/>
          <w:iCs/>
          <w:sz w:val="20"/>
          <w:szCs w:val="20"/>
        </w:rPr>
        <w:t>ethods of Assessment (section 13</w:t>
      </w:r>
      <w:r w:rsidR="00EF4933" w:rsidRPr="000524BB">
        <w:rPr>
          <w:rFonts w:ascii="Arial" w:hAnsi="Arial" w:cs="Arial"/>
          <w:b/>
          <w:iCs/>
          <w:sz w:val="20"/>
          <w:szCs w:val="20"/>
        </w:rPr>
        <w:t>)</w:t>
      </w:r>
    </w:p>
    <w:p w14:paraId="76C77D1F"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02" w:type="pct"/>
        <w:jc w:val="center"/>
        <w:tblLook w:val="04A0" w:firstRow="1" w:lastRow="0" w:firstColumn="1" w:lastColumn="0" w:noHBand="0" w:noVBand="1"/>
      </w:tblPr>
      <w:tblGrid>
        <w:gridCol w:w="2506"/>
        <w:gridCol w:w="495"/>
        <w:gridCol w:w="495"/>
        <w:gridCol w:w="495"/>
        <w:gridCol w:w="495"/>
        <w:gridCol w:w="495"/>
        <w:gridCol w:w="495"/>
        <w:gridCol w:w="495"/>
        <w:gridCol w:w="495"/>
        <w:gridCol w:w="495"/>
        <w:gridCol w:w="495"/>
        <w:gridCol w:w="495"/>
      </w:tblGrid>
      <w:tr w:rsidR="00BE606A" w:rsidRPr="00373ACB" w14:paraId="5EE161E5" w14:textId="77777777" w:rsidTr="00BE606A">
        <w:trPr>
          <w:trHeight w:val="397"/>
          <w:jc w:val="center"/>
        </w:trPr>
        <w:tc>
          <w:tcPr>
            <w:tcW w:w="1576" w:type="pct"/>
            <w:shd w:val="clear" w:color="auto" w:fill="D9D9D9" w:themeFill="background1" w:themeFillShade="D9"/>
            <w:vAlign w:val="center"/>
          </w:tcPr>
          <w:p w14:paraId="5E18161B" w14:textId="77777777" w:rsidR="00BE606A" w:rsidRPr="00373ACB" w:rsidRDefault="00BE606A" w:rsidP="00EA652B">
            <w:pPr>
              <w:spacing w:after="120"/>
              <w:rPr>
                <w:rFonts w:ascii="Arial" w:hAnsi="Arial" w:cs="Arial"/>
                <w:i/>
                <w:sz w:val="20"/>
                <w:szCs w:val="20"/>
              </w:rPr>
            </w:pPr>
            <w:r w:rsidRPr="00373ACB">
              <w:rPr>
                <w:rFonts w:ascii="Arial" w:hAnsi="Arial" w:cs="Arial"/>
                <w:b/>
                <w:sz w:val="20"/>
                <w:szCs w:val="20"/>
              </w:rPr>
              <w:t>Module learning outcome</w:t>
            </w:r>
          </w:p>
        </w:tc>
        <w:tc>
          <w:tcPr>
            <w:tcW w:w="311" w:type="pct"/>
            <w:vAlign w:val="center"/>
          </w:tcPr>
          <w:p w14:paraId="5D14EFC9" w14:textId="42B531E7" w:rsidR="00BE606A" w:rsidRPr="007103E4" w:rsidRDefault="00BE606A" w:rsidP="00BE606A">
            <w:pPr>
              <w:spacing w:after="120"/>
              <w:jc w:val="center"/>
              <w:rPr>
                <w:rFonts w:ascii="Arial" w:hAnsi="Arial" w:cs="Arial"/>
                <w:sz w:val="20"/>
                <w:szCs w:val="20"/>
              </w:rPr>
            </w:pPr>
            <w:r>
              <w:rPr>
                <w:rFonts w:ascii="Arial" w:hAnsi="Arial" w:cs="Arial"/>
                <w:sz w:val="20"/>
                <w:szCs w:val="20"/>
              </w:rPr>
              <w:t>8.1</w:t>
            </w:r>
          </w:p>
        </w:tc>
        <w:tc>
          <w:tcPr>
            <w:tcW w:w="311" w:type="pct"/>
            <w:vAlign w:val="center"/>
          </w:tcPr>
          <w:p w14:paraId="073FD408"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8.2</w:t>
            </w:r>
          </w:p>
        </w:tc>
        <w:tc>
          <w:tcPr>
            <w:tcW w:w="311" w:type="pct"/>
            <w:vAlign w:val="center"/>
          </w:tcPr>
          <w:p w14:paraId="36B5DA8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8.3</w:t>
            </w:r>
          </w:p>
        </w:tc>
        <w:tc>
          <w:tcPr>
            <w:tcW w:w="311" w:type="pct"/>
            <w:vAlign w:val="center"/>
          </w:tcPr>
          <w:p w14:paraId="798C1EB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8.4</w:t>
            </w:r>
          </w:p>
        </w:tc>
        <w:tc>
          <w:tcPr>
            <w:tcW w:w="311" w:type="pct"/>
            <w:vAlign w:val="center"/>
          </w:tcPr>
          <w:p w14:paraId="0F823D0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8.5</w:t>
            </w:r>
          </w:p>
        </w:tc>
        <w:tc>
          <w:tcPr>
            <w:tcW w:w="311" w:type="pct"/>
            <w:vAlign w:val="center"/>
          </w:tcPr>
          <w:p w14:paraId="126AF49B"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8.6</w:t>
            </w:r>
          </w:p>
        </w:tc>
        <w:tc>
          <w:tcPr>
            <w:tcW w:w="311" w:type="pct"/>
            <w:vAlign w:val="center"/>
          </w:tcPr>
          <w:p w14:paraId="0260D82B" w14:textId="5DF7F6C5" w:rsidR="00BE606A" w:rsidRDefault="0028479F" w:rsidP="00BE606A">
            <w:pPr>
              <w:spacing w:after="120"/>
              <w:jc w:val="center"/>
              <w:rPr>
                <w:rFonts w:ascii="Arial" w:hAnsi="Arial" w:cs="Arial"/>
                <w:sz w:val="20"/>
                <w:szCs w:val="20"/>
              </w:rPr>
            </w:pPr>
            <w:r>
              <w:rPr>
                <w:rFonts w:ascii="Arial" w:hAnsi="Arial" w:cs="Arial"/>
                <w:sz w:val="20"/>
                <w:szCs w:val="20"/>
              </w:rPr>
              <w:t>8.7</w:t>
            </w:r>
          </w:p>
        </w:tc>
        <w:tc>
          <w:tcPr>
            <w:tcW w:w="311" w:type="pct"/>
            <w:vAlign w:val="center"/>
          </w:tcPr>
          <w:p w14:paraId="2C369C5A" w14:textId="6F344B93" w:rsidR="00BE606A" w:rsidRPr="007103E4" w:rsidRDefault="00BE606A" w:rsidP="00BE606A">
            <w:pPr>
              <w:spacing w:after="120"/>
              <w:jc w:val="center"/>
              <w:rPr>
                <w:rFonts w:ascii="Arial" w:hAnsi="Arial" w:cs="Arial"/>
                <w:sz w:val="20"/>
                <w:szCs w:val="20"/>
              </w:rPr>
            </w:pPr>
            <w:r>
              <w:rPr>
                <w:rFonts w:ascii="Arial" w:hAnsi="Arial" w:cs="Arial"/>
                <w:sz w:val="20"/>
                <w:szCs w:val="20"/>
              </w:rPr>
              <w:t>9.1</w:t>
            </w:r>
          </w:p>
        </w:tc>
        <w:tc>
          <w:tcPr>
            <w:tcW w:w="311" w:type="pct"/>
            <w:vAlign w:val="center"/>
          </w:tcPr>
          <w:p w14:paraId="4618EB75"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9.2</w:t>
            </w:r>
          </w:p>
        </w:tc>
        <w:tc>
          <w:tcPr>
            <w:tcW w:w="311" w:type="pct"/>
            <w:vAlign w:val="center"/>
          </w:tcPr>
          <w:p w14:paraId="450DBB46"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9.3</w:t>
            </w:r>
          </w:p>
        </w:tc>
        <w:tc>
          <w:tcPr>
            <w:tcW w:w="311" w:type="pct"/>
            <w:vAlign w:val="center"/>
          </w:tcPr>
          <w:p w14:paraId="3AD6491E"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9.4</w:t>
            </w:r>
          </w:p>
        </w:tc>
      </w:tr>
      <w:tr w:rsidR="00BE606A" w:rsidRPr="00373ACB" w14:paraId="00DE664A" w14:textId="77777777" w:rsidTr="00BE606A">
        <w:trPr>
          <w:trHeight w:val="397"/>
          <w:jc w:val="center"/>
        </w:trPr>
        <w:tc>
          <w:tcPr>
            <w:tcW w:w="1576" w:type="pct"/>
            <w:shd w:val="clear" w:color="auto" w:fill="D9D9D9" w:themeFill="background1" w:themeFillShade="D9"/>
            <w:vAlign w:val="center"/>
          </w:tcPr>
          <w:p w14:paraId="07756AA8" w14:textId="77777777" w:rsidR="00BE606A" w:rsidRPr="00373ACB" w:rsidRDefault="00BE606A" w:rsidP="00EA652B">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1" w:type="pct"/>
            <w:vAlign w:val="center"/>
          </w:tcPr>
          <w:p w14:paraId="38699D54"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6C57ADA"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106E72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0DE4A23"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0ACEF67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B6F778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0D0D25F" w14:textId="58518BDD" w:rsidR="00BE606A" w:rsidRPr="007103E4" w:rsidRDefault="00BE606A" w:rsidP="00BE606A">
            <w:pPr>
              <w:spacing w:after="120"/>
              <w:jc w:val="center"/>
              <w:rPr>
                <w:rFonts w:ascii="Arial" w:hAnsi="Arial" w:cs="Arial"/>
                <w:b/>
                <w:sz w:val="20"/>
                <w:szCs w:val="20"/>
              </w:rPr>
            </w:pPr>
          </w:p>
        </w:tc>
        <w:tc>
          <w:tcPr>
            <w:tcW w:w="311" w:type="pct"/>
            <w:vAlign w:val="center"/>
          </w:tcPr>
          <w:p w14:paraId="26235C62" w14:textId="0B04D218" w:rsidR="00BE606A" w:rsidRPr="007103E4" w:rsidRDefault="00BE606A" w:rsidP="00BE606A">
            <w:pPr>
              <w:spacing w:after="120"/>
              <w:jc w:val="center"/>
              <w:rPr>
                <w:rFonts w:ascii="Arial" w:hAnsi="Arial" w:cs="Arial"/>
                <w:b/>
                <w:sz w:val="20"/>
                <w:szCs w:val="20"/>
              </w:rPr>
            </w:pPr>
          </w:p>
        </w:tc>
        <w:tc>
          <w:tcPr>
            <w:tcW w:w="311" w:type="pct"/>
            <w:vAlign w:val="center"/>
          </w:tcPr>
          <w:p w14:paraId="359BD539"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64FB95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B85D29D" w14:textId="77777777" w:rsidR="00BE606A" w:rsidRPr="007103E4" w:rsidRDefault="00BE606A" w:rsidP="00BE606A">
            <w:pPr>
              <w:spacing w:after="120"/>
              <w:jc w:val="center"/>
              <w:rPr>
                <w:rFonts w:ascii="Arial" w:hAnsi="Arial" w:cs="Arial"/>
                <w:b/>
                <w:sz w:val="20"/>
                <w:szCs w:val="20"/>
              </w:rPr>
            </w:pPr>
          </w:p>
        </w:tc>
      </w:tr>
      <w:tr w:rsidR="00BE606A" w:rsidRPr="00373ACB" w14:paraId="4734045D" w14:textId="77777777" w:rsidTr="00BE606A">
        <w:trPr>
          <w:trHeight w:val="397"/>
          <w:jc w:val="center"/>
        </w:trPr>
        <w:tc>
          <w:tcPr>
            <w:tcW w:w="1576" w:type="pct"/>
            <w:vAlign w:val="center"/>
          </w:tcPr>
          <w:p w14:paraId="6F06C8D9" w14:textId="77777777" w:rsidR="00BE606A" w:rsidRDefault="00BE606A" w:rsidP="00EA652B">
            <w:pPr>
              <w:spacing w:after="120"/>
              <w:rPr>
                <w:rFonts w:ascii="Arial" w:hAnsi="Arial" w:cs="Arial"/>
                <w:sz w:val="20"/>
                <w:szCs w:val="20"/>
              </w:rPr>
            </w:pPr>
            <w:r>
              <w:rPr>
                <w:rFonts w:ascii="Arial" w:hAnsi="Arial" w:cs="Arial"/>
                <w:sz w:val="20"/>
                <w:szCs w:val="20"/>
              </w:rPr>
              <w:t>Lecture</w:t>
            </w:r>
          </w:p>
        </w:tc>
        <w:tc>
          <w:tcPr>
            <w:tcW w:w="311" w:type="pct"/>
            <w:vAlign w:val="center"/>
          </w:tcPr>
          <w:p w14:paraId="1DA4C535"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52E47B6"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B81F991"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4501174"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EBA90FE"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06FE3EC1"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165931E0" w14:textId="0E484EA8" w:rsidR="00BE606A" w:rsidRPr="007103E4" w:rsidRDefault="00BE606A" w:rsidP="00BE606A">
            <w:pPr>
              <w:spacing w:after="120"/>
              <w:jc w:val="center"/>
              <w:rPr>
                <w:rFonts w:ascii="Arial" w:hAnsi="Arial" w:cs="Arial"/>
                <w:sz w:val="20"/>
                <w:szCs w:val="20"/>
              </w:rPr>
            </w:pPr>
          </w:p>
        </w:tc>
        <w:tc>
          <w:tcPr>
            <w:tcW w:w="311" w:type="pct"/>
            <w:vAlign w:val="center"/>
          </w:tcPr>
          <w:p w14:paraId="76DB0A6E" w14:textId="419BD0FF" w:rsidR="00BE606A" w:rsidRPr="007103E4" w:rsidRDefault="00BE606A" w:rsidP="00BE606A">
            <w:pPr>
              <w:spacing w:after="120"/>
              <w:jc w:val="center"/>
              <w:rPr>
                <w:rFonts w:ascii="Arial" w:hAnsi="Arial" w:cs="Arial"/>
                <w:sz w:val="20"/>
                <w:szCs w:val="20"/>
              </w:rPr>
            </w:pPr>
          </w:p>
        </w:tc>
        <w:tc>
          <w:tcPr>
            <w:tcW w:w="311" w:type="pct"/>
            <w:vAlign w:val="center"/>
          </w:tcPr>
          <w:p w14:paraId="4C2C16AC"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26E8FF0"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7694C0A7" w14:textId="77777777" w:rsidR="00BE606A" w:rsidRPr="007103E4" w:rsidRDefault="00BE606A" w:rsidP="00BE606A">
            <w:pPr>
              <w:spacing w:after="120"/>
              <w:jc w:val="center"/>
              <w:rPr>
                <w:rFonts w:ascii="Arial" w:hAnsi="Arial" w:cs="Arial"/>
                <w:sz w:val="20"/>
                <w:szCs w:val="20"/>
              </w:rPr>
            </w:pPr>
          </w:p>
        </w:tc>
      </w:tr>
      <w:tr w:rsidR="00BE606A" w:rsidRPr="00373ACB" w14:paraId="0B5165EF" w14:textId="77777777" w:rsidTr="00BE606A">
        <w:trPr>
          <w:trHeight w:val="397"/>
          <w:jc w:val="center"/>
        </w:trPr>
        <w:tc>
          <w:tcPr>
            <w:tcW w:w="1576" w:type="pct"/>
            <w:vAlign w:val="center"/>
          </w:tcPr>
          <w:p w14:paraId="31984E7C" w14:textId="77777777" w:rsidR="00BE606A" w:rsidRPr="007103E4" w:rsidRDefault="00BE606A" w:rsidP="00EA652B">
            <w:pPr>
              <w:spacing w:after="120"/>
              <w:rPr>
                <w:rFonts w:ascii="Arial" w:hAnsi="Arial" w:cs="Arial"/>
                <w:sz w:val="20"/>
                <w:szCs w:val="20"/>
              </w:rPr>
            </w:pPr>
            <w:r>
              <w:rPr>
                <w:rFonts w:ascii="Arial" w:hAnsi="Arial" w:cs="Arial"/>
                <w:sz w:val="20"/>
                <w:szCs w:val="20"/>
              </w:rPr>
              <w:t>Seminar</w:t>
            </w:r>
          </w:p>
        </w:tc>
        <w:tc>
          <w:tcPr>
            <w:tcW w:w="311" w:type="pct"/>
            <w:vAlign w:val="center"/>
          </w:tcPr>
          <w:p w14:paraId="321F20E6"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F3DED58"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5C74859"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92F5014"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71FEF9F"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18EAD2EB" w14:textId="04743A0A" w:rsidR="00BE606A"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F38973A" w14:textId="62BA1CAC"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90E7E8F" w14:textId="4D2317CB"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C1A22C5"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1B4ABD8"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B3153D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r>
      <w:tr w:rsidR="00BE606A" w:rsidRPr="00373ACB" w14:paraId="27FC8EDA" w14:textId="77777777" w:rsidTr="00BE606A">
        <w:trPr>
          <w:trHeight w:val="397"/>
          <w:jc w:val="center"/>
        </w:trPr>
        <w:tc>
          <w:tcPr>
            <w:tcW w:w="1576" w:type="pct"/>
            <w:vAlign w:val="center"/>
          </w:tcPr>
          <w:p w14:paraId="4CC03ED1" w14:textId="77777777" w:rsidR="00BE606A" w:rsidRPr="007103E4" w:rsidRDefault="00BE606A" w:rsidP="00EA652B">
            <w:pPr>
              <w:spacing w:after="120"/>
              <w:rPr>
                <w:rFonts w:ascii="Arial" w:hAnsi="Arial" w:cs="Arial"/>
                <w:sz w:val="20"/>
                <w:szCs w:val="20"/>
              </w:rPr>
            </w:pPr>
            <w:r>
              <w:rPr>
                <w:rFonts w:ascii="Arial" w:hAnsi="Arial" w:cs="Arial"/>
                <w:sz w:val="20"/>
                <w:szCs w:val="20"/>
              </w:rPr>
              <w:t>Private Study</w:t>
            </w:r>
          </w:p>
        </w:tc>
        <w:tc>
          <w:tcPr>
            <w:tcW w:w="311" w:type="pct"/>
            <w:vAlign w:val="center"/>
          </w:tcPr>
          <w:p w14:paraId="7A79C771"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CE537DB"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709CA57F"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4485EA47"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0798A45"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829A76C"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1BA6929" w14:textId="03AA5273" w:rsidR="00BE606A" w:rsidRPr="007103E4" w:rsidRDefault="00BE606A" w:rsidP="00BE606A">
            <w:pPr>
              <w:spacing w:after="120"/>
              <w:jc w:val="center"/>
              <w:rPr>
                <w:rFonts w:ascii="Arial" w:hAnsi="Arial" w:cs="Arial"/>
                <w:sz w:val="20"/>
                <w:szCs w:val="20"/>
              </w:rPr>
            </w:pPr>
          </w:p>
        </w:tc>
        <w:tc>
          <w:tcPr>
            <w:tcW w:w="311" w:type="pct"/>
            <w:vAlign w:val="center"/>
          </w:tcPr>
          <w:p w14:paraId="5761198B" w14:textId="0890016F" w:rsidR="00BE606A" w:rsidRPr="007103E4" w:rsidRDefault="00BE606A" w:rsidP="00BE606A">
            <w:pPr>
              <w:spacing w:after="120"/>
              <w:jc w:val="center"/>
              <w:rPr>
                <w:rFonts w:ascii="Arial" w:hAnsi="Arial" w:cs="Arial"/>
                <w:sz w:val="20"/>
                <w:szCs w:val="20"/>
              </w:rPr>
            </w:pPr>
          </w:p>
        </w:tc>
        <w:tc>
          <w:tcPr>
            <w:tcW w:w="311" w:type="pct"/>
            <w:vAlign w:val="center"/>
          </w:tcPr>
          <w:p w14:paraId="431DC68F"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857265A"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26732B1" w14:textId="77777777" w:rsidR="00BE606A" w:rsidRPr="007103E4" w:rsidRDefault="00BE606A" w:rsidP="00BE606A">
            <w:pPr>
              <w:spacing w:after="120"/>
              <w:jc w:val="center"/>
              <w:rPr>
                <w:rFonts w:ascii="Arial" w:hAnsi="Arial" w:cs="Arial"/>
                <w:sz w:val="20"/>
                <w:szCs w:val="20"/>
              </w:rPr>
            </w:pPr>
          </w:p>
        </w:tc>
      </w:tr>
      <w:tr w:rsidR="00BE606A" w:rsidRPr="00373ACB" w14:paraId="79424867" w14:textId="77777777" w:rsidTr="00BE606A">
        <w:trPr>
          <w:trHeight w:val="397"/>
          <w:jc w:val="center"/>
        </w:trPr>
        <w:tc>
          <w:tcPr>
            <w:tcW w:w="1576" w:type="pct"/>
            <w:shd w:val="clear" w:color="auto" w:fill="D9D9D9" w:themeFill="background1" w:themeFillShade="D9"/>
            <w:vAlign w:val="center"/>
          </w:tcPr>
          <w:p w14:paraId="1F01108C" w14:textId="77777777" w:rsidR="00BE606A" w:rsidRPr="00373ACB" w:rsidRDefault="00BE606A" w:rsidP="00EA652B">
            <w:pPr>
              <w:spacing w:after="120"/>
              <w:rPr>
                <w:rFonts w:ascii="Arial" w:hAnsi="Arial" w:cs="Arial"/>
                <w:b/>
                <w:sz w:val="20"/>
                <w:szCs w:val="20"/>
              </w:rPr>
            </w:pPr>
            <w:r w:rsidRPr="00373ACB">
              <w:rPr>
                <w:rFonts w:ascii="Arial" w:hAnsi="Arial" w:cs="Arial"/>
                <w:b/>
                <w:sz w:val="20"/>
                <w:szCs w:val="20"/>
              </w:rPr>
              <w:t>Assessment method</w:t>
            </w:r>
          </w:p>
        </w:tc>
        <w:tc>
          <w:tcPr>
            <w:tcW w:w="311" w:type="pct"/>
            <w:vAlign w:val="center"/>
          </w:tcPr>
          <w:p w14:paraId="08DD834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500EE64"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7FC63862"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726E016F"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0139E681"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3648BEF"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54C9AFD" w14:textId="3108A311" w:rsidR="00BE606A" w:rsidRPr="007103E4" w:rsidRDefault="00BE606A" w:rsidP="00BE606A">
            <w:pPr>
              <w:spacing w:after="120"/>
              <w:jc w:val="center"/>
              <w:rPr>
                <w:rFonts w:ascii="Arial" w:hAnsi="Arial" w:cs="Arial"/>
                <w:b/>
                <w:sz w:val="20"/>
                <w:szCs w:val="20"/>
              </w:rPr>
            </w:pPr>
          </w:p>
        </w:tc>
        <w:tc>
          <w:tcPr>
            <w:tcW w:w="311" w:type="pct"/>
            <w:vAlign w:val="center"/>
          </w:tcPr>
          <w:p w14:paraId="06E29144" w14:textId="18A98F5D" w:rsidR="00BE606A" w:rsidRPr="007103E4" w:rsidRDefault="00BE606A" w:rsidP="00BE606A">
            <w:pPr>
              <w:spacing w:after="120"/>
              <w:jc w:val="center"/>
              <w:rPr>
                <w:rFonts w:ascii="Arial" w:hAnsi="Arial" w:cs="Arial"/>
                <w:b/>
                <w:sz w:val="20"/>
                <w:szCs w:val="20"/>
              </w:rPr>
            </w:pPr>
          </w:p>
        </w:tc>
        <w:tc>
          <w:tcPr>
            <w:tcW w:w="311" w:type="pct"/>
            <w:vAlign w:val="center"/>
          </w:tcPr>
          <w:p w14:paraId="3CEB82E8"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209CC0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CE4B3DC" w14:textId="77777777" w:rsidR="00BE606A" w:rsidRPr="007103E4" w:rsidRDefault="00BE606A" w:rsidP="00BE606A">
            <w:pPr>
              <w:spacing w:after="120"/>
              <w:jc w:val="center"/>
              <w:rPr>
                <w:rFonts w:ascii="Arial" w:hAnsi="Arial" w:cs="Arial"/>
                <w:b/>
                <w:sz w:val="20"/>
                <w:szCs w:val="20"/>
              </w:rPr>
            </w:pPr>
          </w:p>
        </w:tc>
      </w:tr>
      <w:tr w:rsidR="00BE606A" w:rsidRPr="00373ACB" w14:paraId="54336CA3" w14:textId="77777777" w:rsidTr="00BE606A">
        <w:trPr>
          <w:trHeight w:val="397"/>
          <w:jc w:val="center"/>
        </w:trPr>
        <w:tc>
          <w:tcPr>
            <w:tcW w:w="1576" w:type="pct"/>
            <w:vAlign w:val="center"/>
          </w:tcPr>
          <w:p w14:paraId="7EE08303" w14:textId="77777777" w:rsidR="00BE606A" w:rsidRPr="00D71DF4" w:rsidRDefault="00BE606A" w:rsidP="00EA652B">
            <w:pPr>
              <w:spacing w:after="120"/>
              <w:rPr>
                <w:rFonts w:ascii="Arial" w:hAnsi="Arial" w:cs="Arial"/>
                <w:sz w:val="20"/>
                <w:szCs w:val="20"/>
              </w:rPr>
            </w:pPr>
            <w:r>
              <w:rPr>
                <w:rFonts w:ascii="Arial" w:hAnsi="Arial" w:cs="Arial"/>
                <w:sz w:val="20"/>
                <w:szCs w:val="20"/>
              </w:rPr>
              <w:t>Research Essay</w:t>
            </w:r>
          </w:p>
        </w:tc>
        <w:tc>
          <w:tcPr>
            <w:tcW w:w="311" w:type="pct"/>
            <w:vAlign w:val="center"/>
          </w:tcPr>
          <w:p w14:paraId="09193BDC"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281A21D1"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0D901FE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D258822"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3E473AA"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B0579F1" w14:textId="79E3433B" w:rsidR="00BE606A"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E362F93" w14:textId="3359119D"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FCC0D0A" w14:textId="24BE791C"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21D3563"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596017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26C203C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r>
    </w:tbl>
    <w:p w14:paraId="53DB8CCB" w14:textId="19A36AE9" w:rsidR="007A6245" w:rsidRDefault="007A6245" w:rsidP="007F6EF6">
      <w:pPr>
        <w:spacing w:after="120" w:line="240" w:lineRule="auto"/>
        <w:ind w:left="426" w:right="260"/>
        <w:rPr>
          <w:rFonts w:ascii="Arial" w:hAnsi="Arial"/>
          <w:b/>
          <w:sz w:val="20"/>
        </w:rPr>
      </w:pPr>
    </w:p>
    <w:p w14:paraId="2D491ABA" w14:textId="77777777" w:rsidR="000524BB" w:rsidRPr="007F6EF6" w:rsidRDefault="000524BB" w:rsidP="007F6EF6">
      <w:pPr>
        <w:spacing w:after="120" w:line="240" w:lineRule="auto"/>
        <w:ind w:left="426" w:right="260"/>
        <w:rPr>
          <w:rFonts w:ascii="Arial" w:hAnsi="Arial"/>
          <w:b/>
          <w:sz w:val="20"/>
        </w:rPr>
      </w:pPr>
    </w:p>
    <w:p w14:paraId="7AA20A1F" w14:textId="4FCF9B66" w:rsidR="00BE606A" w:rsidRPr="00DF2132" w:rsidRDefault="009A2D37" w:rsidP="00BE606A">
      <w:pPr>
        <w:numPr>
          <w:ilvl w:val="0"/>
          <w:numId w:val="1"/>
        </w:numPr>
        <w:spacing w:after="120" w:line="240" w:lineRule="auto"/>
        <w:ind w:left="426" w:right="260" w:hanging="426"/>
        <w:rPr>
          <w:rFonts w:ascii="Arial" w:hAnsi="Arial" w:cs="Arial"/>
          <w:sz w:val="20"/>
          <w:szCs w:val="20"/>
        </w:rPr>
      </w:pPr>
      <w:r w:rsidRPr="00BE606A">
        <w:rPr>
          <w:rFonts w:ascii="Arial" w:hAnsi="Arial"/>
          <w:sz w:val="20"/>
        </w:rPr>
        <w:t xml:space="preserve">The </w:t>
      </w:r>
      <w:proofErr w:type="gramStart"/>
      <w:r w:rsidR="00BE606A" w:rsidRPr="00BE606A">
        <w:rPr>
          <w:rFonts w:ascii="Arial" w:hAnsi="Arial" w:cs="Arial"/>
          <w:sz w:val="20"/>
          <w:szCs w:val="20"/>
        </w:rPr>
        <w:t>School</w:t>
      </w:r>
      <w:proofErr w:type="gramEnd"/>
      <w:r w:rsidR="00BE606A" w:rsidRPr="00BE606A">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w:t>
      </w:r>
      <w:r w:rsidR="00BE606A" w:rsidRPr="00DF2132">
        <w:rPr>
          <w:rFonts w:ascii="Arial" w:hAnsi="Arial" w:cs="Arial"/>
          <w:sz w:val="20"/>
          <w:szCs w:val="20"/>
        </w:rPr>
        <w:t xml:space="preserve"> Plans (ILPs)/declared disabilities will be made on an individual basis, in consultation with the relevant policies and support services.</w:t>
      </w:r>
      <w:r w:rsidR="00BE606A" w:rsidRPr="00DF2132">
        <w:rPr>
          <w:rFonts w:ascii="Arial" w:hAnsi="Arial" w:cs="Arial"/>
          <w:sz w:val="20"/>
          <w:szCs w:val="20"/>
        </w:rPr>
        <w:br/>
      </w:r>
    </w:p>
    <w:p w14:paraId="356B42BF" w14:textId="77777777" w:rsidR="00BE606A" w:rsidRDefault="00BE606A" w:rsidP="00BE606A">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EC5A0C" w14:textId="77777777" w:rsidR="00BE606A" w:rsidRPr="00A7491F" w:rsidRDefault="00BE606A" w:rsidP="00BE606A">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C477531"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C67DC4C"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77B476C"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F6FBEB7" w14:textId="77777777" w:rsidR="00BE606A"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CF4736F" w14:textId="77777777" w:rsidR="00BE606A" w:rsidRPr="00971465" w:rsidRDefault="00BE606A" w:rsidP="000524BB">
      <w:pPr>
        <w:pStyle w:val="ListParagraph"/>
        <w:numPr>
          <w:ilvl w:val="0"/>
          <w:numId w:val="21"/>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38FD3407" w14:textId="77777777" w:rsidR="00BE606A" w:rsidRPr="00A7491F" w:rsidRDefault="00BE606A" w:rsidP="00BE606A">
      <w:pPr>
        <w:spacing w:after="120" w:line="240" w:lineRule="auto"/>
        <w:ind w:left="426" w:right="260"/>
        <w:rPr>
          <w:rFonts w:ascii="Arial" w:hAnsi="Arial" w:cs="Arial"/>
          <w:b/>
          <w:sz w:val="20"/>
          <w:szCs w:val="20"/>
        </w:rPr>
      </w:pPr>
      <w:r w:rsidRPr="00A7491F">
        <w:rPr>
          <w:rFonts w:ascii="Arial" w:hAnsi="Arial" w:cs="Arial"/>
          <w:b/>
          <w:sz w:val="20"/>
          <w:szCs w:val="20"/>
        </w:rPr>
        <w:lastRenderedPageBreak/>
        <w:t>b) Learning, teaching and assessment methods</w:t>
      </w:r>
    </w:p>
    <w:p w14:paraId="28B530F2" w14:textId="6956CC11" w:rsidR="009A2D37" w:rsidRPr="00BE606A" w:rsidRDefault="00BE606A" w:rsidP="000524BB">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A238EA7" w14:textId="77777777" w:rsidR="009A2D37" w:rsidRPr="007F6EF6" w:rsidRDefault="009A2D37" w:rsidP="007F6EF6">
      <w:pPr>
        <w:spacing w:after="120" w:line="240" w:lineRule="auto"/>
        <w:ind w:left="426" w:right="260"/>
        <w:rPr>
          <w:rFonts w:ascii="Arial" w:hAnsi="Arial"/>
          <w:sz w:val="20"/>
        </w:rPr>
      </w:pPr>
    </w:p>
    <w:p w14:paraId="5124753C" w14:textId="71375773"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7F6EF6">
        <w:rPr>
          <w:rFonts w:ascii="Arial" w:hAnsi="Arial"/>
          <w:b/>
          <w:sz w:val="20"/>
        </w:rPr>
        <w:t>Campus</w:t>
      </w:r>
      <w:r w:rsidRPr="00373ACB">
        <w:rPr>
          <w:rFonts w:ascii="Arial" w:hAnsi="Arial" w:cs="Arial"/>
          <w:b/>
          <w:sz w:val="20"/>
          <w:szCs w:val="20"/>
        </w:rPr>
        <w:t>(es) or Centre(s)</w:t>
      </w:r>
      <w:r w:rsidRPr="007F6EF6">
        <w:rPr>
          <w:rFonts w:ascii="Arial" w:hAnsi="Arial"/>
          <w:b/>
          <w:sz w:val="20"/>
        </w:rPr>
        <w:t xml:space="preserve"> where module will be delivered:</w:t>
      </w:r>
    </w:p>
    <w:p w14:paraId="7EB24D18" w14:textId="5E89221A" w:rsidR="00641D6D" w:rsidRDefault="0066061A" w:rsidP="007F6EF6">
      <w:pPr>
        <w:spacing w:after="120" w:line="240" w:lineRule="auto"/>
        <w:ind w:left="426" w:right="260"/>
        <w:rPr>
          <w:rFonts w:ascii="Arial" w:hAnsi="Arial"/>
          <w:sz w:val="20"/>
        </w:rPr>
      </w:pPr>
      <w:r w:rsidRPr="007F6EF6">
        <w:rPr>
          <w:rFonts w:ascii="Arial" w:hAnsi="Arial"/>
          <w:sz w:val="20"/>
        </w:rPr>
        <w:t>Canterbury</w:t>
      </w:r>
    </w:p>
    <w:p w14:paraId="4DEE263F" w14:textId="77777777" w:rsidR="00BE606A" w:rsidRDefault="00BE606A" w:rsidP="007F6EF6">
      <w:pPr>
        <w:spacing w:after="120" w:line="240" w:lineRule="auto"/>
        <w:ind w:left="426" w:right="260"/>
        <w:rPr>
          <w:rFonts w:ascii="Arial" w:hAnsi="Arial"/>
          <w:sz w:val="20"/>
        </w:rPr>
      </w:pPr>
    </w:p>
    <w:p w14:paraId="1D4C024D" w14:textId="77777777" w:rsidR="00BE606A" w:rsidRPr="00DF2132" w:rsidRDefault="00BE606A" w:rsidP="00BE606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C4B555F" w14:textId="383F93E4" w:rsidR="00BE606A" w:rsidRPr="007F6EF6" w:rsidRDefault="007A29B0" w:rsidP="000524BB">
      <w:pPr>
        <w:spacing w:after="120" w:line="240" w:lineRule="auto"/>
        <w:ind w:left="426" w:right="260"/>
        <w:jc w:val="both"/>
        <w:rPr>
          <w:rFonts w:ascii="Arial" w:hAnsi="Arial"/>
          <w:sz w:val="20"/>
        </w:rPr>
      </w:pPr>
      <w:r>
        <w:rPr>
          <w:rFonts w:ascii="Arial" w:hAnsi="Arial"/>
          <w:sz w:val="20"/>
        </w:rPr>
        <w:t xml:space="preserve">The subject matter </w:t>
      </w:r>
      <w:r w:rsidR="00450049">
        <w:rPr>
          <w:rFonts w:ascii="Arial" w:hAnsi="Arial"/>
          <w:sz w:val="20"/>
        </w:rPr>
        <w:t>of</w:t>
      </w:r>
      <w:r>
        <w:rPr>
          <w:rFonts w:ascii="Arial" w:hAnsi="Arial"/>
          <w:sz w:val="20"/>
        </w:rPr>
        <w:t xml:space="preserve"> law and social change is inherently internationalised. The module examines </w:t>
      </w:r>
      <w:r>
        <w:rPr>
          <w:rFonts w:ascii="Arial" w:hAnsi="Arial"/>
          <w:i/>
          <w:sz w:val="20"/>
        </w:rPr>
        <w:t>inter alia</w:t>
      </w:r>
      <w:r>
        <w:rPr>
          <w:rFonts w:ascii="Arial" w:hAnsi="Arial"/>
          <w:sz w:val="20"/>
        </w:rPr>
        <w:t xml:space="preserve"> the work of an assortment of classical and contemporary social theorists and explores the relationship between classical Western </w:t>
      </w:r>
      <w:r w:rsidR="00450049">
        <w:rPr>
          <w:rFonts w:ascii="Arial" w:hAnsi="Arial"/>
          <w:sz w:val="20"/>
        </w:rPr>
        <w:t>theories,</w:t>
      </w:r>
      <w:r>
        <w:rPr>
          <w:rFonts w:ascii="Arial" w:hAnsi="Arial"/>
          <w:sz w:val="20"/>
        </w:rPr>
        <w:t xml:space="preserve"> and </w:t>
      </w:r>
      <w:r w:rsidR="00450049">
        <w:rPr>
          <w:rFonts w:ascii="Arial" w:hAnsi="Arial"/>
          <w:sz w:val="20"/>
        </w:rPr>
        <w:t xml:space="preserve">theories of </w:t>
      </w:r>
      <w:r>
        <w:rPr>
          <w:rFonts w:ascii="Arial" w:hAnsi="Arial"/>
          <w:sz w:val="20"/>
        </w:rPr>
        <w:t xml:space="preserve">law and social change at a more global level. The module </w:t>
      </w:r>
      <w:r w:rsidR="00450049">
        <w:rPr>
          <w:rFonts w:ascii="Arial" w:hAnsi="Arial"/>
          <w:sz w:val="20"/>
        </w:rPr>
        <w:t xml:space="preserve">also </w:t>
      </w:r>
      <w:r>
        <w:rPr>
          <w:rFonts w:ascii="Arial" w:hAnsi="Arial"/>
          <w:sz w:val="20"/>
        </w:rPr>
        <w:t xml:space="preserve">examines </w:t>
      </w:r>
      <w:proofErr w:type="gramStart"/>
      <w:r w:rsidR="00450049">
        <w:rPr>
          <w:rFonts w:ascii="Arial" w:hAnsi="Arial"/>
          <w:sz w:val="20"/>
        </w:rPr>
        <w:t>e.g.</w:t>
      </w:r>
      <w:proofErr w:type="gramEnd"/>
      <w:r w:rsidR="00450049">
        <w:rPr>
          <w:rFonts w:ascii="Arial" w:hAnsi="Arial"/>
          <w:sz w:val="20"/>
        </w:rPr>
        <w:t xml:space="preserve"> </w:t>
      </w:r>
      <w:r>
        <w:rPr>
          <w:rFonts w:ascii="Arial" w:hAnsi="Arial"/>
          <w:sz w:val="20"/>
        </w:rPr>
        <w:t>global social movements</w:t>
      </w:r>
      <w:r w:rsidR="00450049">
        <w:rPr>
          <w:rFonts w:ascii="Arial" w:hAnsi="Arial"/>
          <w:sz w:val="20"/>
        </w:rPr>
        <w:t xml:space="preserve"> using the law as a means of emancipation and legal reform. The module is supported throughout by wide readings from a range of domestic and international authors.</w:t>
      </w:r>
    </w:p>
    <w:p w14:paraId="034A03BE" w14:textId="77777777" w:rsidR="002761F3" w:rsidRDefault="002761F3">
      <w:pPr>
        <w:rPr>
          <w:rFonts w:ascii="Arial" w:hAnsi="Arial" w:cs="Arial"/>
          <w:b/>
          <w:sz w:val="20"/>
          <w:szCs w:val="20"/>
        </w:rPr>
      </w:pPr>
    </w:p>
    <w:p w14:paraId="2B411FE6" w14:textId="08141DB7" w:rsidR="00950073" w:rsidRDefault="00950073">
      <w:pPr>
        <w:rPr>
          <w:rFonts w:ascii="Arial" w:hAnsi="Arial" w:cs="Arial"/>
          <w:b/>
          <w:sz w:val="20"/>
          <w:szCs w:val="20"/>
        </w:rPr>
      </w:pPr>
    </w:p>
    <w:p w14:paraId="6CF62EE6" w14:textId="77777777" w:rsidR="00773A6D" w:rsidRDefault="00773A6D">
      <w:pPr>
        <w:rPr>
          <w:rFonts w:ascii="Arial" w:hAnsi="Arial" w:cs="Arial"/>
          <w:b/>
          <w:sz w:val="20"/>
          <w:szCs w:val="20"/>
        </w:rPr>
      </w:pPr>
      <w:r>
        <w:rPr>
          <w:rFonts w:ascii="Arial" w:hAnsi="Arial" w:cs="Arial"/>
          <w:b/>
          <w:sz w:val="20"/>
          <w:szCs w:val="20"/>
        </w:rPr>
        <w:br w:type="page"/>
      </w:r>
    </w:p>
    <w:p w14:paraId="6B5DB939" w14:textId="07E16541" w:rsidR="002761F3" w:rsidRPr="00373ACB" w:rsidRDefault="002761F3" w:rsidP="002761F3">
      <w:pPr>
        <w:spacing w:after="120" w:line="240" w:lineRule="auto"/>
        <w:ind w:right="260"/>
        <w:rPr>
          <w:rFonts w:ascii="Arial" w:hAnsi="Arial" w:cs="Arial"/>
          <w:b/>
          <w:sz w:val="20"/>
          <w:szCs w:val="20"/>
        </w:rPr>
      </w:pPr>
      <w:r w:rsidRPr="00373ACB">
        <w:rPr>
          <w:rFonts w:ascii="Arial" w:hAnsi="Arial" w:cs="Arial"/>
          <w:b/>
          <w:sz w:val="20"/>
          <w:szCs w:val="20"/>
        </w:rPr>
        <w:lastRenderedPageBreak/>
        <w:t xml:space="preserve">FACULTIES SUPPORT OFFICE USE ONLY </w:t>
      </w:r>
    </w:p>
    <w:p w14:paraId="0597BBCB" w14:textId="77777777" w:rsidR="002761F3" w:rsidRPr="00373ACB" w:rsidRDefault="002761F3" w:rsidP="002761F3">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90C066E" w14:textId="77777777" w:rsidR="002761F3" w:rsidRPr="00373ACB" w:rsidRDefault="002761F3" w:rsidP="002761F3">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2761F3" w:rsidRPr="00373ACB" w14:paraId="48BDABC0" w14:textId="77777777" w:rsidTr="00A92E7C">
        <w:trPr>
          <w:trHeight w:val="317"/>
        </w:trPr>
        <w:tc>
          <w:tcPr>
            <w:tcW w:w="1673" w:type="dxa"/>
          </w:tcPr>
          <w:p w14:paraId="4D5F7FD4"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3B7C7FF" w14:textId="77777777" w:rsidR="002761F3" w:rsidRPr="00373ACB" w:rsidRDefault="002761F3" w:rsidP="00A92E7C">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C8075A1" w14:textId="77777777" w:rsidR="002761F3" w:rsidRPr="00373ACB" w:rsidRDefault="002761F3" w:rsidP="00A92E7C">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072D5BDC"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229CD80"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2761F3" w:rsidRPr="00373ACB" w14:paraId="2DE57426" w14:textId="77777777" w:rsidTr="00A92E7C">
        <w:trPr>
          <w:trHeight w:val="305"/>
        </w:trPr>
        <w:tc>
          <w:tcPr>
            <w:tcW w:w="1673" w:type="dxa"/>
          </w:tcPr>
          <w:p w14:paraId="2F72AF28"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18/04/16</w:t>
            </w:r>
          </w:p>
        </w:tc>
        <w:tc>
          <w:tcPr>
            <w:tcW w:w="1417" w:type="dxa"/>
          </w:tcPr>
          <w:p w14:paraId="5DB6532B"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Minor</w:t>
            </w:r>
          </w:p>
        </w:tc>
        <w:tc>
          <w:tcPr>
            <w:tcW w:w="2342" w:type="dxa"/>
          </w:tcPr>
          <w:p w14:paraId="36A176F5"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September 2016</w:t>
            </w:r>
          </w:p>
        </w:tc>
        <w:tc>
          <w:tcPr>
            <w:tcW w:w="2658" w:type="dxa"/>
          </w:tcPr>
          <w:p w14:paraId="6B5D62C7"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11,12</w:t>
            </w:r>
          </w:p>
        </w:tc>
        <w:tc>
          <w:tcPr>
            <w:tcW w:w="2400" w:type="dxa"/>
          </w:tcPr>
          <w:p w14:paraId="78A35AF5"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No</w:t>
            </w:r>
          </w:p>
        </w:tc>
      </w:tr>
      <w:tr w:rsidR="002761F3" w:rsidRPr="00373ACB" w14:paraId="6B7FF79E" w14:textId="77777777" w:rsidTr="00A92E7C">
        <w:trPr>
          <w:trHeight w:val="305"/>
        </w:trPr>
        <w:tc>
          <w:tcPr>
            <w:tcW w:w="1673" w:type="dxa"/>
          </w:tcPr>
          <w:p w14:paraId="56A5951E" w14:textId="77777777" w:rsidR="002761F3" w:rsidRPr="00373ACB" w:rsidRDefault="002761F3" w:rsidP="00A92E7C">
            <w:pPr>
              <w:spacing w:after="120"/>
              <w:ind w:right="-330"/>
              <w:rPr>
                <w:rFonts w:ascii="Arial" w:hAnsi="Arial" w:cs="Arial"/>
                <w:sz w:val="20"/>
                <w:szCs w:val="20"/>
              </w:rPr>
            </w:pPr>
          </w:p>
        </w:tc>
        <w:tc>
          <w:tcPr>
            <w:tcW w:w="1417" w:type="dxa"/>
          </w:tcPr>
          <w:p w14:paraId="29568C65" w14:textId="77777777" w:rsidR="002761F3" w:rsidRPr="00373ACB" w:rsidRDefault="002761F3" w:rsidP="00A92E7C">
            <w:pPr>
              <w:spacing w:after="120"/>
              <w:ind w:right="-330"/>
              <w:rPr>
                <w:rFonts w:ascii="Arial" w:hAnsi="Arial" w:cs="Arial"/>
                <w:sz w:val="20"/>
                <w:szCs w:val="20"/>
              </w:rPr>
            </w:pPr>
          </w:p>
        </w:tc>
        <w:tc>
          <w:tcPr>
            <w:tcW w:w="2342" w:type="dxa"/>
          </w:tcPr>
          <w:p w14:paraId="7854D920" w14:textId="77777777" w:rsidR="002761F3" w:rsidRPr="00373ACB" w:rsidRDefault="002761F3" w:rsidP="00A92E7C">
            <w:pPr>
              <w:spacing w:after="120"/>
              <w:ind w:right="-330"/>
              <w:rPr>
                <w:rFonts w:ascii="Arial" w:hAnsi="Arial" w:cs="Arial"/>
                <w:sz w:val="20"/>
                <w:szCs w:val="20"/>
              </w:rPr>
            </w:pPr>
          </w:p>
        </w:tc>
        <w:tc>
          <w:tcPr>
            <w:tcW w:w="2658" w:type="dxa"/>
          </w:tcPr>
          <w:p w14:paraId="6A1AAA0B" w14:textId="77777777" w:rsidR="002761F3" w:rsidRPr="00373ACB" w:rsidRDefault="002761F3" w:rsidP="00A92E7C">
            <w:pPr>
              <w:spacing w:after="120"/>
              <w:ind w:right="-330"/>
              <w:rPr>
                <w:rFonts w:ascii="Arial" w:hAnsi="Arial" w:cs="Arial"/>
                <w:sz w:val="20"/>
                <w:szCs w:val="20"/>
              </w:rPr>
            </w:pPr>
          </w:p>
        </w:tc>
        <w:tc>
          <w:tcPr>
            <w:tcW w:w="2400" w:type="dxa"/>
          </w:tcPr>
          <w:p w14:paraId="1BFA46EF" w14:textId="77777777" w:rsidR="002761F3" w:rsidRPr="00373ACB" w:rsidRDefault="002761F3" w:rsidP="00A92E7C">
            <w:pPr>
              <w:spacing w:after="120"/>
              <w:ind w:right="-330"/>
              <w:rPr>
                <w:rFonts w:ascii="Arial" w:hAnsi="Arial" w:cs="Arial"/>
                <w:sz w:val="20"/>
                <w:szCs w:val="20"/>
              </w:rPr>
            </w:pPr>
          </w:p>
        </w:tc>
      </w:tr>
    </w:tbl>
    <w:p w14:paraId="471FADE3" w14:textId="77777777" w:rsidR="00D83563" w:rsidRPr="007F6EF6" w:rsidRDefault="00D83563" w:rsidP="002761F3">
      <w:pPr>
        <w:rPr>
          <w:rFonts w:ascii="Arial" w:hAnsi="Arial"/>
          <w:sz w:val="20"/>
        </w:rPr>
      </w:pPr>
    </w:p>
    <w:sectPr w:rsidR="00D83563" w:rsidRPr="007F6EF6" w:rsidSect="002D1AD8">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E73" w14:textId="77777777" w:rsidR="00FB4777" w:rsidRDefault="00FB4777" w:rsidP="009A2D37">
      <w:pPr>
        <w:spacing w:after="0" w:line="240" w:lineRule="auto"/>
      </w:pPr>
      <w:r>
        <w:separator/>
      </w:r>
    </w:p>
  </w:endnote>
  <w:endnote w:type="continuationSeparator" w:id="0">
    <w:p w14:paraId="229614D0" w14:textId="77777777" w:rsidR="00FB4777" w:rsidRDefault="00FB4777" w:rsidP="009A2D37">
      <w:pPr>
        <w:spacing w:after="0" w:line="240" w:lineRule="auto"/>
      </w:pPr>
      <w:r>
        <w:continuationSeparator/>
      </w:r>
    </w:p>
  </w:endnote>
  <w:endnote w:type="continuationNotice" w:id="1">
    <w:p w14:paraId="6201D6A4" w14:textId="77777777" w:rsidR="00FB4777" w:rsidRDefault="00FB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B0372E" w14:textId="3BA4424E" w:rsidR="008B2543" w:rsidRDefault="0019787E" w:rsidP="009A2D37">
        <w:pPr>
          <w:pStyle w:val="Footer"/>
          <w:jc w:val="center"/>
        </w:pPr>
        <w:r>
          <w:fldChar w:fldCharType="begin"/>
        </w:r>
        <w:r>
          <w:instrText xml:space="preserve"> PAGE   \* MERGEFORMAT </w:instrText>
        </w:r>
        <w:r>
          <w:fldChar w:fldCharType="separate"/>
        </w:r>
        <w:r w:rsidR="00A176A1">
          <w:rPr>
            <w:noProof/>
          </w:rPr>
          <w:t>4</w:t>
        </w:r>
        <w:r>
          <w:rPr>
            <w:noProof/>
          </w:rPr>
          <w:fldChar w:fldCharType="end"/>
        </w:r>
      </w:p>
    </w:sdtContent>
  </w:sdt>
  <w:p w14:paraId="514195BC" w14:textId="53423B42" w:rsidR="008B2543" w:rsidRPr="007F6EF6" w:rsidRDefault="000524BB" w:rsidP="000524BB">
    <w:pPr>
      <w:pStyle w:val="Footer"/>
      <w:spacing w:after="120"/>
      <w:ind w:right="-330"/>
      <w:jc w:val="center"/>
      <w:rPr>
        <w:rFonts w:ascii="Arial" w:hAnsi="Arial"/>
        <w:sz w:val="18"/>
      </w:rPr>
    </w:pPr>
    <w:r w:rsidRPr="000524BB">
      <w:rPr>
        <w:rFonts w:ascii="Arial" w:hAnsi="Arial"/>
        <w:sz w:val="18"/>
      </w:rPr>
      <w:t>Law and Social Change, LAWS5700 (LW570) – Sept. 201</w:t>
    </w:r>
    <w:r w:rsidR="00950073">
      <w:rPr>
        <w:rFonts w:ascii="Arial" w:hAnsi="Arial"/>
        <w:sz w:val="18"/>
      </w:rPr>
      <w:t>9</w:t>
    </w:r>
    <w:r w:rsidRPr="000524BB">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1494" w14:textId="5B4A376B" w:rsidR="000524BB" w:rsidRDefault="000524BB">
    <w:pPr>
      <w:pStyle w:val="Footer"/>
    </w:pPr>
  </w:p>
  <w:p w14:paraId="493CED5F" w14:textId="1644690A" w:rsidR="000524BB" w:rsidRPr="000524BB" w:rsidRDefault="000524BB" w:rsidP="000524BB">
    <w:pPr>
      <w:pStyle w:val="Footer"/>
      <w:jc w:val="center"/>
      <w:rPr>
        <w:rFonts w:ascii="Arial" w:hAnsi="Arial" w:cs="Arial"/>
        <w:sz w:val="18"/>
      </w:rPr>
    </w:pPr>
    <w:r w:rsidRPr="000524BB">
      <w:rPr>
        <w:rFonts w:ascii="Arial" w:hAnsi="Arial" w:cs="Arial"/>
        <w:sz w:val="18"/>
      </w:rPr>
      <w:t>Law and Social Change, LAWS5700 (LW570)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D484" w14:textId="77777777" w:rsidR="00FB4777" w:rsidRDefault="00FB4777" w:rsidP="009A2D37">
      <w:pPr>
        <w:spacing w:after="0" w:line="240" w:lineRule="auto"/>
      </w:pPr>
      <w:r>
        <w:separator/>
      </w:r>
    </w:p>
  </w:footnote>
  <w:footnote w:type="continuationSeparator" w:id="0">
    <w:p w14:paraId="2C25FCC2" w14:textId="77777777" w:rsidR="00FB4777" w:rsidRDefault="00FB4777" w:rsidP="009A2D37">
      <w:pPr>
        <w:spacing w:after="0" w:line="240" w:lineRule="auto"/>
      </w:pPr>
      <w:r>
        <w:continuationSeparator/>
      </w:r>
    </w:p>
  </w:footnote>
  <w:footnote w:type="continuationNotice" w:id="1">
    <w:p w14:paraId="69B9756E" w14:textId="77777777" w:rsidR="00FB4777" w:rsidRDefault="00FB4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49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12CC1A45" wp14:editId="3B1887EF">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3850C" w14:textId="77777777" w:rsidR="008B2543" w:rsidRPr="008C00F8" w:rsidRDefault="008B2543" w:rsidP="005E6D38">
    <w:pPr>
      <w:pStyle w:val="Heading1"/>
      <w:spacing w:before="60" w:after="60"/>
      <w:rPr>
        <w:rFonts w:ascii="Arial" w:hAnsi="Arial" w:cs="Arial"/>
      </w:rPr>
    </w:pPr>
  </w:p>
  <w:p w14:paraId="6123EA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9DD7" w14:textId="6735B21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7239E83" wp14:editId="6C84D46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6A1">
      <w:rPr>
        <w:rFonts w:ascii="Arial" w:hAnsi="Arial" w:cs="Arial"/>
        <w:b/>
        <w:sz w:val="28"/>
        <w:szCs w:val="28"/>
      </w:rPr>
      <w:t>MODULE SPECIFICATION</w:t>
    </w:r>
  </w:p>
  <w:p w14:paraId="282542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67972"/>
    <w:multiLevelType w:val="hybridMultilevel"/>
    <w:tmpl w:val="999699CE"/>
    <w:lvl w:ilvl="0" w:tplc="095EA326">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F52988"/>
    <w:multiLevelType w:val="hybridMultilevel"/>
    <w:tmpl w:val="004229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C55CE3"/>
    <w:multiLevelType w:val="hybridMultilevel"/>
    <w:tmpl w:val="9006B0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BE226D"/>
    <w:multiLevelType w:val="hybridMultilevel"/>
    <w:tmpl w:val="6A8AA2A6"/>
    <w:lvl w:ilvl="0" w:tplc="08090001">
      <w:start w:val="1"/>
      <w:numFmt w:val="bullet"/>
      <w:lvlText w:val=""/>
      <w:lvlJc w:val="left"/>
      <w:pPr>
        <w:ind w:left="1080" w:hanging="360"/>
      </w:pPr>
      <w:rPr>
        <w:rFonts w:ascii="Symbol" w:hAnsi="Symbol" w:hint="default"/>
      </w:rPr>
    </w:lvl>
    <w:lvl w:ilvl="1" w:tplc="5E321F06">
      <w:start w:val="12"/>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3C97C1E"/>
    <w:multiLevelType w:val="hybridMultilevel"/>
    <w:tmpl w:val="D72AF7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4837556"/>
    <w:multiLevelType w:val="hybridMultilevel"/>
    <w:tmpl w:val="660AFC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59B69FC"/>
    <w:multiLevelType w:val="hybridMultilevel"/>
    <w:tmpl w:val="65A839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2574D5"/>
    <w:multiLevelType w:val="hybridMultilevel"/>
    <w:tmpl w:val="AA7CCDA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FAD0B4D"/>
    <w:multiLevelType w:val="hybridMultilevel"/>
    <w:tmpl w:val="6734C0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7"/>
  </w:num>
  <w:num w:numId="6">
    <w:abstractNumId w:val="14"/>
  </w:num>
  <w:num w:numId="7">
    <w:abstractNumId w:val="20"/>
  </w:num>
  <w:num w:numId="8">
    <w:abstractNumId w:val="15"/>
  </w:num>
  <w:num w:numId="9">
    <w:abstractNumId w:val="19"/>
  </w:num>
  <w:num w:numId="10">
    <w:abstractNumId w:val="10"/>
  </w:num>
  <w:num w:numId="11">
    <w:abstractNumId w:val="3"/>
  </w:num>
  <w:num w:numId="12">
    <w:abstractNumId w:val="6"/>
  </w:num>
  <w:num w:numId="13">
    <w:abstractNumId w:val="8"/>
  </w:num>
  <w:num w:numId="14">
    <w:abstractNumId w:val="13"/>
  </w:num>
  <w:num w:numId="15">
    <w:abstractNumId w:val="16"/>
  </w:num>
  <w:num w:numId="16">
    <w:abstractNumId w:val="18"/>
  </w:num>
  <w:num w:numId="17">
    <w:abstractNumId w:val="5"/>
  </w:num>
  <w:num w:numId="18">
    <w:abstractNumId w:val="9"/>
  </w:num>
  <w:num w:numId="19">
    <w:abstractNumId w:val="1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4E"/>
    <w:rsid w:val="00000C8C"/>
    <w:rsid w:val="000017F2"/>
    <w:rsid w:val="00002762"/>
    <w:rsid w:val="00005661"/>
    <w:rsid w:val="00010A16"/>
    <w:rsid w:val="0001243F"/>
    <w:rsid w:val="00015A17"/>
    <w:rsid w:val="00021EA0"/>
    <w:rsid w:val="00025992"/>
    <w:rsid w:val="00027937"/>
    <w:rsid w:val="00030C9E"/>
    <w:rsid w:val="00031E67"/>
    <w:rsid w:val="000408CC"/>
    <w:rsid w:val="00045373"/>
    <w:rsid w:val="000524BB"/>
    <w:rsid w:val="000604D9"/>
    <w:rsid w:val="00060C7D"/>
    <w:rsid w:val="00063A2F"/>
    <w:rsid w:val="000678D3"/>
    <w:rsid w:val="0007062E"/>
    <w:rsid w:val="0007557C"/>
    <w:rsid w:val="00081B27"/>
    <w:rsid w:val="00094810"/>
    <w:rsid w:val="000C0294"/>
    <w:rsid w:val="000C7A1C"/>
    <w:rsid w:val="000D2A8A"/>
    <w:rsid w:val="000D32AC"/>
    <w:rsid w:val="000E20C1"/>
    <w:rsid w:val="000E3B73"/>
    <w:rsid w:val="000F49E7"/>
    <w:rsid w:val="000F6C56"/>
    <w:rsid w:val="000F7FBF"/>
    <w:rsid w:val="00106BE5"/>
    <w:rsid w:val="00110947"/>
    <w:rsid w:val="00111906"/>
    <w:rsid w:val="00111CB3"/>
    <w:rsid w:val="00117577"/>
    <w:rsid w:val="00117793"/>
    <w:rsid w:val="001206E4"/>
    <w:rsid w:val="001214D3"/>
    <w:rsid w:val="00121BFC"/>
    <w:rsid w:val="001402AD"/>
    <w:rsid w:val="00141311"/>
    <w:rsid w:val="001540CE"/>
    <w:rsid w:val="0015717B"/>
    <w:rsid w:val="00157ACA"/>
    <w:rsid w:val="00160427"/>
    <w:rsid w:val="00162D46"/>
    <w:rsid w:val="00172793"/>
    <w:rsid w:val="00180558"/>
    <w:rsid w:val="001811E5"/>
    <w:rsid w:val="00183B34"/>
    <w:rsid w:val="00185F46"/>
    <w:rsid w:val="00195C64"/>
    <w:rsid w:val="00196C6A"/>
    <w:rsid w:val="0019787E"/>
    <w:rsid w:val="001A425B"/>
    <w:rsid w:val="001B1B28"/>
    <w:rsid w:val="001B27FB"/>
    <w:rsid w:val="001C4A85"/>
    <w:rsid w:val="001C5443"/>
    <w:rsid w:val="001D0C7D"/>
    <w:rsid w:val="001D1F2D"/>
    <w:rsid w:val="001D2314"/>
    <w:rsid w:val="001D6398"/>
    <w:rsid w:val="001E0BEF"/>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256F"/>
    <w:rsid w:val="00273CF0"/>
    <w:rsid w:val="002748D4"/>
    <w:rsid w:val="00274ED7"/>
    <w:rsid w:val="00275E13"/>
    <w:rsid w:val="002761F3"/>
    <w:rsid w:val="0028461D"/>
    <w:rsid w:val="0028479F"/>
    <w:rsid w:val="0028590C"/>
    <w:rsid w:val="00292C46"/>
    <w:rsid w:val="002938D6"/>
    <w:rsid w:val="00294B73"/>
    <w:rsid w:val="002A0C18"/>
    <w:rsid w:val="002A219B"/>
    <w:rsid w:val="002A22DB"/>
    <w:rsid w:val="002B20F5"/>
    <w:rsid w:val="002B2A1A"/>
    <w:rsid w:val="002B71F2"/>
    <w:rsid w:val="002B728E"/>
    <w:rsid w:val="002C18EE"/>
    <w:rsid w:val="002C3678"/>
    <w:rsid w:val="002D1AD8"/>
    <w:rsid w:val="002E71C0"/>
    <w:rsid w:val="002F05F4"/>
    <w:rsid w:val="002F0CE4"/>
    <w:rsid w:val="002F23EF"/>
    <w:rsid w:val="002F24F4"/>
    <w:rsid w:val="002F2626"/>
    <w:rsid w:val="00302082"/>
    <w:rsid w:val="00303B9D"/>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334"/>
    <w:rsid w:val="003C776B"/>
    <w:rsid w:val="003D4A1C"/>
    <w:rsid w:val="003D5CB7"/>
    <w:rsid w:val="003D7AA0"/>
    <w:rsid w:val="003E1FF7"/>
    <w:rsid w:val="003E311D"/>
    <w:rsid w:val="003F4470"/>
    <w:rsid w:val="003F5A04"/>
    <w:rsid w:val="003F67CD"/>
    <w:rsid w:val="00402ED7"/>
    <w:rsid w:val="004114F8"/>
    <w:rsid w:val="00414F0D"/>
    <w:rsid w:val="00422B69"/>
    <w:rsid w:val="00423D86"/>
    <w:rsid w:val="00424C90"/>
    <w:rsid w:val="004302DA"/>
    <w:rsid w:val="00430856"/>
    <w:rsid w:val="00436BE9"/>
    <w:rsid w:val="00441E76"/>
    <w:rsid w:val="004443DA"/>
    <w:rsid w:val="004474A2"/>
    <w:rsid w:val="00450049"/>
    <w:rsid w:val="00460925"/>
    <w:rsid w:val="00470676"/>
    <w:rsid w:val="00471C6C"/>
    <w:rsid w:val="00472023"/>
    <w:rsid w:val="004749B7"/>
    <w:rsid w:val="00486993"/>
    <w:rsid w:val="00492DA4"/>
    <w:rsid w:val="00496AA3"/>
    <w:rsid w:val="00497C98"/>
    <w:rsid w:val="004A39D7"/>
    <w:rsid w:val="004A55FA"/>
    <w:rsid w:val="004C1EC4"/>
    <w:rsid w:val="004D035C"/>
    <w:rsid w:val="004D0E1A"/>
    <w:rsid w:val="004D12EF"/>
    <w:rsid w:val="004F3089"/>
    <w:rsid w:val="004F3C18"/>
    <w:rsid w:val="004F4328"/>
    <w:rsid w:val="005005E4"/>
    <w:rsid w:val="0050472B"/>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613"/>
    <w:rsid w:val="005779D1"/>
    <w:rsid w:val="0058041A"/>
    <w:rsid w:val="00580DBE"/>
    <w:rsid w:val="0058743D"/>
    <w:rsid w:val="00587BF7"/>
    <w:rsid w:val="0059477B"/>
    <w:rsid w:val="00595740"/>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3714"/>
    <w:rsid w:val="006050CF"/>
    <w:rsid w:val="00623E88"/>
    <w:rsid w:val="006253AA"/>
    <w:rsid w:val="00626023"/>
    <w:rsid w:val="00633150"/>
    <w:rsid w:val="00635D8A"/>
    <w:rsid w:val="00637A50"/>
    <w:rsid w:val="00641D6D"/>
    <w:rsid w:val="006438F3"/>
    <w:rsid w:val="00647907"/>
    <w:rsid w:val="00651A82"/>
    <w:rsid w:val="006525E9"/>
    <w:rsid w:val="0066061A"/>
    <w:rsid w:val="0066747B"/>
    <w:rsid w:val="00670489"/>
    <w:rsid w:val="006725EC"/>
    <w:rsid w:val="00674ED0"/>
    <w:rsid w:val="00682650"/>
    <w:rsid w:val="00684851"/>
    <w:rsid w:val="00695285"/>
    <w:rsid w:val="006A6BB4"/>
    <w:rsid w:val="006A7FB0"/>
    <w:rsid w:val="006C2A9A"/>
    <w:rsid w:val="006C423D"/>
    <w:rsid w:val="006C46EF"/>
    <w:rsid w:val="006C4C67"/>
    <w:rsid w:val="006C6F4B"/>
    <w:rsid w:val="006D41AB"/>
    <w:rsid w:val="006D444F"/>
    <w:rsid w:val="006E6932"/>
    <w:rsid w:val="006F1A15"/>
    <w:rsid w:val="006F2267"/>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3A6D"/>
    <w:rsid w:val="007818D5"/>
    <w:rsid w:val="00781EBE"/>
    <w:rsid w:val="00787070"/>
    <w:rsid w:val="007906FD"/>
    <w:rsid w:val="00797197"/>
    <w:rsid w:val="007972A7"/>
    <w:rsid w:val="007A29B0"/>
    <w:rsid w:val="007A2BA2"/>
    <w:rsid w:val="007A6245"/>
    <w:rsid w:val="007A7376"/>
    <w:rsid w:val="007B1DB2"/>
    <w:rsid w:val="007B375B"/>
    <w:rsid w:val="007B412A"/>
    <w:rsid w:val="007B635E"/>
    <w:rsid w:val="007B7724"/>
    <w:rsid w:val="007B7CDC"/>
    <w:rsid w:val="007C2E68"/>
    <w:rsid w:val="007C74B4"/>
    <w:rsid w:val="007E3412"/>
    <w:rsid w:val="007F0DD8"/>
    <w:rsid w:val="007F16D1"/>
    <w:rsid w:val="007F393D"/>
    <w:rsid w:val="007F6EF6"/>
    <w:rsid w:val="008029AF"/>
    <w:rsid w:val="00802FFA"/>
    <w:rsid w:val="008102E5"/>
    <w:rsid w:val="008111B4"/>
    <w:rsid w:val="008133F0"/>
    <w:rsid w:val="00815713"/>
    <w:rsid w:val="00815880"/>
    <w:rsid w:val="0082322C"/>
    <w:rsid w:val="00823942"/>
    <w:rsid w:val="00826581"/>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0073"/>
    <w:rsid w:val="009567BE"/>
    <w:rsid w:val="009617E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176A1"/>
    <w:rsid w:val="00A3007E"/>
    <w:rsid w:val="00A32048"/>
    <w:rsid w:val="00A41F06"/>
    <w:rsid w:val="00A42648"/>
    <w:rsid w:val="00A50FD4"/>
    <w:rsid w:val="00A52DB4"/>
    <w:rsid w:val="00A60428"/>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E5158"/>
    <w:rsid w:val="00AF0F31"/>
    <w:rsid w:val="00AF50EE"/>
    <w:rsid w:val="00B0591D"/>
    <w:rsid w:val="00B13402"/>
    <w:rsid w:val="00B14BC2"/>
    <w:rsid w:val="00B17024"/>
    <w:rsid w:val="00B17CD2"/>
    <w:rsid w:val="00B213D2"/>
    <w:rsid w:val="00B248BA"/>
    <w:rsid w:val="00B24B56"/>
    <w:rsid w:val="00B2615F"/>
    <w:rsid w:val="00B30E07"/>
    <w:rsid w:val="00B32B7B"/>
    <w:rsid w:val="00B34ADD"/>
    <w:rsid w:val="00B52FF5"/>
    <w:rsid w:val="00B57219"/>
    <w:rsid w:val="00B658A3"/>
    <w:rsid w:val="00B66B09"/>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C78A2"/>
    <w:rsid w:val="00BD009E"/>
    <w:rsid w:val="00BD0EF8"/>
    <w:rsid w:val="00BD6F7B"/>
    <w:rsid w:val="00BD7A8C"/>
    <w:rsid w:val="00BE1DA9"/>
    <w:rsid w:val="00BE2126"/>
    <w:rsid w:val="00BE3B17"/>
    <w:rsid w:val="00BE606A"/>
    <w:rsid w:val="00BF51AB"/>
    <w:rsid w:val="00BF716B"/>
    <w:rsid w:val="00BF7233"/>
    <w:rsid w:val="00C02AA2"/>
    <w:rsid w:val="00C04C95"/>
    <w:rsid w:val="00C07A56"/>
    <w:rsid w:val="00C12613"/>
    <w:rsid w:val="00C16DEF"/>
    <w:rsid w:val="00C21B0E"/>
    <w:rsid w:val="00C2492F"/>
    <w:rsid w:val="00C3744A"/>
    <w:rsid w:val="00C4002A"/>
    <w:rsid w:val="00C46912"/>
    <w:rsid w:val="00C60784"/>
    <w:rsid w:val="00C612A8"/>
    <w:rsid w:val="00C67631"/>
    <w:rsid w:val="00C729D7"/>
    <w:rsid w:val="00C75890"/>
    <w:rsid w:val="00C83354"/>
    <w:rsid w:val="00C84004"/>
    <w:rsid w:val="00C843F6"/>
    <w:rsid w:val="00C84507"/>
    <w:rsid w:val="00C862C7"/>
    <w:rsid w:val="00C94847"/>
    <w:rsid w:val="00CA3254"/>
    <w:rsid w:val="00CB11CE"/>
    <w:rsid w:val="00CC25A2"/>
    <w:rsid w:val="00CC51F9"/>
    <w:rsid w:val="00CD7F07"/>
    <w:rsid w:val="00CE04F3"/>
    <w:rsid w:val="00CE12D8"/>
    <w:rsid w:val="00CE4574"/>
    <w:rsid w:val="00CE70E6"/>
    <w:rsid w:val="00CE725A"/>
    <w:rsid w:val="00CF0881"/>
    <w:rsid w:val="00CF2E1E"/>
    <w:rsid w:val="00D0074E"/>
    <w:rsid w:val="00D02E99"/>
    <w:rsid w:val="00D02EB6"/>
    <w:rsid w:val="00D13357"/>
    <w:rsid w:val="00D13A13"/>
    <w:rsid w:val="00D15BBC"/>
    <w:rsid w:val="00D2689A"/>
    <w:rsid w:val="00D65506"/>
    <w:rsid w:val="00D71DF4"/>
    <w:rsid w:val="00D773CF"/>
    <w:rsid w:val="00D83563"/>
    <w:rsid w:val="00D8448F"/>
    <w:rsid w:val="00DA64B6"/>
    <w:rsid w:val="00DB5C9D"/>
    <w:rsid w:val="00DD02E6"/>
    <w:rsid w:val="00DD2606"/>
    <w:rsid w:val="00DE4F08"/>
    <w:rsid w:val="00DF665B"/>
    <w:rsid w:val="00E0152A"/>
    <w:rsid w:val="00E03394"/>
    <w:rsid w:val="00E066E5"/>
    <w:rsid w:val="00E07ED5"/>
    <w:rsid w:val="00E22F03"/>
    <w:rsid w:val="00E233C1"/>
    <w:rsid w:val="00E51404"/>
    <w:rsid w:val="00E53DEA"/>
    <w:rsid w:val="00E574C9"/>
    <w:rsid w:val="00E610DE"/>
    <w:rsid w:val="00E66167"/>
    <w:rsid w:val="00E70ED7"/>
    <w:rsid w:val="00E71F2F"/>
    <w:rsid w:val="00E77786"/>
    <w:rsid w:val="00E806FB"/>
    <w:rsid w:val="00E829B2"/>
    <w:rsid w:val="00EA652B"/>
    <w:rsid w:val="00EA6558"/>
    <w:rsid w:val="00EB1C2D"/>
    <w:rsid w:val="00EC1810"/>
    <w:rsid w:val="00EC3FCC"/>
    <w:rsid w:val="00EC432B"/>
    <w:rsid w:val="00ED14C6"/>
    <w:rsid w:val="00ED32FF"/>
    <w:rsid w:val="00EF039B"/>
    <w:rsid w:val="00EF351D"/>
    <w:rsid w:val="00EF4933"/>
    <w:rsid w:val="00EF5044"/>
    <w:rsid w:val="00F01956"/>
    <w:rsid w:val="00F116CE"/>
    <w:rsid w:val="00F176DE"/>
    <w:rsid w:val="00F21C47"/>
    <w:rsid w:val="00F21DA7"/>
    <w:rsid w:val="00F244E2"/>
    <w:rsid w:val="00F25953"/>
    <w:rsid w:val="00F340DE"/>
    <w:rsid w:val="00F42FD1"/>
    <w:rsid w:val="00F43542"/>
    <w:rsid w:val="00F527CB"/>
    <w:rsid w:val="00F562AA"/>
    <w:rsid w:val="00F603B9"/>
    <w:rsid w:val="00F66348"/>
    <w:rsid w:val="00F7105A"/>
    <w:rsid w:val="00F77676"/>
    <w:rsid w:val="00F8197C"/>
    <w:rsid w:val="00F82B4E"/>
    <w:rsid w:val="00F87559"/>
    <w:rsid w:val="00F96D71"/>
    <w:rsid w:val="00F97C9E"/>
    <w:rsid w:val="00FA19B8"/>
    <w:rsid w:val="00FA20DE"/>
    <w:rsid w:val="00FA4EE8"/>
    <w:rsid w:val="00FB12CA"/>
    <w:rsid w:val="00FB36EC"/>
    <w:rsid w:val="00FB4777"/>
    <w:rsid w:val="00FB4E1B"/>
    <w:rsid w:val="00FC0291"/>
    <w:rsid w:val="00FC1C92"/>
    <w:rsid w:val="00FD333B"/>
    <w:rsid w:val="00FD595E"/>
    <w:rsid w:val="00FD689C"/>
    <w:rsid w:val="00FD705C"/>
    <w:rsid w:val="00FD777A"/>
    <w:rsid w:val="00FE260B"/>
    <w:rsid w:val="00FE692E"/>
    <w:rsid w:val="00FF31CA"/>
    <w:rsid w:val="00FF55B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0F53B"/>
  <w15:docId w15:val="{28F7EF90-5CFB-432E-8117-D909CF0F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2D1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1A42-8812-4D68-A9F7-B81177EAC14C}">
  <ds:schemaRefs>
    <ds:schemaRef ds:uri="http://schemas.microsoft.com/sharepoint/v3/contenttype/forms"/>
  </ds:schemaRefs>
</ds:datastoreItem>
</file>

<file path=customXml/itemProps2.xml><?xml version="1.0" encoding="utf-8"?>
<ds:datastoreItem xmlns:ds="http://schemas.openxmlformats.org/officeDocument/2006/customXml" ds:itemID="{0416DA79-41D1-4BE3-8AEC-866D286A2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89626-273A-4597-936F-80DDA9FF7EAE}"/>
</file>

<file path=customXml/itemProps4.xml><?xml version="1.0" encoding="utf-8"?>
<ds:datastoreItem xmlns:ds="http://schemas.openxmlformats.org/officeDocument/2006/customXml" ds:itemID="{8805A999-2839-473B-8892-4022B8EAB0E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50567A2-5051-4C0F-86D0-1270ACD3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5</cp:revision>
  <cp:lastPrinted>2018-10-31T12:56:00Z</cp:lastPrinted>
  <dcterms:created xsi:type="dcterms:W3CDTF">2018-12-05T16:49:00Z</dcterms:created>
  <dcterms:modified xsi:type="dcterms:W3CDTF">2022-03-17T18:29:00Z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3297f370-9cc8-458c-a3cb-174f404b7e65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