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FD1BEC" w:rsidP="00154D48">
      <w:pPr>
        <w:spacing w:after="120" w:line="240" w:lineRule="auto"/>
        <w:ind w:left="567" w:right="260"/>
        <w:jc w:val="both"/>
        <w:rPr>
          <w:rFonts w:ascii="Arial" w:hAnsi="Arial" w:cs="Arial"/>
        </w:rPr>
      </w:pPr>
      <w:r w:rsidRPr="00FD1BEC">
        <w:rPr>
          <w:rFonts w:ascii="Arial" w:hAnsi="Arial" w:cs="Arial"/>
        </w:rPr>
        <w:t xml:space="preserve">ITAL5640 (IT564) – </w:t>
      </w:r>
      <w:proofErr w:type="spellStart"/>
      <w:r w:rsidRPr="00FD1BEC">
        <w:rPr>
          <w:rFonts w:ascii="Arial" w:hAnsi="Arial" w:cs="Arial"/>
        </w:rPr>
        <w:t>Istantanea</w:t>
      </w:r>
      <w:proofErr w:type="spellEnd"/>
      <w:r w:rsidRPr="00FD1BEC">
        <w:rPr>
          <w:rFonts w:ascii="Arial" w:hAnsi="Arial" w:cs="Arial"/>
        </w:rPr>
        <w:t>: Visual Culture in Contemporary Italy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D1BEC" w:rsidP="00154D48">
      <w:pPr>
        <w:spacing w:after="120" w:line="240" w:lineRule="auto"/>
        <w:ind w:left="567" w:right="260"/>
        <w:rPr>
          <w:rFonts w:ascii="Arial" w:hAnsi="Arial" w:cs="Arial"/>
          <w:iCs/>
        </w:rPr>
      </w:pPr>
      <w:r w:rsidRPr="00FD1BEC">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D1BEC" w:rsidP="00154D48">
      <w:pPr>
        <w:spacing w:after="120" w:line="240" w:lineRule="auto"/>
        <w:ind w:left="567" w:right="260"/>
        <w:rPr>
          <w:rFonts w:ascii="Arial" w:hAnsi="Arial" w:cs="Arial"/>
        </w:rPr>
      </w:pPr>
      <w:r w:rsidRPr="00FD1BEC">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D1BEC" w:rsidP="00154D48">
      <w:pPr>
        <w:spacing w:after="120" w:line="240" w:lineRule="auto"/>
        <w:ind w:left="567" w:right="260"/>
        <w:rPr>
          <w:rFonts w:ascii="Arial" w:hAnsi="Arial" w:cs="Arial"/>
        </w:rPr>
      </w:pPr>
      <w:r w:rsidRPr="00FD1BEC">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D1BEC" w:rsidP="00154D48">
      <w:pPr>
        <w:spacing w:after="120" w:line="240" w:lineRule="auto"/>
        <w:ind w:left="567" w:right="260"/>
        <w:rPr>
          <w:rFonts w:ascii="Arial" w:hAnsi="Arial" w:cs="Arial"/>
          <w:iCs/>
        </w:rPr>
      </w:pPr>
      <w:r w:rsidRPr="00FD1BEC">
        <w:rPr>
          <w:rFonts w:ascii="Arial" w:hAnsi="Arial" w:cs="Arial"/>
          <w:iCs/>
        </w:rPr>
        <w:t xml:space="preserve">Autumn or </w:t>
      </w:r>
      <w:proofErr w:type="gramStart"/>
      <w:r w:rsidRPr="00FD1BE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D1BEC" w:rsidP="00690498">
      <w:pPr>
        <w:spacing w:after="120" w:line="240" w:lineRule="auto"/>
        <w:ind w:left="567" w:right="260"/>
        <w:jc w:val="both"/>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D1BEC" w:rsidRPr="00FD1BEC" w:rsidRDefault="00FD1BEC" w:rsidP="00FD1BEC">
      <w:pPr>
        <w:spacing w:after="120" w:line="240" w:lineRule="auto"/>
        <w:ind w:left="567" w:right="260"/>
        <w:rPr>
          <w:rFonts w:ascii="Arial" w:hAnsi="Arial" w:cs="Arial"/>
          <w:iCs/>
        </w:rPr>
      </w:pPr>
      <w:r w:rsidRPr="00FD1BEC">
        <w:rPr>
          <w:rFonts w:ascii="Arial" w:hAnsi="Arial" w:cs="Arial"/>
          <w:iCs/>
        </w:rPr>
        <w:t>Optional for BA Italian (Single and Joint Honours)</w:t>
      </w:r>
      <w:r>
        <w:rPr>
          <w:rFonts w:ascii="Arial" w:hAnsi="Arial" w:cs="Arial"/>
          <w:iCs/>
        </w:rPr>
        <w:t>;</w:t>
      </w:r>
      <w:r w:rsidRPr="00FD1BEC">
        <w:rPr>
          <w:rFonts w:ascii="Arial" w:hAnsi="Arial" w:cs="Arial"/>
          <w:iCs/>
        </w:rPr>
        <w:t xml:space="preserve"> BA Italian Studies (Single and Joint Honours)</w:t>
      </w:r>
    </w:p>
    <w:p w:rsidR="009A2D37" w:rsidRPr="00154D48" w:rsidRDefault="00FD1BEC" w:rsidP="00FD1BEC">
      <w:pPr>
        <w:spacing w:after="120" w:line="240" w:lineRule="auto"/>
        <w:ind w:left="567" w:right="260"/>
        <w:rPr>
          <w:rFonts w:ascii="Arial" w:hAnsi="Arial" w:cs="Arial"/>
          <w:iCs/>
        </w:rPr>
      </w:pPr>
      <w:r w:rsidRPr="00FD1BE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D1BEC" w:rsidRPr="00FD1BEC">
        <w:rPr>
          <w:rFonts w:ascii="Arial" w:hAnsi="Arial" w:cs="Arial"/>
        </w:rPr>
        <w:t xml:space="preserve">Demonstrate the technical and artistic competency to read </w:t>
      </w:r>
      <w:r w:rsidR="00690498" w:rsidRPr="00690498">
        <w:rPr>
          <w:rFonts w:ascii="Arial" w:hAnsi="Arial" w:cs="Arial"/>
        </w:rPr>
        <w:t>visual material</w:t>
      </w:r>
      <w:r w:rsidR="00FD1BEC" w:rsidRPr="00FD1BEC">
        <w:rPr>
          <w:rFonts w:ascii="Arial" w:hAnsi="Arial" w:cs="Arial"/>
        </w:rPr>
        <w:t>;</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FD1BEC" w:rsidRPr="00FD1BEC">
        <w:rPr>
          <w:rFonts w:ascii="Arial" w:hAnsi="Arial" w:cs="Arial"/>
        </w:rPr>
        <w:t>Demonstrate their visual literacy;</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FD1BEC" w:rsidRPr="00FD1BEC">
        <w:rPr>
          <w:rFonts w:ascii="Arial" w:hAnsi="Arial" w:cs="Arial"/>
        </w:rPr>
        <w:t>Systematically analyse visual masterpieces within their social, historical and cultural context, and as their products;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FD1BEC" w:rsidRPr="00FD1BEC">
        <w:rPr>
          <w:rFonts w:ascii="Arial" w:hAnsi="Arial" w:cs="Arial"/>
        </w:rPr>
        <w:t>Demonstrate comprehensive understanding of visual culture (ads, propaganda, social documentary, fashion, etc.) in Italy;</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FD1BEC" w:rsidRPr="00FD1BEC">
        <w:rPr>
          <w:rFonts w:ascii="Arial" w:hAnsi="Arial" w:cs="Arial"/>
        </w:rPr>
        <w:t xml:space="preserve">Evince the relationship between visual </w:t>
      </w:r>
      <w:r w:rsidR="00690498">
        <w:rPr>
          <w:rFonts w:ascii="Arial" w:hAnsi="Arial" w:cs="Arial"/>
        </w:rPr>
        <w:t>culture</w:t>
      </w:r>
      <w:r w:rsidR="00FD1BEC" w:rsidRPr="00FD1BEC">
        <w:rPr>
          <w:rFonts w:ascii="Arial" w:hAnsi="Arial" w:cs="Arial"/>
        </w:rPr>
        <w:t xml:space="preserve"> and the dominant philosophical and political trends.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FD1BEC" w:rsidRPr="00FD1BEC">
        <w:rPr>
          <w:rFonts w:ascii="Arial" w:hAnsi="Arial" w:cs="Arial"/>
        </w:rPr>
        <w:t>Apply the skills needed for academic study and enquiry at a high level;</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FD1BEC" w:rsidRPr="00FD1BEC">
        <w:rPr>
          <w:rFonts w:ascii="Arial" w:hAnsi="Arial" w:cs="Arial"/>
        </w:rPr>
        <w:t>Evaluate information critically;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FD1BEC" w:rsidRPr="00FD1BEC">
        <w:rPr>
          <w:rFonts w:ascii="Arial" w:hAnsi="Arial" w:cs="Arial"/>
        </w:rPr>
        <w:t>Synthesise information from different source</w:t>
      </w:r>
      <w:r w:rsidR="00286931">
        <w:rPr>
          <w:rFonts w:ascii="Arial" w:hAnsi="Arial" w:cs="Arial"/>
        </w:rPr>
        <w:t>s</w:t>
      </w:r>
      <w:r w:rsidR="00FD1BEC" w:rsidRPr="00FD1BEC">
        <w:rPr>
          <w:rFonts w:ascii="Arial" w:hAnsi="Arial" w:cs="Arial"/>
        </w:rPr>
        <w:t xml:space="preserve"> to gain deep and structured understanding of the subject;</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FD1BEC" w:rsidRPr="00FD1BEC">
        <w:rPr>
          <w:rFonts w:ascii="Arial" w:hAnsi="Arial" w:cs="Arial"/>
        </w:rPr>
        <w:t>Make use of advanced problem-solving skills;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FD1BEC" w:rsidRPr="00FD1BEC">
        <w:rPr>
          <w:rFonts w:ascii="Arial" w:hAnsi="Arial" w:cs="Arial"/>
        </w:rPr>
        <w:t>Analyse and interpret visual products in a critical manner;</w:t>
      </w:r>
    </w:p>
    <w:p w:rsidR="00FD1BEC" w:rsidRDefault="00FD1BEC" w:rsidP="00BE773E">
      <w:pPr>
        <w:spacing w:after="120" w:line="240" w:lineRule="auto"/>
        <w:ind w:left="1430" w:right="260" w:hanging="550"/>
        <w:jc w:val="both"/>
      </w:pPr>
      <w:r>
        <w:rPr>
          <w:rFonts w:ascii="Arial" w:hAnsi="Arial" w:cs="Arial"/>
        </w:rPr>
        <w:t>9.6</w:t>
      </w:r>
      <w:r>
        <w:rPr>
          <w:rFonts w:ascii="Arial" w:hAnsi="Arial" w:cs="Arial"/>
        </w:rPr>
        <w:tab/>
      </w:r>
      <w:r w:rsidRPr="00FD1BEC">
        <w:rPr>
          <w:rFonts w:ascii="Arial" w:hAnsi="Arial" w:cs="Arial"/>
        </w:rPr>
        <w:t xml:space="preserve">Study and reach conclusions independently and </w:t>
      </w:r>
      <w:r w:rsidR="00286931" w:rsidRPr="00FD1BEC">
        <w:rPr>
          <w:rFonts w:ascii="Arial" w:hAnsi="Arial" w:cs="Arial"/>
        </w:rPr>
        <w:t>formulat</w:t>
      </w:r>
      <w:r w:rsidR="00286931">
        <w:rPr>
          <w:rFonts w:ascii="Arial" w:hAnsi="Arial" w:cs="Arial"/>
        </w:rPr>
        <w:t>e</w:t>
      </w:r>
      <w:r w:rsidR="00286931" w:rsidRPr="00FD1BEC">
        <w:rPr>
          <w:rFonts w:ascii="Arial" w:hAnsi="Arial" w:cs="Arial"/>
        </w:rPr>
        <w:t xml:space="preserve"> </w:t>
      </w:r>
      <w:r w:rsidRPr="00FD1BEC">
        <w:rPr>
          <w:rFonts w:ascii="Arial" w:hAnsi="Arial" w:cs="Arial"/>
        </w:rPr>
        <w:t>original opinions</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90498" w:rsidRDefault="00FD1BEC" w:rsidP="00FD1BEC">
      <w:pPr>
        <w:spacing w:after="120" w:line="240" w:lineRule="auto"/>
        <w:ind w:left="567" w:right="260"/>
        <w:jc w:val="both"/>
        <w:rPr>
          <w:rFonts w:ascii="Arial" w:hAnsi="Arial" w:cs="Arial"/>
          <w:iCs/>
        </w:rPr>
      </w:pPr>
      <w:r w:rsidRPr="00FD1BEC">
        <w:rPr>
          <w:rFonts w:ascii="Arial" w:hAnsi="Arial" w:cs="Arial"/>
          <w:iCs/>
        </w:rPr>
        <w:t xml:space="preserve">This module aims at developing students’ visual literacy within the context of Italian studies, by teaching the skills necessary for the reading of visual materials. Contextually, it aims at developing and enhancing the critical response of students to such imagery, with particular focus on their social, cultural and political context. </w:t>
      </w:r>
    </w:p>
    <w:p w:rsidR="00154D48" w:rsidRPr="00154D48" w:rsidRDefault="00FD1BEC" w:rsidP="00FD1BEC">
      <w:pPr>
        <w:spacing w:after="120" w:line="240" w:lineRule="auto"/>
        <w:ind w:left="567" w:right="260"/>
        <w:jc w:val="both"/>
        <w:rPr>
          <w:rFonts w:ascii="Arial" w:hAnsi="Arial" w:cs="Arial"/>
          <w:iCs/>
        </w:rPr>
      </w:pPr>
      <w:r w:rsidRPr="00FD1BEC">
        <w:rPr>
          <w:rFonts w:ascii="Arial" w:hAnsi="Arial" w:cs="Arial"/>
          <w:iCs/>
        </w:rPr>
        <w:t xml:space="preserve">This module will </w:t>
      </w:r>
      <w:r w:rsidR="00690498">
        <w:rPr>
          <w:rFonts w:ascii="Arial" w:hAnsi="Arial" w:cs="Arial"/>
          <w:iCs/>
        </w:rPr>
        <w:t>analyse the</w:t>
      </w:r>
      <w:r w:rsidRPr="00FD1BEC">
        <w:rPr>
          <w:rFonts w:ascii="Arial" w:hAnsi="Arial" w:cs="Arial"/>
          <w:iCs/>
        </w:rPr>
        <w:t xml:space="preserve"> relationship </w:t>
      </w:r>
      <w:r w:rsidR="00690498" w:rsidRPr="00690498">
        <w:rPr>
          <w:rFonts w:ascii="Arial" w:hAnsi="Arial" w:cs="Arial"/>
          <w:iCs/>
        </w:rPr>
        <w:t>between visual culture, society, politics and history</w:t>
      </w:r>
      <w:r w:rsidRPr="00FD1BEC">
        <w:rPr>
          <w:rFonts w:ascii="Arial" w:hAnsi="Arial" w:cs="Arial"/>
          <w:iCs/>
        </w:rPr>
        <w:t>. It will analyse topics</w:t>
      </w:r>
      <w:r w:rsidR="00690498">
        <w:rPr>
          <w:rFonts w:ascii="Arial" w:hAnsi="Arial" w:cs="Arial"/>
          <w:iCs/>
        </w:rPr>
        <w:t xml:space="preserve"> such as</w:t>
      </w:r>
      <w:r w:rsidRPr="00FD1BEC">
        <w:rPr>
          <w:rFonts w:ascii="Arial" w:hAnsi="Arial" w:cs="Arial"/>
          <w:iCs/>
        </w:rPr>
        <w:t xml:space="preserve"> the portrayal of the Risorgimento; Lombroso’s criminological and </w:t>
      </w:r>
      <w:r w:rsidRPr="00FD1BEC">
        <w:rPr>
          <w:rFonts w:ascii="Arial" w:hAnsi="Arial" w:cs="Arial"/>
          <w:iCs/>
        </w:rPr>
        <w:lastRenderedPageBreak/>
        <w:t>anthropometric use of photography; pseudo-anthropological photography in colonialist exploits, racism and eugenics; Fascist propaganda; futurism and modernism; neo-realist documentary photography and its influence on photojournalism of the 1960s-70s; the paparazzi, fashion and advertisement; photography and the contemporary visual arts; digital photography and social networks. By means of a close reading of visual materials, the students will gain a profound understanding of the practices—ideological, political, commercial, aesthetic, and social—that produce such materials within the modern Italian cultural context.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D1BEC" w:rsidRDefault="00541F19" w:rsidP="00FD1BEC">
      <w:pPr>
        <w:spacing w:after="120" w:line="240" w:lineRule="auto"/>
        <w:ind w:left="567" w:right="260"/>
        <w:jc w:val="both"/>
        <w:rPr>
          <w:rFonts w:ascii="Arial" w:hAnsi="Arial" w:cs="Arial"/>
        </w:rPr>
      </w:pPr>
      <w:r w:rsidRPr="00541F19">
        <w:rPr>
          <w:rFonts w:ascii="Arial" w:eastAsia="Times New Roman" w:hAnsi="Arial" w:cs="Arial"/>
        </w:rPr>
        <w:t xml:space="preserve">Hill, S. P. and </w:t>
      </w:r>
      <w:proofErr w:type="spellStart"/>
      <w:r w:rsidRPr="00541F19">
        <w:rPr>
          <w:rFonts w:ascii="Arial" w:eastAsia="Times New Roman" w:hAnsi="Arial" w:cs="Arial"/>
        </w:rPr>
        <w:t>Minghelli</w:t>
      </w:r>
      <w:proofErr w:type="spellEnd"/>
      <w:r w:rsidRPr="00541F19">
        <w:rPr>
          <w:rFonts w:ascii="Arial" w:eastAsia="Times New Roman" w:hAnsi="Arial" w:cs="Arial"/>
        </w:rPr>
        <w:t xml:space="preserve">, G. (2014). </w:t>
      </w:r>
      <w:r w:rsidRPr="00541F19">
        <w:rPr>
          <w:rFonts w:ascii="Arial" w:eastAsia="Times New Roman" w:hAnsi="Arial" w:cs="Arial"/>
          <w:i/>
          <w:iCs/>
        </w:rPr>
        <w:t>Stillness in Motion. Italy, Photography and the Meanings of Modernity</w:t>
      </w:r>
      <w:r w:rsidRPr="00541F19">
        <w:rPr>
          <w:rFonts w:ascii="Arial" w:eastAsia="Times New Roman" w:hAnsi="Arial" w:cs="Arial"/>
        </w:rPr>
        <w:t>. Toronto: University of Toronto Press</w:t>
      </w:r>
    </w:p>
    <w:p w:rsidR="00690498" w:rsidRPr="00EF0C89" w:rsidRDefault="00690498" w:rsidP="00FD1BEC">
      <w:pPr>
        <w:spacing w:after="120" w:line="240" w:lineRule="auto"/>
        <w:ind w:left="567" w:right="260"/>
        <w:jc w:val="both"/>
        <w:rPr>
          <w:rFonts w:ascii="Arial" w:hAnsi="Arial" w:cs="Arial"/>
        </w:rPr>
      </w:pPr>
      <w:proofErr w:type="spellStart"/>
      <w:r>
        <w:rPr>
          <w:rFonts w:ascii="Arial" w:hAnsi="Arial" w:cs="Arial"/>
        </w:rPr>
        <w:t>Mirzoeff</w:t>
      </w:r>
      <w:proofErr w:type="spellEnd"/>
      <w:r>
        <w:rPr>
          <w:rFonts w:ascii="Arial" w:hAnsi="Arial" w:cs="Arial"/>
        </w:rPr>
        <w:t>, N</w:t>
      </w:r>
      <w:r w:rsidR="00BA6C91">
        <w:rPr>
          <w:rFonts w:ascii="Arial" w:hAnsi="Arial" w:cs="Arial"/>
        </w:rPr>
        <w:t xml:space="preserve">. (2009). </w:t>
      </w:r>
      <w:r w:rsidR="00BA6C91" w:rsidRPr="00BA6C91">
        <w:rPr>
          <w:rFonts w:ascii="Arial" w:hAnsi="Arial" w:cs="Arial"/>
          <w:i/>
        </w:rPr>
        <w:t>An Introduction to Visual Culture</w:t>
      </w:r>
      <w:r w:rsidR="00BA6C91">
        <w:rPr>
          <w:rFonts w:ascii="Arial" w:hAnsi="Arial" w:cs="Arial"/>
        </w:rPr>
        <w:t>. London: Routledge</w:t>
      </w:r>
    </w:p>
    <w:p w:rsidR="00FD1BEC" w:rsidRPr="00EF0C89" w:rsidRDefault="00FD1BEC" w:rsidP="00FD1BEC">
      <w:pPr>
        <w:spacing w:after="120" w:line="240" w:lineRule="auto"/>
        <w:ind w:left="567" w:right="260"/>
        <w:jc w:val="both"/>
        <w:rPr>
          <w:rFonts w:ascii="Arial" w:hAnsi="Arial" w:cs="Arial"/>
        </w:rPr>
      </w:pPr>
      <w:proofErr w:type="spellStart"/>
      <w:r w:rsidRPr="00EF0C89">
        <w:rPr>
          <w:rFonts w:ascii="Arial" w:hAnsi="Arial" w:cs="Arial"/>
        </w:rPr>
        <w:t>Pelizzari</w:t>
      </w:r>
      <w:proofErr w:type="spellEnd"/>
      <w:r w:rsidRPr="00EF0C89">
        <w:rPr>
          <w:rFonts w:ascii="Arial" w:hAnsi="Arial" w:cs="Arial"/>
        </w:rPr>
        <w:t>,</w:t>
      </w:r>
      <w:r>
        <w:rPr>
          <w:rFonts w:ascii="Arial" w:hAnsi="Arial" w:cs="Arial"/>
        </w:rPr>
        <w:t xml:space="preserve"> M.A.</w:t>
      </w:r>
      <w:r w:rsidRPr="00EF0C89">
        <w:rPr>
          <w:rFonts w:ascii="Arial" w:hAnsi="Arial" w:cs="Arial"/>
        </w:rPr>
        <w:t xml:space="preserve"> </w:t>
      </w:r>
      <w:r>
        <w:rPr>
          <w:rFonts w:ascii="Arial" w:hAnsi="Arial" w:cs="Arial"/>
        </w:rPr>
        <w:t xml:space="preserve">(2011). </w:t>
      </w:r>
      <w:r w:rsidRPr="00105770">
        <w:rPr>
          <w:rFonts w:ascii="Arial" w:hAnsi="Arial" w:cs="Arial"/>
          <w:i/>
        </w:rPr>
        <w:t>Photography in Italy</w:t>
      </w:r>
      <w:r>
        <w:rPr>
          <w:rFonts w:ascii="Arial" w:hAnsi="Arial" w:cs="Arial"/>
        </w:rPr>
        <w:t xml:space="preserve">. London: </w:t>
      </w:r>
      <w:proofErr w:type="spellStart"/>
      <w:r>
        <w:rPr>
          <w:rFonts w:ascii="Arial" w:hAnsi="Arial" w:cs="Arial"/>
        </w:rPr>
        <w:t>Reaktion</w:t>
      </w:r>
      <w:proofErr w:type="spellEnd"/>
      <w:r>
        <w:rPr>
          <w:rFonts w:ascii="Arial" w:hAnsi="Arial" w:cs="Arial"/>
        </w:rPr>
        <w:t xml:space="preserve"> Books</w:t>
      </w:r>
    </w:p>
    <w:p w:rsidR="00FD1BEC" w:rsidRPr="0036174D" w:rsidRDefault="00BA6C91" w:rsidP="00FD1BEC">
      <w:pPr>
        <w:spacing w:after="120" w:line="240" w:lineRule="auto"/>
        <w:ind w:left="567" w:right="260"/>
        <w:jc w:val="both"/>
        <w:rPr>
          <w:rFonts w:ascii="Arial" w:hAnsi="Arial" w:cs="Arial"/>
        </w:rPr>
      </w:pPr>
      <w:proofErr w:type="spellStart"/>
      <w:r>
        <w:rPr>
          <w:rFonts w:ascii="Arial" w:hAnsi="Arial" w:cs="Arial"/>
        </w:rPr>
        <w:t>Sturken</w:t>
      </w:r>
      <w:proofErr w:type="spellEnd"/>
      <w:r>
        <w:rPr>
          <w:rFonts w:ascii="Arial" w:hAnsi="Arial" w:cs="Arial"/>
        </w:rPr>
        <w:t xml:space="preserve">, M. and Cartwright, L. (2009). </w:t>
      </w:r>
      <w:r w:rsidRPr="00BA6C91">
        <w:rPr>
          <w:rFonts w:ascii="Arial" w:hAnsi="Arial" w:cs="Arial"/>
          <w:i/>
        </w:rPr>
        <w:t>Practices of Looking: An Introduction to Visual Culture</w:t>
      </w:r>
      <w:r>
        <w:rPr>
          <w:rFonts w:ascii="Arial" w:hAnsi="Arial" w:cs="Arial"/>
        </w:rPr>
        <w:t>. Oxford: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FD1BEC">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FD1BEC">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FD1BEC">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FD1BEC" w:rsidP="00BE773E">
      <w:pPr>
        <w:numPr>
          <w:ilvl w:val="0"/>
          <w:numId w:val="11"/>
        </w:numPr>
        <w:spacing w:after="120" w:line="240" w:lineRule="auto"/>
        <w:ind w:right="260"/>
        <w:rPr>
          <w:rFonts w:ascii="Arial" w:hAnsi="Arial" w:cs="Arial"/>
          <w:iCs/>
        </w:rPr>
      </w:pPr>
      <w:r>
        <w:rPr>
          <w:rFonts w:ascii="Arial" w:hAnsi="Arial" w:cs="Arial"/>
          <w:iCs/>
        </w:rPr>
        <w:t>Essay 1 (1,000 words) – 35%</w:t>
      </w:r>
    </w:p>
    <w:p w:rsidR="00BE773E" w:rsidRPr="00FD1BEC" w:rsidRDefault="00FD1BEC" w:rsidP="00377755">
      <w:pPr>
        <w:numPr>
          <w:ilvl w:val="0"/>
          <w:numId w:val="10"/>
        </w:numPr>
        <w:spacing w:after="120" w:line="240" w:lineRule="auto"/>
        <w:ind w:right="260"/>
        <w:rPr>
          <w:rFonts w:ascii="Arial" w:hAnsi="Arial" w:cs="Arial"/>
          <w:iCs/>
        </w:rPr>
      </w:pPr>
      <w:r w:rsidRPr="00FD1BEC">
        <w:rPr>
          <w:rFonts w:ascii="Arial" w:hAnsi="Arial" w:cs="Arial"/>
          <w:iCs/>
        </w:rPr>
        <w:t>Essay 2 (2,000 words) – 65%</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D1BE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D1BEC" w:rsidRPr="00302082" w:rsidTr="00FD1BEC">
        <w:tc>
          <w:tcPr>
            <w:tcW w:w="2439" w:type="dxa"/>
            <w:shd w:val="clear" w:color="auto" w:fill="D9D9D9" w:themeFill="background1" w:themeFillShade="D9"/>
          </w:tcPr>
          <w:p w:rsidR="00FD1BEC" w:rsidRPr="00302082" w:rsidRDefault="00FD1BEC" w:rsidP="00302082">
            <w:pPr>
              <w:spacing w:after="120"/>
              <w:ind w:left="33"/>
              <w:rPr>
                <w:rFonts w:ascii="Arial" w:hAnsi="Arial" w:cs="Arial"/>
                <w:b/>
              </w:rPr>
            </w:pPr>
            <w:r w:rsidRPr="00302082">
              <w:rPr>
                <w:rFonts w:ascii="Arial" w:hAnsi="Arial" w:cs="Arial"/>
                <w:b/>
              </w:rPr>
              <w:t>Module learning outcome</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8.1</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8.2</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8.3</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8.4</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8.5</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9.1</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9.2</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9.3</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9.4</w:t>
            </w:r>
          </w:p>
        </w:tc>
        <w:tc>
          <w:tcPr>
            <w:tcW w:w="567" w:type="dxa"/>
          </w:tcPr>
          <w:p w:rsidR="00FD1BEC" w:rsidRPr="002302FD" w:rsidRDefault="00FD1BEC" w:rsidP="00FD1BEC">
            <w:pPr>
              <w:spacing w:after="120"/>
              <w:jc w:val="center"/>
              <w:rPr>
                <w:rFonts w:ascii="Arial" w:hAnsi="Arial" w:cs="Arial"/>
              </w:rPr>
            </w:pPr>
            <w:r w:rsidRPr="002302FD">
              <w:rPr>
                <w:rFonts w:ascii="Arial" w:hAnsi="Arial" w:cs="Arial"/>
              </w:rPr>
              <w:t>9.5</w:t>
            </w:r>
          </w:p>
        </w:tc>
        <w:tc>
          <w:tcPr>
            <w:tcW w:w="567" w:type="dxa"/>
          </w:tcPr>
          <w:p w:rsidR="00FD1BEC" w:rsidRPr="002302FD" w:rsidRDefault="00FD1BEC" w:rsidP="00FD1BEC">
            <w:pPr>
              <w:spacing w:after="120"/>
              <w:jc w:val="center"/>
              <w:rPr>
                <w:rFonts w:ascii="Arial" w:hAnsi="Arial" w:cs="Arial"/>
              </w:rPr>
            </w:pPr>
            <w:r>
              <w:rPr>
                <w:rFonts w:ascii="Arial" w:hAnsi="Arial" w:cs="Arial"/>
              </w:rPr>
              <w:t>9.6</w:t>
            </w:r>
          </w:p>
        </w:tc>
      </w:tr>
      <w:tr w:rsidR="00FD1BEC" w:rsidRPr="00302082" w:rsidTr="00FD1BEC">
        <w:tc>
          <w:tcPr>
            <w:tcW w:w="2439" w:type="dxa"/>
            <w:shd w:val="clear" w:color="auto" w:fill="D9D9D9" w:themeFill="background1" w:themeFillShade="D9"/>
          </w:tcPr>
          <w:p w:rsidR="00FD1BEC" w:rsidRPr="00302082" w:rsidRDefault="00FD1BEC" w:rsidP="00302082">
            <w:pPr>
              <w:spacing w:after="120"/>
              <w:rPr>
                <w:rFonts w:ascii="Arial" w:hAnsi="Arial" w:cs="Arial"/>
                <w:b/>
              </w:rPr>
            </w:pPr>
            <w:r w:rsidRPr="00302082">
              <w:rPr>
                <w:rFonts w:ascii="Arial" w:hAnsi="Arial" w:cs="Arial"/>
                <w:b/>
              </w:rPr>
              <w:t>Learning/ teaching method</w:t>
            </w: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c>
          <w:tcPr>
            <w:tcW w:w="567" w:type="dxa"/>
          </w:tcPr>
          <w:p w:rsidR="00FD1BEC" w:rsidRPr="00302082" w:rsidRDefault="00FD1BEC" w:rsidP="00302082">
            <w:pPr>
              <w:spacing w:after="120"/>
              <w:rPr>
                <w:rFonts w:ascii="Arial" w:hAnsi="Arial" w:cs="Arial"/>
                <w:b/>
              </w:rPr>
            </w:pPr>
          </w:p>
        </w:tc>
      </w:tr>
      <w:tr w:rsidR="00FD1BEC" w:rsidRPr="00302082" w:rsidTr="00FD1BEC">
        <w:tc>
          <w:tcPr>
            <w:tcW w:w="2439" w:type="dxa"/>
          </w:tcPr>
          <w:p w:rsidR="00FD1BEC" w:rsidRPr="00BE773E" w:rsidRDefault="00FD1BEC" w:rsidP="00302082">
            <w:pPr>
              <w:spacing w:after="120"/>
              <w:rPr>
                <w:rFonts w:ascii="Arial" w:hAnsi="Arial" w:cs="Arial"/>
              </w:rPr>
            </w:pPr>
            <w:r w:rsidRPr="00BE773E">
              <w:rPr>
                <w:rFonts w:ascii="Arial" w:hAnsi="Arial" w:cs="Arial"/>
              </w:rPr>
              <w:t>Private Study</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r w:rsidR="00FD1BEC" w:rsidRPr="00302082" w:rsidTr="00FD1BEC">
        <w:tc>
          <w:tcPr>
            <w:tcW w:w="2439" w:type="dxa"/>
          </w:tcPr>
          <w:p w:rsidR="00FD1BEC" w:rsidRPr="00154D48" w:rsidRDefault="00FD1BEC" w:rsidP="00302082">
            <w:pPr>
              <w:spacing w:after="120"/>
              <w:rPr>
                <w:rFonts w:ascii="Arial" w:hAnsi="Arial" w:cs="Arial"/>
              </w:rPr>
            </w:pPr>
            <w:r>
              <w:rPr>
                <w:rFonts w:ascii="Arial" w:hAnsi="Arial" w:cs="Arial"/>
              </w:rPr>
              <w:t>Lecture</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r w:rsidR="00FD1BEC" w:rsidRPr="00302082" w:rsidTr="00FD1BEC">
        <w:tc>
          <w:tcPr>
            <w:tcW w:w="2439" w:type="dxa"/>
          </w:tcPr>
          <w:p w:rsidR="00FD1BEC" w:rsidRPr="00154D48" w:rsidRDefault="00FD1BEC" w:rsidP="00302082">
            <w:pPr>
              <w:spacing w:after="120"/>
              <w:rPr>
                <w:rFonts w:ascii="Arial" w:hAnsi="Arial" w:cs="Arial"/>
              </w:rPr>
            </w:pPr>
            <w:r>
              <w:rPr>
                <w:rFonts w:ascii="Arial" w:hAnsi="Arial" w:cs="Arial"/>
              </w:rPr>
              <w:t>Seminar</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p>
        </w:tc>
      </w:tr>
      <w:tr w:rsidR="00FD1BEC" w:rsidRPr="00302082" w:rsidTr="00FD1BEC">
        <w:tc>
          <w:tcPr>
            <w:tcW w:w="2439" w:type="dxa"/>
            <w:shd w:val="clear" w:color="auto" w:fill="D9D9D9" w:themeFill="background1" w:themeFillShade="D9"/>
          </w:tcPr>
          <w:p w:rsidR="00FD1BEC" w:rsidRPr="00302082" w:rsidRDefault="00FD1BEC" w:rsidP="00302082">
            <w:pPr>
              <w:spacing w:after="120"/>
              <w:rPr>
                <w:rFonts w:ascii="Arial" w:hAnsi="Arial" w:cs="Arial"/>
                <w:b/>
              </w:rPr>
            </w:pPr>
            <w:r w:rsidRPr="00302082">
              <w:rPr>
                <w:rFonts w:ascii="Arial" w:hAnsi="Arial" w:cs="Arial"/>
                <w:b/>
              </w:rPr>
              <w:t>Assessment method</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tcPr>
          <w:p w:rsidR="00FD1BEC" w:rsidRPr="00302082" w:rsidRDefault="00FD1BEC" w:rsidP="00E871CF">
            <w:pPr>
              <w:spacing w:after="120"/>
              <w:jc w:val="center"/>
              <w:rPr>
                <w:rFonts w:ascii="Arial" w:hAnsi="Arial" w:cs="Arial"/>
                <w:b/>
              </w:rPr>
            </w:pPr>
          </w:p>
        </w:tc>
      </w:tr>
      <w:tr w:rsidR="00FD1BEC" w:rsidRPr="00302082" w:rsidTr="00FD1BEC">
        <w:tc>
          <w:tcPr>
            <w:tcW w:w="2439" w:type="dxa"/>
          </w:tcPr>
          <w:p w:rsidR="00FD1BEC" w:rsidRPr="00154D48" w:rsidRDefault="00FD1BEC" w:rsidP="00302082">
            <w:pPr>
              <w:spacing w:after="120"/>
              <w:rPr>
                <w:rFonts w:ascii="Arial" w:hAnsi="Arial" w:cs="Arial"/>
              </w:rPr>
            </w:pPr>
            <w:r>
              <w:rPr>
                <w:rFonts w:ascii="Arial" w:hAnsi="Arial" w:cs="Arial"/>
              </w:rPr>
              <w:t>Essay 1</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r w:rsidR="00FD1BEC" w:rsidRPr="00302082" w:rsidTr="00FD1BEC">
        <w:tc>
          <w:tcPr>
            <w:tcW w:w="2439" w:type="dxa"/>
          </w:tcPr>
          <w:p w:rsidR="00FD1BEC" w:rsidRPr="00154D48" w:rsidRDefault="00FD1BEC" w:rsidP="00154D48">
            <w:pPr>
              <w:spacing w:after="120"/>
              <w:rPr>
                <w:rFonts w:ascii="Arial" w:hAnsi="Arial" w:cs="Arial"/>
              </w:rPr>
            </w:pPr>
            <w:r>
              <w:rPr>
                <w:rFonts w:ascii="Arial" w:hAnsi="Arial" w:cs="Arial"/>
              </w:rPr>
              <w:t>Essay 2</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vAlign w:val="center"/>
          </w:tcPr>
          <w:p w:rsidR="00FD1BEC" w:rsidRPr="00302082" w:rsidRDefault="00FD1BEC" w:rsidP="00E871CF">
            <w:pPr>
              <w:spacing w:after="120"/>
              <w:jc w:val="center"/>
              <w:rPr>
                <w:rFonts w:ascii="Arial" w:hAnsi="Arial" w:cs="Arial"/>
                <w:b/>
              </w:rPr>
            </w:pPr>
            <w:r>
              <w:rPr>
                <w:rFonts w:ascii="Arial" w:hAnsi="Arial" w:cs="Arial"/>
                <w:b/>
              </w:rPr>
              <w:t>x</w:t>
            </w:r>
          </w:p>
        </w:tc>
        <w:tc>
          <w:tcPr>
            <w:tcW w:w="567" w:type="dxa"/>
          </w:tcPr>
          <w:p w:rsidR="00FD1BEC" w:rsidRPr="00302082" w:rsidRDefault="00FD1BEC"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D1BEC"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FD1BEC" w:rsidP="00FD1BEC">
      <w:pPr>
        <w:spacing w:after="120" w:line="240" w:lineRule="auto"/>
        <w:ind w:left="567" w:right="260"/>
        <w:jc w:val="both"/>
        <w:rPr>
          <w:rFonts w:ascii="Arial" w:hAnsi="Arial" w:cs="Arial"/>
          <w:iCs/>
        </w:rPr>
      </w:pPr>
      <w:r w:rsidRPr="00FD1BEC">
        <w:rPr>
          <w:rFonts w:ascii="Arial" w:hAnsi="Arial" w:cs="Arial"/>
          <w:iCs/>
        </w:rPr>
        <w:t>From the very inception of photography, Italy itself has been one of the favourite subjects of international itinerant photographers. Students will learn how the feeling of a united Italian nation was created through foreign eyes. Additionally, Italian photography has been very influential internationally. Students will engage with Italian photography and visual culture in its relationship with the wider European and international context. In this module students will engage with a variety of secondary materials, written by Italian and international scholars.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76D51">
        <w:trPr>
          <w:trHeight w:val="305"/>
        </w:trPr>
        <w:tc>
          <w:tcPr>
            <w:tcW w:w="1526"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rsidR="00422B69" w:rsidRPr="00176D51" w:rsidRDefault="00176D51" w:rsidP="00176D51">
            <w:pPr>
              <w:spacing w:after="120"/>
              <w:ind w:right="-330"/>
              <w:rPr>
                <w:rFonts w:ascii="Arial" w:hAnsi="Arial" w:cs="Arial"/>
                <w:sz w:val="18"/>
                <w:szCs w:val="18"/>
              </w:rPr>
            </w:pPr>
            <w:r>
              <w:rPr>
                <w:rFonts w:ascii="Arial" w:hAnsi="Arial" w:cs="Arial"/>
                <w:sz w:val="18"/>
                <w:szCs w:val="18"/>
              </w:rPr>
              <w:t>No</w:t>
            </w:r>
          </w:p>
        </w:tc>
      </w:tr>
      <w:tr w:rsidR="00302082" w:rsidRPr="00302082" w:rsidTr="00176D51">
        <w:trPr>
          <w:trHeight w:val="305"/>
        </w:trPr>
        <w:tc>
          <w:tcPr>
            <w:tcW w:w="1526"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176D51" w:rsidRDefault="0075651B" w:rsidP="00176D51">
            <w:pPr>
              <w:spacing w:after="120"/>
              <w:ind w:right="-330"/>
              <w:rPr>
                <w:rFonts w:ascii="Arial" w:hAnsi="Arial" w:cs="Arial"/>
                <w:sz w:val="18"/>
                <w:szCs w:val="18"/>
              </w:rPr>
            </w:pPr>
            <w:r w:rsidRPr="0075651B">
              <w:rPr>
                <w:rFonts w:ascii="Arial" w:hAnsi="Arial" w:cs="Arial"/>
                <w:sz w:val="18"/>
                <w:szCs w:val="18"/>
              </w:rPr>
              <w:t>1, 8-11</w:t>
            </w:r>
          </w:p>
        </w:tc>
        <w:tc>
          <w:tcPr>
            <w:tcW w:w="2685" w:type="dxa"/>
            <w:vAlign w:val="center"/>
          </w:tcPr>
          <w:p w:rsidR="00422B69" w:rsidRPr="00176D51" w:rsidRDefault="0075651B" w:rsidP="00176D51">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176D51" w:rsidRPr="00F74B16" w:rsidTr="00176D51">
        <w:trPr>
          <w:trHeight w:val="305"/>
        </w:trPr>
        <w:tc>
          <w:tcPr>
            <w:tcW w:w="10335" w:type="dxa"/>
            <w:vAlign w:val="center"/>
          </w:tcPr>
          <w:p w:rsidR="00176D51" w:rsidRPr="00F74B16" w:rsidRDefault="00176D51" w:rsidP="0075651B">
            <w:pPr>
              <w:rPr>
                <w:rFonts w:ascii="Arial" w:hAnsi="Arial" w:cs="Arial"/>
                <w:sz w:val="18"/>
                <w:szCs w:val="18"/>
              </w:rPr>
            </w:pPr>
            <w:r w:rsidRPr="00F74B16">
              <w:rPr>
                <w:rFonts w:ascii="Arial" w:hAnsi="Arial" w:cs="Arial"/>
                <w:sz w:val="18"/>
                <w:szCs w:val="18"/>
              </w:rPr>
              <w:t xml:space="preserve">Revised FSO </w:t>
            </w:r>
            <w:r w:rsidR="0075651B">
              <w:rPr>
                <w:rFonts w:ascii="Arial" w:hAnsi="Arial" w:cs="Arial"/>
                <w:sz w:val="18"/>
                <w:szCs w:val="18"/>
              </w:rPr>
              <w:t>Feb 2020</w:t>
            </w:r>
          </w:p>
        </w:tc>
      </w:tr>
    </w:tbl>
    <w:p w:rsidR="00176D51" w:rsidRPr="00302082" w:rsidRDefault="00176D51" w:rsidP="00302082">
      <w:pPr>
        <w:spacing w:after="120" w:line="240" w:lineRule="auto"/>
        <w:ind w:right="-330"/>
        <w:rPr>
          <w:rFonts w:ascii="Arial" w:hAnsi="Arial" w:cs="Arial"/>
        </w:rPr>
      </w:pPr>
    </w:p>
    <w:sectPr w:rsidR="00176D5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5651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5651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6D51"/>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86931"/>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1F19"/>
    <w:rsid w:val="005460C2"/>
    <w:rsid w:val="005526FB"/>
    <w:rsid w:val="0055280A"/>
    <w:rsid w:val="005548E1"/>
    <w:rsid w:val="0055585D"/>
    <w:rsid w:val="0056127B"/>
    <w:rsid w:val="00561D26"/>
    <w:rsid w:val="00564738"/>
    <w:rsid w:val="00567EC9"/>
    <w:rsid w:val="00571630"/>
    <w:rsid w:val="005759F4"/>
    <w:rsid w:val="005779D1"/>
    <w:rsid w:val="0058041A"/>
    <w:rsid w:val="00584A4C"/>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498"/>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651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0BF"/>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3BBC"/>
    <w:rsid w:val="00BA453C"/>
    <w:rsid w:val="00BA4E02"/>
    <w:rsid w:val="00BA6C91"/>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06D67"/>
    <w:rsid w:val="00E22F03"/>
    <w:rsid w:val="00E233C1"/>
    <w:rsid w:val="00E51404"/>
    <w:rsid w:val="00E574C9"/>
    <w:rsid w:val="00E610DE"/>
    <w:rsid w:val="00E66167"/>
    <w:rsid w:val="00E71F2F"/>
    <w:rsid w:val="00E77786"/>
    <w:rsid w:val="00E806FB"/>
    <w:rsid w:val="00E871CF"/>
    <w:rsid w:val="00EB1C2D"/>
    <w:rsid w:val="00EB3A61"/>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BE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A62E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176D5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5F19EBA-9572-4263-B32F-490C37BAE5AA}">
  <ds:schemaRefs>
    <ds:schemaRef ds:uri="http://schemas.openxmlformats.org/officeDocument/2006/bibliography"/>
  </ds:schemaRefs>
</ds:datastoreItem>
</file>

<file path=customXml/itemProps2.xml><?xml version="1.0" encoding="utf-8"?>
<ds:datastoreItem xmlns:ds="http://schemas.openxmlformats.org/officeDocument/2006/customXml" ds:itemID="{03D60EA9-7EA4-4F4F-B0A1-4CAA4B407353}"/>
</file>

<file path=customXml/itemProps3.xml><?xml version="1.0" encoding="utf-8"?>
<ds:datastoreItem xmlns:ds="http://schemas.openxmlformats.org/officeDocument/2006/customXml" ds:itemID="{AAB3C90C-8C7D-417D-9005-C51034BAA614}"/>
</file>

<file path=customXml/itemProps4.xml><?xml version="1.0" encoding="utf-8"?>
<ds:datastoreItem xmlns:ds="http://schemas.openxmlformats.org/officeDocument/2006/customXml" ds:itemID="{40B6EBD4-ED9A-43CE-BCF1-C61C6D734319}"/>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2020-01-15T09:44:00Z</dcterms:created>
  <dcterms:modified xsi:type="dcterms:W3CDTF">2020-02-10T16:48:00Z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