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FA009" w14:textId="77777777" w:rsidR="00B07E0E" w:rsidRDefault="00B07E0E" w:rsidP="00C16DEF">
      <w:pPr>
        <w:spacing w:line="240" w:lineRule="auto"/>
        <w:rPr>
          <w:rFonts w:ascii="Arial" w:hAnsi="Arial" w:cs="Arial"/>
          <w:b/>
          <w:i/>
        </w:rPr>
      </w:pPr>
    </w:p>
    <w:p w14:paraId="12290658" w14:textId="42696BB2" w:rsidR="009A2D37" w:rsidRDefault="00E1736E" w:rsidP="00072357">
      <w:pPr>
        <w:pStyle w:val="header2"/>
      </w:pPr>
      <w:r>
        <w:t>KentVision Code and t</w:t>
      </w:r>
      <w:r w:rsidR="009A2D37" w:rsidRPr="00072357">
        <w:t>itle of the module</w:t>
      </w:r>
    </w:p>
    <w:p w14:paraId="61555757" w14:textId="63BE229B" w:rsidR="00F834F0" w:rsidRPr="00F834F0" w:rsidRDefault="00F834F0" w:rsidP="00F834F0">
      <w:pPr>
        <w:pStyle w:val="Heading2"/>
        <w:numPr>
          <w:ilvl w:val="0"/>
          <w:numId w:val="0"/>
        </w:numPr>
        <w:ind w:left="567"/>
        <w:rPr>
          <w:b w:val="0"/>
          <w:bCs/>
        </w:rPr>
      </w:pPr>
      <w:r>
        <w:rPr>
          <w:b w:val="0"/>
          <w:bCs/>
        </w:rPr>
        <w:t>ENGL713</w:t>
      </w:r>
      <w:r w:rsidR="00740C1A">
        <w:rPr>
          <w:b w:val="0"/>
          <w:bCs/>
        </w:rPr>
        <w:t>0</w:t>
      </w:r>
      <w:r>
        <w:rPr>
          <w:b w:val="0"/>
          <w:bCs/>
        </w:rPr>
        <w:t xml:space="preserve"> The New Woman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581D6375" w:rsidR="009A2D37"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A7D74D7" w14:textId="2817C3C2" w:rsidR="00F834F0" w:rsidRPr="005A7A71" w:rsidRDefault="00B06017" w:rsidP="00F834F0">
      <w:pPr>
        <w:ind w:left="567"/>
        <w:rPr>
          <w:rFonts w:ascii="Arial" w:hAnsi="Arial" w:cs="Arial"/>
          <w:sz w:val="24"/>
          <w:szCs w:val="24"/>
        </w:rPr>
      </w:pPr>
      <w:r>
        <w:rPr>
          <w:rFonts w:ascii="Arial" w:hAnsi="Arial" w:cs="Arial"/>
          <w:sz w:val="24"/>
          <w:szCs w:val="24"/>
        </w:rPr>
        <w:t>Division of Arts and Humanities/</w:t>
      </w:r>
      <w:r w:rsidR="00F834F0" w:rsidRPr="005A7A71">
        <w:rPr>
          <w:rFonts w:ascii="Arial" w:hAnsi="Arial" w:cs="Arial"/>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499BDAD" w:rsidR="009A2D37" w:rsidRDefault="00F834F0" w:rsidP="00B07E0E">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32FFBFF" w:rsidR="009A2D37" w:rsidRPr="005A7A71" w:rsidRDefault="00F834F0" w:rsidP="005A7A71">
      <w:pPr>
        <w:pStyle w:val="header2"/>
        <w:numPr>
          <w:ilvl w:val="0"/>
          <w:numId w:val="0"/>
        </w:numPr>
        <w:ind w:left="567"/>
        <w:rPr>
          <w:b w:val="0"/>
          <w:bCs/>
        </w:rPr>
      </w:pPr>
      <w:r w:rsidRPr="00F834F0">
        <w:rPr>
          <w:b w:val="0"/>
          <w:bCs/>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801C12B" w:rsidR="009A2D37" w:rsidRDefault="00F834F0" w:rsidP="00B07E0E">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45667C4" w:rsidR="00694B52" w:rsidRDefault="00B07E0E" w:rsidP="005A7A71">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49BAED57" w14:textId="77777777" w:rsidR="005A7A71" w:rsidRPr="005A7A71" w:rsidRDefault="005A7A71" w:rsidP="005A7A71">
      <w:pPr>
        <w:spacing w:after="120" w:line="240" w:lineRule="auto"/>
        <w:ind w:left="567" w:right="543"/>
        <w:jc w:val="both"/>
        <w:rPr>
          <w:rFonts w:ascii="Arial" w:hAnsi="Arial" w:cs="Arial"/>
          <w:b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BE8D19D" w14:textId="6E2FE98E" w:rsidR="000B55DD" w:rsidRDefault="000B55DD" w:rsidP="000B55DD">
      <w:pPr>
        <w:spacing w:after="120" w:line="240" w:lineRule="auto"/>
        <w:ind w:left="567" w:right="543"/>
      </w:pPr>
      <w:r>
        <w:rPr>
          <w:rFonts w:ascii="Arial" w:hAnsi="Arial" w:cs="Arial"/>
          <w:iCs/>
          <w:sz w:val="24"/>
          <w:szCs w:val="24"/>
        </w:rPr>
        <w:t>Optional to the following courses:</w:t>
      </w:r>
      <w:r w:rsidRPr="00E7352D">
        <w:t xml:space="preserve"> </w:t>
      </w:r>
    </w:p>
    <w:p w14:paraId="6EB7AB01" w14:textId="448FA9B9" w:rsidR="00F834F0" w:rsidRDefault="007D2AEF" w:rsidP="00B07E0E">
      <w:pPr>
        <w:spacing w:after="120" w:line="240" w:lineRule="auto"/>
        <w:ind w:left="567" w:right="260"/>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566F036F" w14:textId="6DD2BA5D" w:rsidR="00651B44" w:rsidRPr="005A7A71" w:rsidRDefault="00651B44" w:rsidP="00B07E0E">
      <w:pPr>
        <w:spacing w:after="120" w:line="240" w:lineRule="auto"/>
        <w:ind w:left="567" w:right="260"/>
        <w:rPr>
          <w:rFonts w:ascii="Arial" w:hAnsi="Arial" w:cs="Arial"/>
          <w:iCs/>
          <w:sz w:val="24"/>
          <w:szCs w:val="24"/>
        </w:rPr>
      </w:pPr>
      <w:r>
        <w:rPr>
          <w:rFonts w:ascii="Arial" w:hAnsi="Arial" w:cs="Arial"/>
          <w:iCs/>
          <w:sz w:val="24"/>
          <w:szCs w:val="24"/>
        </w:rPr>
        <w:t>Also available as an elective module</w:t>
      </w:r>
    </w:p>
    <w:p w14:paraId="7B052B41" w14:textId="77777777" w:rsidR="00F834F0" w:rsidRPr="005A7A71" w:rsidRDefault="00F834F0" w:rsidP="00F834F0">
      <w:pPr>
        <w:spacing w:after="120" w:line="240" w:lineRule="auto"/>
        <w:ind w:left="426" w:right="260"/>
        <w:rPr>
          <w:rFonts w:ascii="Arial" w:hAnsi="Arial" w:cs="Arial"/>
          <w:b/>
          <w:bCs/>
          <w:iCs/>
          <w:sz w:val="24"/>
          <w:szCs w:val="24"/>
        </w:rPr>
      </w:pPr>
    </w:p>
    <w:p w14:paraId="3839F6AB" w14:textId="4533630D" w:rsidR="009A2D37" w:rsidRPr="00F834F0" w:rsidRDefault="00F834F0" w:rsidP="00F834F0">
      <w:pPr>
        <w:spacing w:after="120" w:line="240" w:lineRule="auto"/>
        <w:ind w:left="426" w:right="260"/>
        <w:rPr>
          <w:rFonts w:ascii="Arial" w:hAnsi="Arial" w:cs="Arial"/>
          <w:b/>
          <w:bCs/>
          <w:iCs/>
          <w:sz w:val="24"/>
          <w:szCs w:val="24"/>
        </w:rPr>
      </w:pPr>
      <w:r w:rsidRPr="00F834F0">
        <w:rPr>
          <w:rFonts w:ascii="Arial" w:hAnsi="Arial" w:cs="Arial"/>
          <w:b/>
          <w:bCs/>
          <w:sz w:val="24"/>
          <w:szCs w:val="24"/>
        </w:rPr>
        <w:t xml:space="preserve">8. </w:t>
      </w:r>
      <w:r w:rsidR="009A2D37" w:rsidRPr="00F834F0">
        <w:rPr>
          <w:rFonts w:ascii="Arial" w:hAnsi="Arial" w:cs="Arial"/>
          <w:b/>
          <w:bCs/>
          <w:sz w:val="24"/>
          <w:szCs w:val="24"/>
        </w:rPr>
        <w:t>The</w:t>
      </w:r>
      <w:r w:rsidRPr="00F834F0">
        <w:rPr>
          <w:rFonts w:ascii="Arial" w:hAnsi="Arial" w:cs="Arial"/>
          <w:b/>
          <w:bCs/>
          <w:sz w:val="24"/>
          <w:szCs w:val="24"/>
        </w:rPr>
        <w:t xml:space="preserve"> </w:t>
      </w:r>
      <w:r w:rsidR="009A2D37" w:rsidRPr="00F834F0">
        <w:rPr>
          <w:rFonts w:ascii="Arial" w:hAnsi="Arial" w:cs="Arial"/>
          <w:b/>
          <w:bCs/>
          <w:sz w:val="24"/>
          <w:szCs w:val="24"/>
        </w:rPr>
        <w:t>intended subject specific learning outcomes</w:t>
      </w:r>
      <w:r w:rsidRPr="00F834F0">
        <w:rPr>
          <w:rFonts w:ascii="Arial" w:hAnsi="Arial" w:cs="Arial"/>
          <w:b/>
          <w:bCs/>
          <w:sz w:val="24"/>
          <w:szCs w:val="24"/>
        </w:rPr>
        <w:t xml:space="preserve">. </w:t>
      </w:r>
      <w:r w:rsidR="00C729D7" w:rsidRPr="00F834F0">
        <w:rPr>
          <w:rFonts w:ascii="Arial" w:hAnsi="Arial" w:cs="Arial"/>
          <w:b/>
          <w:bCs/>
          <w:sz w:val="24"/>
          <w:szCs w:val="24"/>
        </w:rPr>
        <w:t>On successfully completing the module students will be able to:</w:t>
      </w:r>
    </w:p>
    <w:p w14:paraId="0FFC9273" w14:textId="77777777" w:rsidR="00F834F0" w:rsidRPr="00F834F0" w:rsidRDefault="00F834F0" w:rsidP="00F834F0">
      <w:pPr>
        <w:pStyle w:val="header2"/>
        <w:numPr>
          <w:ilvl w:val="0"/>
          <w:numId w:val="0"/>
        </w:numPr>
        <w:ind w:left="567"/>
        <w:rPr>
          <w:b w:val="0"/>
          <w:bCs/>
        </w:rPr>
      </w:pPr>
      <w:r w:rsidRPr="00F834F0">
        <w:rPr>
          <w:b w:val="0"/>
          <w:bCs/>
        </w:rPr>
        <w:t>8.1 Demonstrate detailed knowledge of New Woman literature as an identifiable sub-genre of literature chiefly in novels, short stories, and poetry but also evident in journalism and drama in the period 1880-1920.</w:t>
      </w:r>
    </w:p>
    <w:p w14:paraId="678B0D2F" w14:textId="77777777" w:rsidR="00F834F0" w:rsidRPr="00F834F0" w:rsidRDefault="00F834F0" w:rsidP="00F834F0">
      <w:pPr>
        <w:pStyle w:val="header2"/>
        <w:numPr>
          <w:ilvl w:val="0"/>
          <w:numId w:val="0"/>
        </w:numPr>
        <w:ind w:left="567"/>
        <w:rPr>
          <w:b w:val="0"/>
          <w:bCs/>
        </w:rPr>
      </w:pPr>
      <w:r w:rsidRPr="00F834F0">
        <w:rPr>
          <w:b w:val="0"/>
          <w:bCs/>
        </w:rPr>
        <w:t xml:space="preserve">8.2 Demonstrate knowledge of the social, cultural and political contexts in which the New Woman phenomenon emerged, focusing on Britain in the period 1880-1920, but with an awareness of the global spread of this phenomenon. </w:t>
      </w:r>
    </w:p>
    <w:p w14:paraId="5C85A1E2" w14:textId="77777777" w:rsidR="00F834F0" w:rsidRPr="00F834F0" w:rsidRDefault="00F834F0" w:rsidP="00F834F0">
      <w:pPr>
        <w:pStyle w:val="header2"/>
        <w:numPr>
          <w:ilvl w:val="0"/>
          <w:numId w:val="0"/>
        </w:numPr>
        <w:ind w:left="567"/>
        <w:rPr>
          <w:b w:val="0"/>
          <w:bCs/>
        </w:rPr>
      </w:pPr>
      <w:r w:rsidRPr="00F834F0">
        <w:rPr>
          <w:b w:val="0"/>
          <w:bCs/>
        </w:rPr>
        <w:lastRenderedPageBreak/>
        <w:t xml:space="preserve">8.3 Demonstrate a conceptual understanding of how New Woman literature deployed or adapted conventions of literature drawn from realism, decadence and modernism. </w:t>
      </w:r>
    </w:p>
    <w:p w14:paraId="0DA044D4" w14:textId="77777777" w:rsidR="00F834F0" w:rsidRPr="00F834F0" w:rsidRDefault="00F834F0" w:rsidP="00F834F0">
      <w:pPr>
        <w:pStyle w:val="header2"/>
        <w:numPr>
          <w:ilvl w:val="0"/>
          <w:numId w:val="0"/>
        </w:numPr>
        <w:ind w:left="567"/>
        <w:rPr>
          <w:b w:val="0"/>
          <w:bCs/>
        </w:rPr>
      </w:pPr>
      <w:r w:rsidRPr="00F834F0">
        <w:rPr>
          <w:b w:val="0"/>
          <w:bCs/>
        </w:rPr>
        <w:t>8.4 Demonstrate enhanced understanding of how the New Woman phenomenon has been rediscovered and examined in current literary criticism, neo-Victorian fiction, and cultural history, from the 1990s to the present.</w:t>
      </w:r>
    </w:p>
    <w:p w14:paraId="22B8C501" w14:textId="18D4694E" w:rsidR="00273CF0" w:rsidRPr="005A7A71" w:rsidRDefault="00F834F0" w:rsidP="005A7A71">
      <w:pPr>
        <w:pStyle w:val="header2"/>
        <w:numPr>
          <w:ilvl w:val="0"/>
          <w:numId w:val="0"/>
        </w:numPr>
        <w:ind w:left="567"/>
        <w:rPr>
          <w:b w:val="0"/>
          <w:bCs/>
        </w:rPr>
      </w:pPr>
      <w:r w:rsidRPr="00F834F0">
        <w:rPr>
          <w:b w:val="0"/>
          <w:bCs/>
        </w:rPr>
        <w:t>8.5 Demonstrate enhanced knowledge of the writing careers and the publication history of the authors studied.</w:t>
      </w:r>
    </w:p>
    <w:p w14:paraId="256A8AC3" w14:textId="77777777" w:rsidR="008D4447" w:rsidRPr="00A519E9" w:rsidRDefault="008D4447" w:rsidP="009D52D0">
      <w:pPr>
        <w:spacing w:after="120" w:line="240" w:lineRule="auto"/>
        <w:ind w:left="426" w:right="543"/>
        <w:rPr>
          <w:rFonts w:ascii="Arial" w:hAnsi="Arial" w:cs="Arial"/>
          <w:b/>
          <w:sz w:val="24"/>
          <w:szCs w:val="24"/>
        </w:rPr>
      </w:pPr>
    </w:p>
    <w:p w14:paraId="035A14B0" w14:textId="1036683E" w:rsidR="00C729D7" w:rsidRPr="00A519E9" w:rsidRDefault="009A2D37" w:rsidP="00A519E9">
      <w:pPr>
        <w:pStyle w:val="header2"/>
        <w:numPr>
          <w:ilvl w:val="0"/>
          <w:numId w:val="11"/>
        </w:numPr>
        <w:jc w:val="left"/>
      </w:pPr>
      <w:r w:rsidRPr="00A519E9">
        <w:t>The intended generic learning outcomes</w:t>
      </w:r>
      <w:r w:rsidR="00C729D7" w:rsidRPr="00A519E9">
        <w:t>.</w:t>
      </w:r>
      <w:r w:rsidR="00A519E9">
        <w:t xml:space="preserve"> </w:t>
      </w:r>
      <w:r w:rsidR="00C729D7" w:rsidRPr="00A519E9">
        <w:t>On successfully completing the module students will be able to:</w:t>
      </w:r>
    </w:p>
    <w:p w14:paraId="64A62ADA" w14:textId="36ADA498" w:rsidR="00A519E9" w:rsidRPr="00A519E9" w:rsidRDefault="00A519E9" w:rsidP="00A519E9">
      <w:pPr>
        <w:pStyle w:val="header2"/>
        <w:numPr>
          <w:ilvl w:val="0"/>
          <w:numId w:val="0"/>
        </w:numPr>
        <w:ind w:left="567"/>
        <w:rPr>
          <w:b w:val="0"/>
          <w:bCs/>
        </w:rPr>
      </w:pPr>
      <w:proofErr w:type="gramStart"/>
      <w:r>
        <w:rPr>
          <w:b w:val="0"/>
          <w:bCs/>
        </w:rPr>
        <w:t>9.</w:t>
      </w:r>
      <w:r w:rsidRPr="00A519E9">
        <w:rPr>
          <w:b w:val="0"/>
          <w:bCs/>
        </w:rPr>
        <w:t>1  Apply</w:t>
      </w:r>
      <w:proofErr w:type="gramEnd"/>
      <w:r w:rsidRPr="00A519E9">
        <w:rPr>
          <w:b w:val="0"/>
          <w:bCs/>
        </w:rPr>
        <w:t xml:space="preserve"> the methods, techniques and terminology of close reading to a range of literary texts in different genres.</w:t>
      </w:r>
    </w:p>
    <w:p w14:paraId="55C6E587" w14:textId="77777777" w:rsidR="00A519E9" w:rsidRPr="00A519E9" w:rsidRDefault="00A519E9" w:rsidP="00A519E9">
      <w:pPr>
        <w:pStyle w:val="header2"/>
        <w:numPr>
          <w:ilvl w:val="0"/>
          <w:numId w:val="0"/>
        </w:numPr>
        <w:ind w:left="567"/>
        <w:rPr>
          <w:b w:val="0"/>
          <w:bCs/>
        </w:rPr>
      </w:pPr>
      <w:proofErr w:type="gramStart"/>
      <w:r w:rsidRPr="00A519E9">
        <w:rPr>
          <w:b w:val="0"/>
          <w:bCs/>
        </w:rPr>
        <w:t>9.2  Apply</w:t>
      </w:r>
      <w:proofErr w:type="gramEnd"/>
      <w:r w:rsidRPr="00A519E9">
        <w:rPr>
          <w:b w:val="0"/>
          <w:bCs/>
        </w:rPr>
        <w:t xml:space="preserve"> understandings of historical context to the interpretation of literary texts.</w:t>
      </w:r>
    </w:p>
    <w:p w14:paraId="4A60614E" w14:textId="429CEA46" w:rsidR="00A519E9" w:rsidRPr="00A519E9" w:rsidRDefault="00A519E9" w:rsidP="00A519E9">
      <w:pPr>
        <w:pStyle w:val="header2"/>
        <w:numPr>
          <w:ilvl w:val="0"/>
          <w:numId w:val="0"/>
        </w:numPr>
        <w:ind w:left="567"/>
        <w:rPr>
          <w:b w:val="0"/>
          <w:bCs/>
        </w:rPr>
      </w:pPr>
      <w:r w:rsidRPr="00A519E9">
        <w:rPr>
          <w:b w:val="0"/>
          <w:bCs/>
        </w:rPr>
        <w:t>9.3 Undertake self-directed research and critically evaluate secondary theoretical or historical perspectives in that research.</w:t>
      </w:r>
    </w:p>
    <w:p w14:paraId="6E81D170" w14:textId="07898AC2" w:rsidR="00A519E9" w:rsidRPr="00A519E9" w:rsidRDefault="00A519E9" w:rsidP="00A519E9">
      <w:pPr>
        <w:pStyle w:val="header2"/>
        <w:numPr>
          <w:ilvl w:val="0"/>
          <w:numId w:val="0"/>
        </w:numPr>
        <w:ind w:left="567"/>
        <w:rPr>
          <w:b w:val="0"/>
          <w:bCs/>
        </w:rPr>
      </w:pPr>
      <w:r w:rsidRPr="00A519E9">
        <w:rPr>
          <w:b w:val="0"/>
          <w:bCs/>
        </w:rPr>
        <w:t>9.4 Construct coherent, articulate and well-supported arguments using a variety of methods.</w:t>
      </w:r>
    </w:p>
    <w:p w14:paraId="31D8601B" w14:textId="61497109" w:rsidR="00273CF0" w:rsidRPr="00A519E9" w:rsidRDefault="00A519E9" w:rsidP="005A7A71">
      <w:pPr>
        <w:pStyle w:val="header2"/>
        <w:numPr>
          <w:ilvl w:val="0"/>
          <w:numId w:val="0"/>
        </w:numPr>
        <w:ind w:left="567"/>
        <w:rPr>
          <w:b w:val="0"/>
          <w:bCs/>
        </w:rPr>
      </w:pPr>
      <w:r w:rsidRPr="00A519E9">
        <w:rPr>
          <w:b w:val="0"/>
          <w:bCs/>
        </w:rPr>
        <w:t>9.5 Demonstrate the capacity to carry out independent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161E929D" w14:textId="76ED3692" w:rsidR="00FB6679" w:rsidRPr="00FB6679" w:rsidRDefault="00FB6679" w:rsidP="00FB6679">
      <w:pPr>
        <w:pStyle w:val="header2"/>
        <w:numPr>
          <w:ilvl w:val="0"/>
          <w:numId w:val="0"/>
        </w:numPr>
        <w:ind w:left="567"/>
        <w:rPr>
          <w:b w:val="0"/>
          <w:bCs/>
        </w:rPr>
      </w:pPr>
      <w:r w:rsidRPr="00FB6679">
        <w:rPr>
          <w:b w:val="0"/>
          <w:bCs/>
        </w:rPr>
        <w:t xml:space="preserve">The New Woman, a controversial figure who became prominent in British literature in the late nineteenth century, challenged traditional views of femininity and represented a more radical understanding of women’s nature and role in society. She was associated with a range of unconventional behaviour – from smoking and bicycle-riding to sexuality outside marriage and political activism. This module will examine some of the key literary texts identified with the New Woman phenomenon including women’s journalism in the period. The module’s reading will be organised around central thematic concerns such as: sexuality and motherhood; suffrage and politics; career and creativity. We will consider to what extent the New Woman was a media construction or whether the term reflected the lives of progressive women in the period. This module will also examine how the New Woman became a global phenomenon, beginning with the plays of Henrik Ibsen, before spreading to literature, journalism, and political essays produced around the world by writers from Britain (Mona Caird, Margaret Harkness, George Gissing, Amy Levy, and Augusta Webster), America (Charlotte Perkins Gilman), Australia (George Egerton), New Zealand (Katherine Mansfield), and South Africa (Olive Schreiner). The module will also consider the legacy of the New Woman in a neo-Victorian novel, Sarah </w:t>
      </w:r>
      <w:proofErr w:type="spellStart"/>
      <w:r w:rsidRPr="00FB6679">
        <w:rPr>
          <w:b w:val="0"/>
          <w:bCs/>
        </w:rPr>
        <w:t>Waters’s</w:t>
      </w:r>
      <w:proofErr w:type="spellEnd"/>
      <w:r w:rsidRPr="00FB6679">
        <w:rPr>
          <w:b w:val="0"/>
          <w:bCs/>
        </w:rPr>
        <w:t xml:space="preserve"> </w:t>
      </w:r>
      <w:r w:rsidRPr="00FB6679">
        <w:rPr>
          <w:b w:val="0"/>
          <w:bCs/>
          <w:i/>
        </w:rPr>
        <w:t xml:space="preserve">Tipping the Velvet </w:t>
      </w:r>
      <w:r w:rsidRPr="00FB6679">
        <w:rPr>
          <w:b w:val="0"/>
          <w:bCs/>
        </w:rPr>
        <w:t>(1998).</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701F0840" w:rsidR="00636058" w:rsidRDefault="00636058" w:rsidP="00636058">
      <w:pPr>
        <w:pStyle w:val="Heading2"/>
        <w:numPr>
          <w:ilvl w:val="0"/>
          <w:numId w:val="0"/>
        </w:numPr>
        <w:ind w:left="567"/>
        <w:rPr>
          <w:b w:val="0"/>
          <w:bCs/>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104277F7"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E3EC5B8"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B6679">
        <w:rPr>
          <w:rFonts w:ascii="Arial" w:hAnsi="Arial" w:cs="Arial"/>
          <w:sz w:val="24"/>
          <w:szCs w:val="24"/>
        </w:rPr>
        <w:t xml:space="preserve"> </w:t>
      </w:r>
      <w:r w:rsidR="00FB6679" w:rsidRPr="00A84A04">
        <w:rPr>
          <w:rFonts w:ascii="Arial" w:hAnsi="Arial" w:cs="Arial"/>
          <w:iCs/>
        </w:rPr>
        <w:t>32</w:t>
      </w:r>
    </w:p>
    <w:p w14:paraId="3BE5E6D9" w14:textId="514B955E"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B6679">
        <w:rPr>
          <w:rFonts w:ascii="Arial" w:hAnsi="Arial" w:cs="Arial"/>
          <w:sz w:val="24"/>
          <w:szCs w:val="24"/>
        </w:rPr>
        <w:t xml:space="preserve"> </w:t>
      </w:r>
      <w:r w:rsidR="00FB6679" w:rsidRPr="00A84A04">
        <w:rPr>
          <w:rFonts w:ascii="Arial" w:hAnsi="Arial" w:cs="Arial"/>
          <w:iCs/>
        </w:rPr>
        <w:t>268</w:t>
      </w:r>
    </w:p>
    <w:p w14:paraId="035B9AB3" w14:textId="5982589C" w:rsidR="008D4447" w:rsidRPr="005A7A71" w:rsidRDefault="00636058" w:rsidP="005A7A71">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B6679">
        <w:rPr>
          <w:rFonts w:ascii="Arial" w:hAnsi="Arial" w:cs="Arial"/>
          <w:sz w:val="24"/>
          <w:szCs w:val="24"/>
        </w:rPr>
        <w:t xml:space="preserve"> </w:t>
      </w:r>
      <w:r w:rsidR="00FB6679" w:rsidRPr="00A84A04">
        <w:rPr>
          <w:rFonts w:ascii="Arial" w:hAnsi="Arial" w:cs="Arial"/>
          <w:iCs/>
        </w:rPr>
        <w:t>300</w:t>
      </w:r>
    </w:p>
    <w:p w14:paraId="1C49B47B" w14:textId="77777777" w:rsidR="00B2615D" w:rsidRPr="00B2615D" w:rsidRDefault="00EF4933" w:rsidP="00072357">
      <w:pPr>
        <w:pStyle w:val="Heading2"/>
        <w:rPr>
          <w:i/>
          <w:iCs/>
        </w:rPr>
      </w:pPr>
      <w:r w:rsidRPr="009D52D0">
        <w:t>Assessment methods</w:t>
      </w:r>
    </w:p>
    <w:p w14:paraId="01F51A38" w14:textId="3E879916" w:rsidR="00FB6679" w:rsidRPr="005A7A71" w:rsidRDefault="00B07E0E" w:rsidP="00B07E0E">
      <w:pPr>
        <w:spacing w:after="120"/>
        <w:ind w:left="567"/>
        <w:rPr>
          <w:rFonts w:ascii="Arial" w:hAnsi="Arial" w:cs="Arial"/>
          <w:iCs/>
          <w:sz w:val="24"/>
          <w:szCs w:val="24"/>
        </w:rPr>
      </w:pPr>
      <w:r>
        <w:rPr>
          <w:rFonts w:ascii="Arial" w:hAnsi="Arial" w:cs="Arial"/>
          <w:iCs/>
          <w:sz w:val="24"/>
          <w:szCs w:val="24"/>
        </w:rPr>
        <w:t>13.1 Main assessment methods</w:t>
      </w:r>
    </w:p>
    <w:p w14:paraId="32FB7896" w14:textId="39B1679F" w:rsidR="00FB6679" w:rsidRPr="005A7A71" w:rsidRDefault="00B912BB" w:rsidP="00FB6679">
      <w:pPr>
        <w:spacing w:after="120" w:line="240" w:lineRule="auto"/>
        <w:ind w:left="567" w:right="260"/>
        <w:rPr>
          <w:rFonts w:ascii="Arial" w:hAnsi="Arial" w:cs="Arial"/>
          <w:sz w:val="24"/>
          <w:szCs w:val="24"/>
        </w:rPr>
      </w:pPr>
      <w:r>
        <w:rPr>
          <w:rFonts w:ascii="Arial" w:hAnsi="Arial" w:cs="Arial"/>
          <w:sz w:val="24"/>
          <w:szCs w:val="24"/>
        </w:rPr>
        <w:t>E</w:t>
      </w:r>
      <w:r w:rsidR="00FB6679" w:rsidRPr="005A7A71">
        <w:rPr>
          <w:rFonts w:ascii="Arial" w:hAnsi="Arial" w:cs="Arial"/>
          <w:sz w:val="24"/>
          <w:szCs w:val="24"/>
        </w:rPr>
        <w:t xml:space="preserve">ssay </w:t>
      </w:r>
      <w:r w:rsidR="00C51606">
        <w:rPr>
          <w:rFonts w:ascii="Arial" w:hAnsi="Arial" w:cs="Arial"/>
          <w:sz w:val="24"/>
          <w:szCs w:val="24"/>
        </w:rPr>
        <w:t>(</w:t>
      </w:r>
      <w:r w:rsidR="00FB6679" w:rsidRPr="005A7A71">
        <w:rPr>
          <w:rFonts w:ascii="Arial" w:hAnsi="Arial" w:cs="Arial"/>
          <w:sz w:val="24"/>
          <w:szCs w:val="24"/>
        </w:rPr>
        <w:t>3,000 words</w:t>
      </w:r>
      <w:r w:rsidR="00C51606">
        <w:rPr>
          <w:rFonts w:ascii="Arial" w:hAnsi="Arial" w:cs="Arial"/>
          <w:sz w:val="24"/>
          <w:szCs w:val="24"/>
        </w:rPr>
        <w:t>)</w:t>
      </w:r>
      <w:r>
        <w:rPr>
          <w:rFonts w:ascii="Arial" w:hAnsi="Arial" w:cs="Arial"/>
          <w:sz w:val="24"/>
          <w:szCs w:val="24"/>
        </w:rPr>
        <w:tab/>
      </w:r>
      <w:r w:rsidR="00FB6679" w:rsidRPr="005A7A71">
        <w:rPr>
          <w:rFonts w:ascii="Arial" w:hAnsi="Arial" w:cs="Arial"/>
          <w:sz w:val="24"/>
          <w:szCs w:val="24"/>
        </w:rPr>
        <w:tab/>
        <w:t xml:space="preserve"> </w:t>
      </w:r>
      <w:r w:rsidR="00FB6679" w:rsidRPr="005A7A71">
        <w:rPr>
          <w:rFonts w:ascii="Arial" w:hAnsi="Arial" w:cs="Arial"/>
          <w:sz w:val="24"/>
          <w:szCs w:val="24"/>
        </w:rPr>
        <w:tab/>
      </w:r>
      <w:r w:rsidR="00FB6679" w:rsidRPr="005A7A71">
        <w:rPr>
          <w:rFonts w:ascii="Arial" w:hAnsi="Arial" w:cs="Arial"/>
          <w:sz w:val="24"/>
          <w:szCs w:val="24"/>
        </w:rPr>
        <w:tab/>
        <w:t>40%</w:t>
      </w:r>
    </w:p>
    <w:p w14:paraId="744DECB5" w14:textId="1F4190C6" w:rsidR="00FB6679" w:rsidRPr="005A7A71" w:rsidRDefault="00FB6679" w:rsidP="00FB6679">
      <w:pPr>
        <w:spacing w:after="120" w:line="240" w:lineRule="auto"/>
        <w:ind w:left="567" w:right="260"/>
        <w:rPr>
          <w:rFonts w:ascii="Arial" w:hAnsi="Arial" w:cs="Arial"/>
          <w:sz w:val="24"/>
          <w:szCs w:val="24"/>
        </w:rPr>
      </w:pPr>
      <w:r w:rsidRPr="005A7A71">
        <w:rPr>
          <w:rFonts w:ascii="Arial" w:hAnsi="Arial" w:cs="Arial"/>
          <w:sz w:val="24"/>
          <w:szCs w:val="24"/>
        </w:rPr>
        <w:t xml:space="preserve">Research Project </w:t>
      </w:r>
      <w:r w:rsidR="00C51606">
        <w:rPr>
          <w:rFonts w:ascii="Arial" w:hAnsi="Arial" w:cs="Arial"/>
          <w:sz w:val="24"/>
          <w:szCs w:val="24"/>
        </w:rPr>
        <w:t>(</w:t>
      </w:r>
      <w:r w:rsidRPr="005A7A71">
        <w:rPr>
          <w:rFonts w:ascii="Arial" w:hAnsi="Arial" w:cs="Arial"/>
          <w:sz w:val="24"/>
          <w:szCs w:val="24"/>
        </w:rPr>
        <w:t>3,000 words</w:t>
      </w:r>
      <w:r w:rsidR="00C51606">
        <w:rPr>
          <w:rFonts w:ascii="Arial" w:hAnsi="Arial" w:cs="Arial"/>
          <w:sz w:val="24"/>
          <w:szCs w:val="24"/>
        </w:rPr>
        <w:t>)</w:t>
      </w:r>
      <w:r w:rsidRPr="005A7A71">
        <w:rPr>
          <w:rFonts w:ascii="Arial" w:hAnsi="Arial" w:cs="Arial"/>
          <w:sz w:val="24"/>
          <w:szCs w:val="24"/>
        </w:rPr>
        <w:t xml:space="preserve"> </w:t>
      </w:r>
      <w:r w:rsidRPr="005A7A71">
        <w:rPr>
          <w:rFonts w:ascii="Arial" w:hAnsi="Arial" w:cs="Arial"/>
          <w:sz w:val="24"/>
          <w:szCs w:val="24"/>
        </w:rPr>
        <w:tab/>
      </w:r>
      <w:r w:rsidRPr="005A7A71">
        <w:rPr>
          <w:rFonts w:ascii="Arial" w:hAnsi="Arial" w:cs="Arial"/>
          <w:sz w:val="24"/>
          <w:szCs w:val="24"/>
        </w:rPr>
        <w:tab/>
        <w:t xml:space="preserve">40% </w:t>
      </w:r>
    </w:p>
    <w:p w14:paraId="6C7EC0E8" w14:textId="06E1152C" w:rsidR="00FB6679" w:rsidRPr="005A7A71" w:rsidRDefault="00FB6679" w:rsidP="00FB6679">
      <w:pPr>
        <w:spacing w:after="120" w:line="240" w:lineRule="auto"/>
        <w:ind w:left="567" w:right="260"/>
        <w:rPr>
          <w:rFonts w:ascii="Arial" w:hAnsi="Arial" w:cs="Arial"/>
          <w:sz w:val="24"/>
          <w:szCs w:val="24"/>
        </w:rPr>
      </w:pPr>
      <w:r w:rsidRPr="005A7A71">
        <w:rPr>
          <w:rFonts w:ascii="Arial" w:hAnsi="Arial" w:cs="Arial"/>
          <w:sz w:val="24"/>
          <w:szCs w:val="24"/>
        </w:rPr>
        <w:t xml:space="preserve">Seminar </w:t>
      </w:r>
      <w:r w:rsidR="000B55DD">
        <w:rPr>
          <w:rFonts w:ascii="Arial" w:hAnsi="Arial" w:cs="Arial"/>
          <w:sz w:val="24"/>
          <w:szCs w:val="24"/>
        </w:rPr>
        <w:t>Participation</w:t>
      </w:r>
      <w:r w:rsidR="000B55DD">
        <w:rPr>
          <w:rFonts w:ascii="Arial" w:hAnsi="Arial" w:cs="Arial"/>
          <w:sz w:val="24"/>
          <w:szCs w:val="24"/>
        </w:rPr>
        <w:tab/>
      </w:r>
      <w:r w:rsidRPr="005A7A71">
        <w:rPr>
          <w:rFonts w:ascii="Arial" w:hAnsi="Arial" w:cs="Arial"/>
          <w:sz w:val="24"/>
          <w:szCs w:val="24"/>
        </w:rPr>
        <w:t xml:space="preserve"> </w:t>
      </w:r>
      <w:r w:rsidRPr="005A7A71">
        <w:rPr>
          <w:rFonts w:ascii="Arial" w:hAnsi="Arial" w:cs="Arial"/>
          <w:sz w:val="24"/>
          <w:szCs w:val="24"/>
        </w:rPr>
        <w:tab/>
      </w:r>
      <w:r w:rsidRPr="005A7A71">
        <w:rPr>
          <w:rFonts w:ascii="Arial" w:hAnsi="Arial" w:cs="Arial"/>
          <w:sz w:val="24"/>
          <w:szCs w:val="24"/>
        </w:rPr>
        <w:tab/>
      </w:r>
      <w:r w:rsidRPr="005A7A71">
        <w:rPr>
          <w:rFonts w:ascii="Arial" w:hAnsi="Arial" w:cs="Arial"/>
          <w:sz w:val="24"/>
          <w:szCs w:val="24"/>
        </w:rPr>
        <w:tab/>
        <w:t>20%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84CE933" w:rsidR="00696FF5" w:rsidRPr="009D52D0" w:rsidRDefault="00B07E0E" w:rsidP="00B07E0E">
      <w:pPr>
        <w:spacing w:after="120"/>
        <w:ind w:left="1134"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Pr>
          <w:rFonts w:ascii="Arial" w:hAnsi="Arial" w:cs="Arial"/>
          <w:iCs/>
          <w:sz w:val="24"/>
          <w:szCs w:val="24"/>
        </w:rPr>
        <w:tab/>
      </w:r>
      <w:r w:rsidR="00696FF5" w:rsidRPr="00B07E0E">
        <w:rPr>
          <w:rFonts w:ascii="Arial" w:hAnsi="Arial" w:cs="Arial"/>
          <w:bCs/>
          <w:iCs/>
          <w:sz w:val="24"/>
          <w:szCs w:val="24"/>
        </w:rPr>
        <w:t>Reassessment methods</w:t>
      </w:r>
      <w:r w:rsidR="00696FF5" w:rsidRPr="009D52D0">
        <w:rPr>
          <w:rFonts w:ascii="Arial" w:hAnsi="Arial" w:cs="Arial"/>
          <w:iCs/>
          <w:sz w:val="24"/>
          <w:szCs w:val="24"/>
        </w:rPr>
        <w:t xml:space="preserve"> </w:t>
      </w:r>
    </w:p>
    <w:p w14:paraId="69B14BD7" w14:textId="2EB2B2D5" w:rsidR="00FB6679" w:rsidRPr="0036174D" w:rsidRDefault="000918C6" w:rsidP="00B07E0E">
      <w:pPr>
        <w:pStyle w:val="ListParagraph"/>
        <w:spacing w:after="120"/>
        <w:ind w:left="567"/>
        <w:contextualSpacing w:val="0"/>
        <w:rPr>
          <w:rFonts w:ascii="Arial" w:hAnsi="Arial" w:cs="Arial"/>
          <w:iCs/>
        </w:rPr>
      </w:pPr>
      <w:r>
        <w:rPr>
          <w:rFonts w:ascii="Arial" w:hAnsi="Arial" w:cs="Arial"/>
          <w:iCs/>
        </w:rPr>
        <w:t>100% Coursework (4,500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B4FEE85"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C51606">
        <w:t>8</w:t>
      </w:r>
      <w:r w:rsidR="00B30E07" w:rsidRPr="009D52D0">
        <w:t xml:space="preserve"> &amp; </w:t>
      </w:r>
      <w:r w:rsidR="00C51606">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C51606">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10501" w:type="dxa"/>
        <w:tblInd w:w="108" w:type="dxa"/>
        <w:tblLayout w:type="fixed"/>
        <w:tblLook w:val="04A0" w:firstRow="1" w:lastRow="0" w:firstColumn="1" w:lastColumn="0" w:noHBand="0" w:noVBand="1"/>
      </w:tblPr>
      <w:tblGrid>
        <w:gridCol w:w="3416"/>
        <w:gridCol w:w="708"/>
        <w:gridCol w:w="709"/>
        <w:gridCol w:w="708"/>
        <w:gridCol w:w="709"/>
        <w:gridCol w:w="708"/>
        <w:gridCol w:w="709"/>
        <w:gridCol w:w="708"/>
        <w:gridCol w:w="709"/>
        <w:gridCol w:w="708"/>
        <w:gridCol w:w="709"/>
      </w:tblGrid>
      <w:tr w:rsidR="00A452C2" w:rsidRPr="00302082" w14:paraId="7F498F71" w14:textId="77777777" w:rsidTr="00F878B3">
        <w:trPr>
          <w:trHeight w:val="76"/>
        </w:trPr>
        <w:tc>
          <w:tcPr>
            <w:tcW w:w="3416" w:type="dxa"/>
            <w:shd w:val="clear" w:color="auto" w:fill="D9D9D9" w:themeFill="background1" w:themeFillShade="D9"/>
          </w:tcPr>
          <w:p w14:paraId="1A4A61F1" w14:textId="77777777" w:rsidR="00A452C2" w:rsidRPr="00302082" w:rsidRDefault="00A452C2" w:rsidP="00F878B3">
            <w:pPr>
              <w:spacing w:after="120"/>
              <w:ind w:left="33"/>
              <w:rPr>
                <w:rFonts w:ascii="Arial" w:hAnsi="Arial" w:cs="Arial"/>
                <w:b/>
              </w:rPr>
            </w:pPr>
            <w:bookmarkStart w:id="0" w:name="_GoBack"/>
            <w:bookmarkEnd w:id="0"/>
            <w:r w:rsidRPr="00302082">
              <w:rPr>
                <w:rFonts w:ascii="Arial" w:hAnsi="Arial" w:cs="Arial"/>
                <w:b/>
              </w:rPr>
              <w:t>Module learning outcome</w:t>
            </w:r>
          </w:p>
        </w:tc>
        <w:tc>
          <w:tcPr>
            <w:tcW w:w="708" w:type="dxa"/>
          </w:tcPr>
          <w:p w14:paraId="329C245B" w14:textId="77777777" w:rsidR="00A452C2" w:rsidRPr="00302082" w:rsidRDefault="00A452C2" w:rsidP="00F878B3">
            <w:pPr>
              <w:spacing w:after="120"/>
              <w:rPr>
                <w:rFonts w:ascii="Arial" w:hAnsi="Arial" w:cs="Arial"/>
                <w:i/>
              </w:rPr>
            </w:pPr>
            <w:r w:rsidRPr="00302082">
              <w:rPr>
                <w:rFonts w:ascii="Arial" w:hAnsi="Arial" w:cs="Arial"/>
                <w:i/>
              </w:rPr>
              <w:t>8.1</w:t>
            </w:r>
          </w:p>
        </w:tc>
        <w:tc>
          <w:tcPr>
            <w:tcW w:w="709" w:type="dxa"/>
          </w:tcPr>
          <w:p w14:paraId="2B2B8DAD" w14:textId="77777777" w:rsidR="00A452C2" w:rsidRPr="00302082" w:rsidRDefault="00A452C2" w:rsidP="00F878B3">
            <w:pPr>
              <w:spacing w:after="120"/>
              <w:rPr>
                <w:rFonts w:ascii="Arial" w:hAnsi="Arial" w:cs="Arial"/>
                <w:i/>
              </w:rPr>
            </w:pPr>
            <w:r w:rsidRPr="00302082">
              <w:rPr>
                <w:rFonts w:ascii="Arial" w:hAnsi="Arial" w:cs="Arial"/>
                <w:i/>
              </w:rPr>
              <w:t>8.2</w:t>
            </w:r>
          </w:p>
        </w:tc>
        <w:tc>
          <w:tcPr>
            <w:tcW w:w="708" w:type="dxa"/>
          </w:tcPr>
          <w:p w14:paraId="40E6FECA" w14:textId="77777777" w:rsidR="00A452C2" w:rsidRPr="00302082" w:rsidRDefault="00A452C2" w:rsidP="00F878B3">
            <w:pPr>
              <w:spacing w:after="120"/>
              <w:rPr>
                <w:rFonts w:ascii="Arial" w:hAnsi="Arial" w:cs="Arial"/>
                <w:i/>
              </w:rPr>
            </w:pPr>
            <w:r w:rsidRPr="00302082">
              <w:rPr>
                <w:rFonts w:ascii="Arial" w:hAnsi="Arial" w:cs="Arial"/>
                <w:i/>
              </w:rPr>
              <w:t>8.3</w:t>
            </w:r>
          </w:p>
        </w:tc>
        <w:tc>
          <w:tcPr>
            <w:tcW w:w="709" w:type="dxa"/>
          </w:tcPr>
          <w:p w14:paraId="78C95628" w14:textId="77777777" w:rsidR="00A452C2" w:rsidRPr="00302082" w:rsidRDefault="00A452C2" w:rsidP="00F878B3">
            <w:pPr>
              <w:spacing w:after="120"/>
              <w:rPr>
                <w:rFonts w:ascii="Arial" w:hAnsi="Arial" w:cs="Arial"/>
                <w:i/>
              </w:rPr>
            </w:pPr>
            <w:r w:rsidRPr="00302082">
              <w:rPr>
                <w:rFonts w:ascii="Arial" w:hAnsi="Arial" w:cs="Arial"/>
                <w:i/>
              </w:rPr>
              <w:t>8.4</w:t>
            </w:r>
          </w:p>
        </w:tc>
        <w:tc>
          <w:tcPr>
            <w:tcW w:w="708" w:type="dxa"/>
          </w:tcPr>
          <w:p w14:paraId="5EFB475F" w14:textId="77777777" w:rsidR="00A452C2" w:rsidRPr="00302082" w:rsidRDefault="00A452C2" w:rsidP="00F878B3">
            <w:pPr>
              <w:spacing w:after="120"/>
              <w:rPr>
                <w:rFonts w:ascii="Arial" w:hAnsi="Arial" w:cs="Arial"/>
                <w:i/>
              </w:rPr>
            </w:pPr>
            <w:r w:rsidRPr="00302082">
              <w:rPr>
                <w:rFonts w:ascii="Arial" w:hAnsi="Arial" w:cs="Arial"/>
                <w:i/>
              </w:rPr>
              <w:t>8.5</w:t>
            </w:r>
          </w:p>
        </w:tc>
        <w:tc>
          <w:tcPr>
            <w:tcW w:w="709" w:type="dxa"/>
          </w:tcPr>
          <w:p w14:paraId="68EDF7AD" w14:textId="77777777" w:rsidR="00A452C2" w:rsidRPr="00302082" w:rsidRDefault="00A452C2" w:rsidP="00F878B3">
            <w:pPr>
              <w:spacing w:after="120"/>
              <w:rPr>
                <w:rFonts w:ascii="Arial" w:hAnsi="Arial" w:cs="Arial"/>
                <w:i/>
              </w:rPr>
            </w:pPr>
            <w:r w:rsidRPr="00302082">
              <w:rPr>
                <w:rFonts w:ascii="Arial" w:hAnsi="Arial" w:cs="Arial"/>
                <w:i/>
              </w:rPr>
              <w:t>9.1</w:t>
            </w:r>
          </w:p>
        </w:tc>
        <w:tc>
          <w:tcPr>
            <w:tcW w:w="708" w:type="dxa"/>
          </w:tcPr>
          <w:p w14:paraId="0C43A4D5" w14:textId="77777777" w:rsidR="00A452C2" w:rsidRPr="00302082" w:rsidRDefault="00A452C2" w:rsidP="00F878B3">
            <w:pPr>
              <w:spacing w:after="120"/>
              <w:rPr>
                <w:rFonts w:ascii="Arial" w:hAnsi="Arial" w:cs="Arial"/>
                <w:i/>
              </w:rPr>
            </w:pPr>
            <w:r w:rsidRPr="00302082">
              <w:rPr>
                <w:rFonts w:ascii="Arial" w:hAnsi="Arial" w:cs="Arial"/>
                <w:i/>
              </w:rPr>
              <w:t>9.2</w:t>
            </w:r>
          </w:p>
        </w:tc>
        <w:tc>
          <w:tcPr>
            <w:tcW w:w="709" w:type="dxa"/>
          </w:tcPr>
          <w:p w14:paraId="1A1731F5" w14:textId="77777777" w:rsidR="00A452C2" w:rsidRPr="00302082" w:rsidRDefault="00A452C2" w:rsidP="00F878B3">
            <w:pPr>
              <w:spacing w:after="120"/>
              <w:rPr>
                <w:rFonts w:ascii="Arial" w:hAnsi="Arial" w:cs="Arial"/>
                <w:i/>
              </w:rPr>
            </w:pPr>
            <w:r w:rsidRPr="00302082">
              <w:rPr>
                <w:rFonts w:ascii="Arial" w:hAnsi="Arial" w:cs="Arial"/>
                <w:i/>
              </w:rPr>
              <w:t>9.3</w:t>
            </w:r>
          </w:p>
        </w:tc>
        <w:tc>
          <w:tcPr>
            <w:tcW w:w="708" w:type="dxa"/>
          </w:tcPr>
          <w:p w14:paraId="06E44EC9" w14:textId="77777777" w:rsidR="00A452C2" w:rsidRPr="00302082" w:rsidRDefault="00A452C2" w:rsidP="00F878B3">
            <w:pPr>
              <w:spacing w:after="120"/>
              <w:rPr>
                <w:rFonts w:ascii="Arial" w:hAnsi="Arial" w:cs="Arial"/>
                <w:i/>
              </w:rPr>
            </w:pPr>
            <w:r w:rsidRPr="00302082">
              <w:rPr>
                <w:rFonts w:ascii="Arial" w:hAnsi="Arial" w:cs="Arial"/>
                <w:i/>
              </w:rPr>
              <w:t>9.4</w:t>
            </w:r>
          </w:p>
        </w:tc>
        <w:tc>
          <w:tcPr>
            <w:tcW w:w="709" w:type="dxa"/>
          </w:tcPr>
          <w:p w14:paraId="7FAF3322" w14:textId="77777777" w:rsidR="00A452C2" w:rsidRPr="00302082" w:rsidRDefault="00A452C2" w:rsidP="00F878B3">
            <w:pPr>
              <w:spacing w:after="120"/>
              <w:rPr>
                <w:rFonts w:ascii="Arial" w:hAnsi="Arial" w:cs="Arial"/>
                <w:i/>
              </w:rPr>
            </w:pPr>
            <w:r>
              <w:rPr>
                <w:rFonts w:ascii="Arial" w:hAnsi="Arial" w:cs="Arial"/>
                <w:i/>
              </w:rPr>
              <w:t>9.5</w:t>
            </w:r>
          </w:p>
        </w:tc>
      </w:tr>
      <w:tr w:rsidR="00A452C2" w:rsidRPr="00302082" w14:paraId="59A8B282" w14:textId="77777777" w:rsidTr="00F878B3">
        <w:trPr>
          <w:trHeight w:val="76"/>
        </w:trPr>
        <w:tc>
          <w:tcPr>
            <w:tcW w:w="3416" w:type="dxa"/>
            <w:shd w:val="clear" w:color="auto" w:fill="D9D9D9" w:themeFill="background1" w:themeFillShade="D9"/>
          </w:tcPr>
          <w:p w14:paraId="4410D810" w14:textId="77777777" w:rsidR="00A452C2" w:rsidRPr="00302082" w:rsidRDefault="00A452C2" w:rsidP="00F878B3">
            <w:pPr>
              <w:spacing w:after="120"/>
              <w:rPr>
                <w:rFonts w:ascii="Arial" w:hAnsi="Arial" w:cs="Arial"/>
                <w:b/>
              </w:rPr>
            </w:pPr>
            <w:r w:rsidRPr="00302082">
              <w:rPr>
                <w:rFonts w:ascii="Arial" w:hAnsi="Arial" w:cs="Arial"/>
                <w:b/>
              </w:rPr>
              <w:t>Learning/ teaching method</w:t>
            </w:r>
          </w:p>
        </w:tc>
        <w:tc>
          <w:tcPr>
            <w:tcW w:w="708" w:type="dxa"/>
          </w:tcPr>
          <w:p w14:paraId="553DBAF3" w14:textId="77777777" w:rsidR="00A452C2" w:rsidRPr="00302082" w:rsidRDefault="00A452C2" w:rsidP="00F878B3">
            <w:pPr>
              <w:spacing w:after="120"/>
              <w:rPr>
                <w:rFonts w:ascii="Arial" w:hAnsi="Arial" w:cs="Arial"/>
                <w:b/>
              </w:rPr>
            </w:pPr>
          </w:p>
        </w:tc>
        <w:tc>
          <w:tcPr>
            <w:tcW w:w="709" w:type="dxa"/>
          </w:tcPr>
          <w:p w14:paraId="3C39CDA6" w14:textId="77777777" w:rsidR="00A452C2" w:rsidRPr="00302082" w:rsidRDefault="00A452C2" w:rsidP="00F878B3">
            <w:pPr>
              <w:spacing w:after="120"/>
              <w:rPr>
                <w:rFonts w:ascii="Arial" w:hAnsi="Arial" w:cs="Arial"/>
                <w:b/>
              </w:rPr>
            </w:pPr>
          </w:p>
        </w:tc>
        <w:tc>
          <w:tcPr>
            <w:tcW w:w="708" w:type="dxa"/>
          </w:tcPr>
          <w:p w14:paraId="10933D30" w14:textId="77777777" w:rsidR="00A452C2" w:rsidRPr="00302082" w:rsidRDefault="00A452C2" w:rsidP="00F878B3">
            <w:pPr>
              <w:spacing w:after="120"/>
              <w:rPr>
                <w:rFonts w:ascii="Arial" w:hAnsi="Arial" w:cs="Arial"/>
                <w:b/>
              </w:rPr>
            </w:pPr>
          </w:p>
        </w:tc>
        <w:tc>
          <w:tcPr>
            <w:tcW w:w="709" w:type="dxa"/>
          </w:tcPr>
          <w:p w14:paraId="7B9F12C8" w14:textId="77777777" w:rsidR="00A452C2" w:rsidRPr="00302082" w:rsidRDefault="00A452C2" w:rsidP="00F878B3">
            <w:pPr>
              <w:spacing w:after="120"/>
              <w:rPr>
                <w:rFonts w:ascii="Arial" w:hAnsi="Arial" w:cs="Arial"/>
                <w:b/>
              </w:rPr>
            </w:pPr>
          </w:p>
        </w:tc>
        <w:tc>
          <w:tcPr>
            <w:tcW w:w="708" w:type="dxa"/>
          </w:tcPr>
          <w:p w14:paraId="20A07347" w14:textId="77777777" w:rsidR="00A452C2" w:rsidRPr="00302082" w:rsidRDefault="00A452C2" w:rsidP="00F878B3">
            <w:pPr>
              <w:spacing w:after="120"/>
              <w:rPr>
                <w:rFonts w:ascii="Arial" w:hAnsi="Arial" w:cs="Arial"/>
                <w:b/>
              </w:rPr>
            </w:pPr>
          </w:p>
        </w:tc>
        <w:tc>
          <w:tcPr>
            <w:tcW w:w="709" w:type="dxa"/>
          </w:tcPr>
          <w:p w14:paraId="46731E91" w14:textId="77777777" w:rsidR="00A452C2" w:rsidRPr="00302082" w:rsidRDefault="00A452C2" w:rsidP="00F878B3">
            <w:pPr>
              <w:spacing w:after="120"/>
              <w:rPr>
                <w:rFonts w:ascii="Arial" w:hAnsi="Arial" w:cs="Arial"/>
                <w:b/>
              </w:rPr>
            </w:pPr>
          </w:p>
        </w:tc>
        <w:tc>
          <w:tcPr>
            <w:tcW w:w="708" w:type="dxa"/>
          </w:tcPr>
          <w:p w14:paraId="49688E38" w14:textId="77777777" w:rsidR="00A452C2" w:rsidRPr="00302082" w:rsidRDefault="00A452C2" w:rsidP="00F878B3">
            <w:pPr>
              <w:spacing w:after="120"/>
              <w:rPr>
                <w:rFonts w:ascii="Arial" w:hAnsi="Arial" w:cs="Arial"/>
                <w:b/>
              </w:rPr>
            </w:pPr>
          </w:p>
        </w:tc>
        <w:tc>
          <w:tcPr>
            <w:tcW w:w="709" w:type="dxa"/>
          </w:tcPr>
          <w:p w14:paraId="4B24E99D" w14:textId="77777777" w:rsidR="00A452C2" w:rsidRPr="00302082" w:rsidRDefault="00A452C2" w:rsidP="00F878B3">
            <w:pPr>
              <w:spacing w:after="120"/>
              <w:rPr>
                <w:rFonts w:ascii="Arial" w:hAnsi="Arial" w:cs="Arial"/>
                <w:b/>
              </w:rPr>
            </w:pPr>
          </w:p>
        </w:tc>
        <w:tc>
          <w:tcPr>
            <w:tcW w:w="708" w:type="dxa"/>
          </w:tcPr>
          <w:p w14:paraId="6222FBC2" w14:textId="77777777" w:rsidR="00A452C2" w:rsidRPr="00302082" w:rsidRDefault="00A452C2" w:rsidP="00F878B3">
            <w:pPr>
              <w:spacing w:after="120"/>
              <w:rPr>
                <w:rFonts w:ascii="Arial" w:hAnsi="Arial" w:cs="Arial"/>
                <w:b/>
              </w:rPr>
            </w:pPr>
          </w:p>
        </w:tc>
        <w:tc>
          <w:tcPr>
            <w:tcW w:w="709" w:type="dxa"/>
          </w:tcPr>
          <w:p w14:paraId="73212581" w14:textId="77777777" w:rsidR="00A452C2" w:rsidRPr="00302082" w:rsidRDefault="00A452C2" w:rsidP="00F878B3">
            <w:pPr>
              <w:spacing w:after="120"/>
              <w:rPr>
                <w:rFonts w:ascii="Arial" w:hAnsi="Arial" w:cs="Arial"/>
                <w:b/>
              </w:rPr>
            </w:pPr>
          </w:p>
        </w:tc>
      </w:tr>
      <w:tr w:rsidR="00A452C2" w:rsidRPr="00302082" w14:paraId="611B6336" w14:textId="77777777" w:rsidTr="00F878B3">
        <w:trPr>
          <w:trHeight w:val="381"/>
        </w:trPr>
        <w:tc>
          <w:tcPr>
            <w:tcW w:w="3416" w:type="dxa"/>
          </w:tcPr>
          <w:p w14:paraId="37D50DC1" w14:textId="77777777" w:rsidR="00A452C2" w:rsidRPr="00302082" w:rsidRDefault="00A452C2" w:rsidP="00F878B3">
            <w:pPr>
              <w:spacing w:after="120"/>
              <w:rPr>
                <w:rFonts w:ascii="Arial" w:hAnsi="Arial" w:cs="Arial"/>
                <w:b/>
              </w:rPr>
            </w:pPr>
            <w:r w:rsidRPr="00302082">
              <w:rPr>
                <w:rFonts w:ascii="Arial" w:hAnsi="Arial" w:cs="Arial"/>
                <w:b/>
              </w:rPr>
              <w:t>Private Study</w:t>
            </w:r>
          </w:p>
        </w:tc>
        <w:tc>
          <w:tcPr>
            <w:tcW w:w="708" w:type="dxa"/>
          </w:tcPr>
          <w:p w14:paraId="037D6781"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CF870CA"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620BE6AC"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D9D46E5"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15B5CD69"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A95DF53"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62A57D78" w14:textId="77777777" w:rsidR="00A452C2" w:rsidRPr="00302082" w:rsidRDefault="00A452C2" w:rsidP="00F878B3">
            <w:pPr>
              <w:spacing w:after="120"/>
              <w:rPr>
                <w:rFonts w:ascii="Arial" w:hAnsi="Arial" w:cs="Arial"/>
                <w:b/>
              </w:rPr>
            </w:pPr>
          </w:p>
        </w:tc>
        <w:tc>
          <w:tcPr>
            <w:tcW w:w="709" w:type="dxa"/>
          </w:tcPr>
          <w:p w14:paraId="01CB4A6D"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6EF2E54D"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753B388" w14:textId="77777777" w:rsidR="00A452C2" w:rsidRPr="00302082" w:rsidRDefault="00A452C2" w:rsidP="00F878B3">
            <w:pPr>
              <w:spacing w:after="120"/>
              <w:rPr>
                <w:rFonts w:ascii="Arial" w:hAnsi="Arial" w:cs="Arial"/>
                <w:b/>
              </w:rPr>
            </w:pPr>
            <w:r>
              <w:rPr>
                <w:rFonts w:ascii="Arial" w:hAnsi="Arial" w:cs="Arial"/>
                <w:b/>
              </w:rPr>
              <w:t>x</w:t>
            </w:r>
          </w:p>
        </w:tc>
      </w:tr>
      <w:tr w:rsidR="00A452C2" w:rsidRPr="00302082" w14:paraId="5AC7A41A" w14:textId="77777777" w:rsidTr="00F878B3">
        <w:trPr>
          <w:trHeight w:val="396"/>
        </w:trPr>
        <w:tc>
          <w:tcPr>
            <w:tcW w:w="3416" w:type="dxa"/>
          </w:tcPr>
          <w:p w14:paraId="72BA03BA" w14:textId="77777777" w:rsidR="00A452C2" w:rsidRPr="00B07E0E" w:rsidRDefault="00A452C2" w:rsidP="00F878B3">
            <w:pPr>
              <w:spacing w:after="120"/>
              <w:rPr>
                <w:rFonts w:ascii="Arial" w:hAnsi="Arial" w:cs="Arial"/>
              </w:rPr>
            </w:pPr>
            <w:r w:rsidRPr="00B07E0E">
              <w:rPr>
                <w:rFonts w:ascii="Arial" w:hAnsi="Arial" w:cs="Arial"/>
              </w:rPr>
              <w:t>Seminars</w:t>
            </w:r>
          </w:p>
        </w:tc>
        <w:tc>
          <w:tcPr>
            <w:tcW w:w="708" w:type="dxa"/>
          </w:tcPr>
          <w:p w14:paraId="652DF319"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2ED40217"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1660F770"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21013751"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46B3D7AC"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C65B2A1"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6482BFD3"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0705ECE1"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095D2472"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554BDF70" w14:textId="77777777" w:rsidR="00A452C2" w:rsidRPr="00302082" w:rsidRDefault="00A452C2" w:rsidP="00F878B3">
            <w:pPr>
              <w:spacing w:after="120"/>
              <w:rPr>
                <w:rFonts w:ascii="Arial" w:hAnsi="Arial" w:cs="Arial"/>
                <w:b/>
              </w:rPr>
            </w:pPr>
          </w:p>
        </w:tc>
      </w:tr>
      <w:tr w:rsidR="00A452C2" w:rsidRPr="00302082" w14:paraId="276E8341" w14:textId="77777777" w:rsidTr="00F878B3">
        <w:trPr>
          <w:trHeight w:val="381"/>
        </w:trPr>
        <w:tc>
          <w:tcPr>
            <w:tcW w:w="3416" w:type="dxa"/>
          </w:tcPr>
          <w:p w14:paraId="37EF602C" w14:textId="77777777" w:rsidR="00A452C2" w:rsidRPr="00B07E0E" w:rsidRDefault="00A452C2" w:rsidP="00F878B3">
            <w:pPr>
              <w:spacing w:after="120"/>
              <w:rPr>
                <w:rFonts w:ascii="Arial" w:hAnsi="Arial" w:cs="Arial"/>
              </w:rPr>
            </w:pPr>
            <w:r w:rsidRPr="00B07E0E">
              <w:rPr>
                <w:rFonts w:ascii="Arial" w:hAnsi="Arial" w:cs="Arial"/>
              </w:rPr>
              <w:t xml:space="preserve">Lectures </w:t>
            </w:r>
          </w:p>
        </w:tc>
        <w:tc>
          <w:tcPr>
            <w:tcW w:w="708" w:type="dxa"/>
          </w:tcPr>
          <w:p w14:paraId="754952F2"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18FFFB63"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2F5BC6FA"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6EED3FA2"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1EAF0963"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3C07E538"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15F16F69"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6A4BCF5B" w14:textId="77777777" w:rsidR="00A452C2" w:rsidRPr="00302082" w:rsidRDefault="00A452C2" w:rsidP="00F878B3">
            <w:pPr>
              <w:spacing w:after="120"/>
              <w:rPr>
                <w:rFonts w:ascii="Arial" w:hAnsi="Arial" w:cs="Arial"/>
                <w:b/>
              </w:rPr>
            </w:pPr>
          </w:p>
        </w:tc>
        <w:tc>
          <w:tcPr>
            <w:tcW w:w="708" w:type="dxa"/>
          </w:tcPr>
          <w:p w14:paraId="795EC972" w14:textId="77777777" w:rsidR="00A452C2" w:rsidRPr="00302082" w:rsidRDefault="00A452C2" w:rsidP="00F878B3">
            <w:pPr>
              <w:spacing w:after="120"/>
              <w:rPr>
                <w:rFonts w:ascii="Arial" w:hAnsi="Arial" w:cs="Arial"/>
                <w:b/>
              </w:rPr>
            </w:pPr>
          </w:p>
        </w:tc>
        <w:tc>
          <w:tcPr>
            <w:tcW w:w="709" w:type="dxa"/>
          </w:tcPr>
          <w:p w14:paraId="44631020" w14:textId="77777777" w:rsidR="00A452C2" w:rsidRPr="00302082" w:rsidRDefault="00A452C2" w:rsidP="00F878B3">
            <w:pPr>
              <w:spacing w:after="120"/>
              <w:rPr>
                <w:rFonts w:ascii="Arial" w:hAnsi="Arial" w:cs="Arial"/>
                <w:b/>
              </w:rPr>
            </w:pPr>
          </w:p>
        </w:tc>
      </w:tr>
      <w:tr w:rsidR="00A452C2" w:rsidRPr="00302082" w14:paraId="0656E07F" w14:textId="77777777" w:rsidTr="00F878B3">
        <w:trPr>
          <w:trHeight w:val="76"/>
        </w:trPr>
        <w:tc>
          <w:tcPr>
            <w:tcW w:w="3416" w:type="dxa"/>
            <w:shd w:val="clear" w:color="auto" w:fill="D9D9D9" w:themeFill="background1" w:themeFillShade="D9"/>
          </w:tcPr>
          <w:p w14:paraId="55AE101B" w14:textId="77777777" w:rsidR="00A452C2" w:rsidRPr="00302082" w:rsidRDefault="00A452C2" w:rsidP="00F878B3">
            <w:pPr>
              <w:spacing w:after="120"/>
              <w:rPr>
                <w:rFonts w:ascii="Arial" w:hAnsi="Arial" w:cs="Arial"/>
                <w:b/>
              </w:rPr>
            </w:pPr>
            <w:r w:rsidRPr="00302082">
              <w:rPr>
                <w:rFonts w:ascii="Arial" w:hAnsi="Arial" w:cs="Arial"/>
                <w:b/>
              </w:rPr>
              <w:t>Assessment method</w:t>
            </w:r>
          </w:p>
        </w:tc>
        <w:tc>
          <w:tcPr>
            <w:tcW w:w="708" w:type="dxa"/>
          </w:tcPr>
          <w:p w14:paraId="11ACBE31" w14:textId="77777777" w:rsidR="00A452C2" w:rsidRPr="00302082" w:rsidRDefault="00A452C2" w:rsidP="00F878B3">
            <w:pPr>
              <w:spacing w:after="120"/>
              <w:rPr>
                <w:rFonts w:ascii="Arial" w:hAnsi="Arial" w:cs="Arial"/>
                <w:b/>
              </w:rPr>
            </w:pPr>
          </w:p>
        </w:tc>
        <w:tc>
          <w:tcPr>
            <w:tcW w:w="709" w:type="dxa"/>
          </w:tcPr>
          <w:p w14:paraId="2B09243C" w14:textId="77777777" w:rsidR="00A452C2" w:rsidRPr="00302082" w:rsidRDefault="00A452C2" w:rsidP="00F878B3">
            <w:pPr>
              <w:spacing w:after="120"/>
              <w:rPr>
                <w:rFonts w:ascii="Arial" w:hAnsi="Arial" w:cs="Arial"/>
                <w:b/>
              </w:rPr>
            </w:pPr>
          </w:p>
        </w:tc>
        <w:tc>
          <w:tcPr>
            <w:tcW w:w="708" w:type="dxa"/>
          </w:tcPr>
          <w:p w14:paraId="18BFE1C0" w14:textId="77777777" w:rsidR="00A452C2" w:rsidRPr="00302082" w:rsidRDefault="00A452C2" w:rsidP="00F878B3">
            <w:pPr>
              <w:spacing w:after="120"/>
              <w:rPr>
                <w:rFonts w:ascii="Arial" w:hAnsi="Arial" w:cs="Arial"/>
                <w:b/>
              </w:rPr>
            </w:pPr>
          </w:p>
        </w:tc>
        <w:tc>
          <w:tcPr>
            <w:tcW w:w="709" w:type="dxa"/>
          </w:tcPr>
          <w:p w14:paraId="14442EF6" w14:textId="77777777" w:rsidR="00A452C2" w:rsidRPr="00302082" w:rsidRDefault="00A452C2" w:rsidP="00F878B3">
            <w:pPr>
              <w:spacing w:after="120"/>
              <w:rPr>
                <w:rFonts w:ascii="Arial" w:hAnsi="Arial" w:cs="Arial"/>
                <w:b/>
              </w:rPr>
            </w:pPr>
          </w:p>
        </w:tc>
        <w:tc>
          <w:tcPr>
            <w:tcW w:w="708" w:type="dxa"/>
          </w:tcPr>
          <w:p w14:paraId="16CA4D4A" w14:textId="77777777" w:rsidR="00A452C2" w:rsidRPr="00302082" w:rsidRDefault="00A452C2" w:rsidP="00F878B3">
            <w:pPr>
              <w:spacing w:after="120"/>
              <w:rPr>
                <w:rFonts w:ascii="Arial" w:hAnsi="Arial" w:cs="Arial"/>
                <w:b/>
              </w:rPr>
            </w:pPr>
          </w:p>
        </w:tc>
        <w:tc>
          <w:tcPr>
            <w:tcW w:w="709" w:type="dxa"/>
          </w:tcPr>
          <w:p w14:paraId="6A03D304" w14:textId="77777777" w:rsidR="00A452C2" w:rsidRPr="00302082" w:rsidRDefault="00A452C2" w:rsidP="00F878B3">
            <w:pPr>
              <w:spacing w:after="120"/>
              <w:rPr>
                <w:rFonts w:ascii="Arial" w:hAnsi="Arial" w:cs="Arial"/>
                <w:b/>
              </w:rPr>
            </w:pPr>
          </w:p>
        </w:tc>
        <w:tc>
          <w:tcPr>
            <w:tcW w:w="708" w:type="dxa"/>
          </w:tcPr>
          <w:p w14:paraId="2FC33711" w14:textId="77777777" w:rsidR="00A452C2" w:rsidRPr="00302082" w:rsidRDefault="00A452C2" w:rsidP="00F878B3">
            <w:pPr>
              <w:spacing w:after="120"/>
              <w:rPr>
                <w:rFonts w:ascii="Arial" w:hAnsi="Arial" w:cs="Arial"/>
                <w:b/>
              </w:rPr>
            </w:pPr>
          </w:p>
        </w:tc>
        <w:tc>
          <w:tcPr>
            <w:tcW w:w="709" w:type="dxa"/>
          </w:tcPr>
          <w:p w14:paraId="6F244F41" w14:textId="77777777" w:rsidR="00A452C2" w:rsidRPr="00302082" w:rsidRDefault="00A452C2" w:rsidP="00F878B3">
            <w:pPr>
              <w:spacing w:after="120"/>
              <w:rPr>
                <w:rFonts w:ascii="Arial" w:hAnsi="Arial" w:cs="Arial"/>
                <w:b/>
              </w:rPr>
            </w:pPr>
          </w:p>
        </w:tc>
        <w:tc>
          <w:tcPr>
            <w:tcW w:w="708" w:type="dxa"/>
          </w:tcPr>
          <w:p w14:paraId="5F0166C6" w14:textId="77777777" w:rsidR="00A452C2" w:rsidRPr="00302082" w:rsidRDefault="00A452C2" w:rsidP="00F878B3">
            <w:pPr>
              <w:spacing w:after="120"/>
              <w:rPr>
                <w:rFonts w:ascii="Arial" w:hAnsi="Arial" w:cs="Arial"/>
                <w:b/>
              </w:rPr>
            </w:pPr>
          </w:p>
        </w:tc>
        <w:tc>
          <w:tcPr>
            <w:tcW w:w="709" w:type="dxa"/>
          </w:tcPr>
          <w:p w14:paraId="53D0A500" w14:textId="77777777" w:rsidR="00A452C2" w:rsidRPr="00302082" w:rsidRDefault="00A452C2" w:rsidP="00F878B3">
            <w:pPr>
              <w:spacing w:after="120"/>
              <w:rPr>
                <w:rFonts w:ascii="Arial" w:hAnsi="Arial" w:cs="Arial"/>
                <w:b/>
              </w:rPr>
            </w:pPr>
          </w:p>
        </w:tc>
      </w:tr>
      <w:tr w:rsidR="00A452C2" w:rsidRPr="00302082" w14:paraId="14C9489A" w14:textId="77777777" w:rsidTr="00F878B3">
        <w:trPr>
          <w:trHeight w:val="76"/>
        </w:trPr>
        <w:tc>
          <w:tcPr>
            <w:tcW w:w="3416" w:type="dxa"/>
          </w:tcPr>
          <w:p w14:paraId="4DEF2667" w14:textId="577C84EE" w:rsidR="00A452C2" w:rsidRPr="00B07E0E" w:rsidRDefault="00A452C2" w:rsidP="00C51606">
            <w:pPr>
              <w:spacing w:after="120"/>
              <w:rPr>
                <w:rFonts w:ascii="Arial" w:hAnsi="Arial" w:cs="Arial"/>
              </w:rPr>
            </w:pPr>
            <w:r w:rsidRPr="00B07E0E">
              <w:rPr>
                <w:rFonts w:ascii="Arial" w:hAnsi="Arial" w:cs="Arial"/>
              </w:rPr>
              <w:t xml:space="preserve">Essay </w:t>
            </w:r>
          </w:p>
        </w:tc>
        <w:tc>
          <w:tcPr>
            <w:tcW w:w="708" w:type="dxa"/>
          </w:tcPr>
          <w:p w14:paraId="6AA11515"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40B2B466"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22BF8ADE"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293F2A03"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773B73E0"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3ED960D2"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3464294A"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0190BCED"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28AC76B0"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B520651" w14:textId="77777777" w:rsidR="00A452C2" w:rsidRPr="00302082" w:rsidRDefault="00A452C2" w:rsidP="00F878B3">
            <w:pPr>
              <w:spacing w:after="120"/>
              <w:rPr>
                <w:rFonts w:ascii="Arial" w:hAnsi="Arial" w:cs="Arial"/>
                <w:b/>
              </w:rPr>
            </w:pPr>
            <w:r>
              <w:rPr>
                <w:rFonts w:ascii="Arial" w:hAnsi="Arial" w:cs="Arial"/>
                <w:b/>
              </w:rPr>
              <w:t>x</w:t>
            </w:r>
          </w:p>
        </w:tc>
      </w:tr>
      <w:tr w:rsidR="00A452C2" w:rsidRPr="00302082" w14:paraId="7FAA7773" w14:textId="77777777" w:rsidTr="00F878B3">
        <w:trPr>
          <w:trHeight w:val="76"/>
        </w:trPr>
        <w:tc>
          <w:tcPr>
            <w:tcW w:w="3416" w:type="dxa"/>
          </w:tcPr>
          <w:p w14:paraId="08F2FEDC" w14:textId="7F4B2D16" w:rsidR="00A452C2" w:rsidRPr="00B07E0E" w:rsidRDefault="00A452C2" w:rsidP="00F878B3">
            <w:r w:rsidRPr="00B07E0E">
              <w:rPr>
                <w:rFonts w:ascii="Arial" w:hAnsi="Arial" w:cs="Arial"/>
              </w:rPr>
              <w:t xml:space="preserve">Research Project </w:t>
            </w:r>
          </w:p>
          <w:p w14:paraId="6D27F943" w14:textId="77777777" w:rsidR="00A452C2" w:rsidRPr="00B07E0E" w:rsidRDefault="00A452C2" w:rsidP="00F878B3">
            <w:pPr>
              <w:spacing w:after="120"/>
              <w:rPr>
                <w:rFonts w:ascii="Arial" w:hAnsi="Arial" w:cs="Arial"/>
              </w:rPr>
            </w:pPr>
          </w:p>
        </w:tc>
        <w:tc>
          <w:tcPr>
            <w:tcW w:w="708" w:type="dxa"/>
          </w:tcPr>
          <w:p w14:paraId="31927A26"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5B64D28E"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45EE67C1" w14:textId="77777777" w:rsidR="00A452C2" w:rsidRPr="00302082" w:rsidRDefault="00A452C2" w:rsidP="00F878B3">
            <w:pPr>
              <w:spacing w:after="120"/>
              <w:rPr>
                <w:rFonts w:ascii="Arial" w:hAnsi="Arial" w:cs="Arial"/>
                <w:b/>
              </w:rPr>
            </w:pPr>
          </w:p>
        </w:tc>
        <w:tc>
          <w:tcPr>
            <w:tcW w:w="709" w:type="dxa"/>
          </w:tcPr>
          <w:p w14:paraId="660F2C9B" w14:textId="77777777" w:rsidR="00A452C2" w:rsidRPr="00302082" w:rsidRDefault="00A452C2" w:rsidP="00F878B3">
            <w:pPr>
              <w:spacing w:after="120"/>
              <w:rPr>
                <w:rFonts w:ascii="Arial" w:hAnsi="Arial" w:cs="Arial"/>
                <w:b/>
              </w:rPr>
            </w:pPr>
          </w:p>
        </w:tc>
        <w:tc>
          <w:tcPr>
            <w:tcW w:w="708" w:type="dxa"/>
          </w:tcPr>
          <w:p w14:paraId="6F2F19D0"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CFE22CA" w14:textId="77777777" w:rsidR="00A452C2" w:rsidRPr="00302082" w:rsidRDefault="00A452C2" w:rsidP="00F878B3">
            <w:pPr>
              <w:spacing w:after="120"/>
              <w:rPr>
                <w:rFonts w:ascii="Arial" w:hAnsi="Arial" w:cs="Arial"/>
                <w:b/>
              </w:rPr>
            </w:pPr>
          </w:p>
        </w:tc>
        <w:tc>
          <w:tcPr>
            <w:tcW w:w="708" w:type="dxa"/>
          </w:tcPr>
          <w:p w14:paraId="3C89A4AE" w14:textId="77777777" w:rsidR="00A452C2" w:rsidRPr="00302082" w:rsidRDefault="00A452C2" w:rsidP="00F878B3">
            <w:pPr>
              <w:spacing w:after="120"/>
              <w:rPr>
                <w:rFonts w:ascii="Arial" w:hAnsi="Arial" w:cs="Arial"/>
                <w:b/>
              </w:rPr>
            </w:pPr>
          </w:p>
        </w:tc>
        <w:tc>
          <w:tcPr>
            <w:tcW w:w="709" w:type="dxa"/>
          </w:tcPr>
          <w:p w14:paraId="077F8673"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42559815"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68B84135" w14:textId="77777777" w:rsidR="00A452C2" w:rsidRPr="00302082" w:rsidRDefault="00A452C2" w:rsidP="00F878B3">
            <w:pPr>
              <w:spacing w:after="120"/>
              <w:rPr>
                <w:rFonts w:ascii="Arial" w:hAnsi="Arial" w:cs="Arial"/>
                <w:b/>
              </w:rPr>
            </w:pPr>
            <w:r>
              <w:rPr>
                <w:rFonts w:ascii="Arial" w:hAnsi="Arial" w:cs="Arial"/>
                <w:b/>
              </w:rPr>
              <w:t>x</w:t>
            </w:r>
          </w:p>
        </w:tc>
      </w:tr>
      <w:tr w:rsidR="00A452C2" w:rsidRPr="00302082" w14:paraId="05361F98" w14:textId="77777777" w:rsidTr="00F878B3">
        <w:trPr>
          <w:trHeight w:val="76"/>
        </w:trPr>
        <w:tc>
          <w:tcPr>
            <w:tcW w:w="3416" w:type="dxa"/>
          </w:tcPr>
          <w:p w14:paraId="49B577E1" w14:textId="4A1FBC6B" w:rsidR="00A452C2" w:rsidRPr="00B07E0E" w:rsidRDefault="00A452C2" w:rsidP="00C51606">
            <w:pPr>
              <w:spacing w:after="120"/>
              <w:rPr>
                <w:rFonts w:ascii="Arial" w:hAnsi="Arial" w:cs="Arial"/>
              </w:rPr>
            </w:pPr>
            <w:r w:rsidRPr="00B07E0E">
              <w:rPr>
                <w:rFonts w:ascii="Arial" w:hAnsi="Arial" w:cs="Arial"/>
              </w:rPr>
              <w:t xml:space="preserve">Seminar </w:t>
            </w:r>
            <w:r w:rsidR="00C51606">
              <w:rPr>
                <w:rFonts w:ascii="Arial" w:hAnsi="Arial" w:cs="Arial"/>
              </w:rPr>
              <w:t>P</w:t>
            </w:r>
            <w:r w:rsidRPr="00B07E0E">
              <w:rPr>
                <w:rFonts w:ascii="Arial" w:hAnsi="Arial" w:cs="Arial"/>
              </w:rPr>
              <w:t>articipation</w:t>
            </w:r>
          </w:p>
        </w:tc>
        <w:tc>
          <w:tcPr>
            <w:tcW w:w="708" w:type="dxa"/>
          </w:tcPr>
          <w:p w14:paraId="51C4CB61"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05BB1D83"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7667D2D3"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080FD740"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62C1699F"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30FDDB85"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15DB403B"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173BD2C8" w14:textId="77777777" w:rsidR="00A452C2" w:rsidRPr="00302082" w:rsidRDefault="00A452C2" w:rsidP="00F878B3">
            <w:pPr>
              <w:spacing w:after="120"/>
              <w:rPr>
                <w:rFonts w:ascii="Arial" w:hAnsi="Arial" w:cs="Arial"/>
                <w:b/>
              </w:rPr>
            </w:pPr>
          </w:p>
        </w:tc>
        <w:tc>
          <w:tcPr>
            <w:tcW w:w="708" w:type="dxa"/>
          </w:tcPr>
          <w:p w14:paraId="6D11F0BC"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644D5155" w14:textId="77777777" w:rsidR="00A452C2" w:rsidRPr="00302082" w:rsidRDefault="00A452C2" w:rsidP="00F878B3">
            <w:pPr>
              <w:spacing w:after="120"/>
              <w:rPr>
                <w:rFonts w:ascii="Arial" w:hAnsi="Arial" w:cs="Arial"/>
                <w:b/>
              </w:rPr>
            </w:pPr>
          </w:p>
        </w:tc>
      </w:tr>
      <w:tr w:rsidR="00A452C2" w14:paraId="6A962FAB" w14:textId="77777777" w:rsidTr="00415C0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01" w:type="dxa"/>
            <w:gridSpan w:val="11"/>
          </w:tcPr>
          <w:p w14:paraId="0866CB69" w14:textId="77777777" w:rsidR="00A452C2" w:rsidRDefault="00A452C2" w:rsidP="00F878B3">
            <w:pPr>
              <w:spacing w:after="120"/>
              <w:ind w:right="260"/>
              <w:rPr>
                <w:rFonts w:ascii="Arial" w:hAnsi="Arial" w:cs="Arial"/>
                <w:b/>
                <w:iCs/>
              </w:rPr>
            </w:pP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5200865F" w14:textId="0F721C54" w:rsidR="00A452C2" w:rsidRPr="00A452C2" w:rsidRDefault="00A452C2" w:rsidP="00A452C2">
      <w:pPr>
        <w:pStyle w:val="header2"/>
        <w:numPr>
          <w:ilvl w:val="0"/>
          <w:numId w:val="0"/>
        </w:numPr>
        <w:ind w:left="567"/>
        <w:rPr>
          <w:b w:val="0"/>
          <w:bCs/>
        </w:rPr>
      </w:pPr>
      <w:r w:rsidRPr="00A452C2">
        <w:rPr>
          <w:b w:val="0"/>
          <w:bCs/>
        </w:rPr>
        <w:t xml:space="preserve">The </w:t>
      </w:r>
      <w:r w:rsidR="00E9635A">
        <w:rPr>
          <w:b w:val="0"/>
          <w:bCs/>
        </w:rPr>
        <w:t>Division</w:t>
      </w:r>
      <w:r w:rsidRPr="00A452C2">
        <w:rPr>
          <w:b w:val="0"/>
          <w:bCs/>
        </w:rPr>
        <w:t xml:space="preserve"> recognises and has embedded the expectations of current equality legislation, by ensuring that the module is as accessible as possible by design. Additional </w:t>
      </w:r>
      <w:r w:rsidRPr="00A452C2">
        <w:rPr>
          <w:b w:val="0"/>
          <w:bCs/>
        </w:rPr>
        <w:lastRenderedPageBreak/>
        <w:t>alternative arrangements for students with Inclusive Learning Plans (ILPs)/declared disabilities will be made on an individual basis, in consultation with the relevant policies and support services.</w:t>
      </w:r>
    </w:p>
    <w:p w14:paraId="792FCF96" w14:textId="77777777" w:rsidR="00A452C2" w:rsidRPr="00A452C2" w:rsidRDefault="00A452C2" w:rsidP="00A452C2">
      <w:pPr>
        <w:pStyle w:val="header2"/>
        <w:numPr>
          <w:ilvl w:val="0"/>
          <w:numId w:val="0"/>
        </w:numPr>
        <w:ind w:left="567"/>
        <w:rPr>
          <w:b w:val="0"/>
          <w:bCs/>
        </w:rPr>
      </w:pPr>
      <w:r w:rsidRPr="00A452C2">
        <w:rPr>
          <w:b w:val="0"/>
          <w:bCs/>
        </w:rPr>
        <w:t>The inclusive practices in the guidance (see Annex B Appendix A) have been considered in order to support all students in the following areas:</w:t>
      </w:r>
    </w:p>
    <w:p w14:paraId="3A3BAEF8" w14:textId="77777777" w:rsidR="00A452C2" w:rsidRPr="00A452C2" w:rsidRDefault="00A452C2" w:rsidP="00A452C2">
      <w:pPr>
        <w:pStyle w:val="header2"/>
        <w:numPr>
          <w:ilvl w:val="0"/>
          <w:numId w:val="0"/>
        </w:numPr>
        <w:ind w:left="567"/>
        <w:rPr>
          <w:b w:val="0"/>
          <w:bCs/>
        </w:rPr>
      </w:pPr>
      <w:r w:rsidRPr="00A452C2">
        <w:rPr>
          <w:b w:val="0"/>
          <w:bCs/>
        </w:rPr>
        <w:t>a) Accessible resources and curriculum</w:t>
      </w:r>
    </w:p>
    <w:p w14:paraId="7D22CEC9" w14:textId="461589B1" w:rsidR="00883204" w:rsidRPr="005A7A71" w:rsidRDefault="00A452C2" w:rsidP="005A7A71">
      <w:pPr>
        <w:pStyle w:val="header2"/>
        <w:numPr>
          <w:ilvl w:val="0"/>
          <w:numId w:val="0"/>
        </w:numPr>
        <w:ind w:left="567"/>
        <w:rPr>
          <w:b w:val="0"/>
          <w:bCs/>
          <w:iCs/>
        </w:rPr>
      </w:pPr>
      <w:r w:rsidRPr="00A452C2">
        <w:rPr>
          <w:b w:val="0"/>
          <w:bCs/>
        </w:rPr>
        <w:t>b) Learning,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0C79CA18" w:rsidR="009A2D37" w:rsidRDefault="00A452C2" w:rsidP="00B07E0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4EFFE05" w14:textId="77777777" w:rsidR="00A452C2" w:rsidRPr="00A452C2" w:rsidRDefault="00A452C2" w:rsidP="00A452C2">
      <w:pPr>
        <w:pStyle w:val="header2"/>
        <w:numPr>
          <w:ilvl w:val="0"/>
          <w:numId w:val="0"/>
        </w:numPr>
        <w:ind w:left="567"/>
        <w:rPr>
          <w:b w:val="0"/>
          <w:bCs/>
        </w:rPr>
      </w:pPr>
      <w:r w:rsidRPr="00A452C2">
        <w:rPr>
          <w:b w:val="0"/>
          <w:bCs/>
        </w:rPr>
        <w:t xml:space="preserve">This module emphasises the global reach of the New Woman phenomenon in the period 1880-1920, including Norwegian, American, Australian, Indian, New Zealand and South African authors in the primary reading list as well as British writers. In addition, students are required to undertake a short project carrying out independent research on a figure or writer associated with the New Woman (not included in the primary texts) and are encouraged to look beyond the U.K. to research figures who represent the spread of New Woman ideas internationally.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C01760">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C01760" w:rsidRPr="00302082" w14:paraId="7D69102C" w14:textId="77777777" w:rsidTr="00C01760">
        <w:trPr>
          <w:trHeight w:val="305"/>
        </w:trPr>
        <w:tc>
          <w:tcPr>
            <w:tcW w:w="1593" w:type="dxa"/>
          </w:tcPr>
          <w:p w14:paraId="19227CDE"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07/02/17</w:t>
            </w:r>
          </w:p>
        </w:tc>
        <w:tc>
          <w:tcPr>
            <w:tcW w:w="2271" w:type="dxa"/>
          </w:tcPr>
          <w:p w14:paraId="5B1D1D60"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Minor</w:t>
            </w:r>
          </w:p>
        </w:tc>
        <w:tc>
          <w:tcPr>
            <w:tcW w:w="1896" w:type="dxa"/>
          </w:tcPr>
          <w:p w14:paraId="06FCC5B8"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September 2017</w:t>
            </w:r>
          </w:p>
        </w:tc>
        <w:tc>
          <w:tcPr>
            <w:tcW w:w="2246" w:type="dxa"/>
          </w:tcPr>
          <w:p w14:paraId="2A39CF27"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6, 7</w:t>
            </w:r>
          </w:p>
        </w:tc>
        <w:tc>
          <w:tcPr>
            <w:tcW w:w="2676" w:type="dxa"/>
          </w:tcPr>
          <w:p w14:paraId="06CCE490"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No</w:t>
            </w:r>
          </w:p>
        </w:tc>
      </w:tr>
      <w:tr w:rsidR="00C01760" w14:paraId="3AAD5E67" w14:textId="77777777" w:rsidTr="00C01760">
        <w:trPr>
          <w:trHeight w:val="305"/>
        </w:trPr>
        <w:tc>
          <w:tcPr>
            <w:tcW w:w="1593" w:type="dxa"/>
            <w:hideMark/>
          </w:tcPr>
          <w:p w14:paraId="429E5A1A"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05/03/18</w:t>
            </w:r>
          </w:p>
        </w:tc>
        <w:tc>
          <w:tcPr>
            <w:tcW w:w="2271" w:type="dxa"/>
            <w:hideMark/>
          </w:tcPr>
          <w:p w14:paraId="4FF3637F"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Major</w:t>
            </w:r>
          </w:p>
        </w:tc>
        <w:tc>
          <w:tcPr>
            <w:tcW w:w="1896" w:type="dxa"/>
            <w:hideMark/>
          </w:tcPr>
          <w:p w14:paraId="473CE6FD"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September 2018</w:t>
            </w:r>
          </w:p>
        </w:tc>
        <w:tc>
          <w:tcPr>
            <w:tcW w:w="2246" w:type="dxa"/>
            <w:hideMark/>
          </w:tcPr>
          <w:p w14:paraId="06764850" w14:textId="7BE00865" w:rsidR="00C01760" w:rsidRPr="00C866DE" w:rsidRDefault="00C01760" w:rsidP="00C866DE">
            <w:pPr>
              <w:spacing w:after="120"/>
              <w:ind w:right="-330"/>
              <w:rPr>
                <w:rFonts w:ascii="Arial" w:hAnsi="Arial" w:cs="Arial"/>
                <w:sz w:val="20"/>
                <w:szCs w:val="20"/>
              </w:rPr>
            </w:pPr>
            <w:r w:rsidRPr="00C866DE">
              <w:rPr>
                <w:rFonts w:ascii="Arial" w:hAnsi="Arial" w:cs="Arial"/>
                <w:sz w:val="20"/>
                <w:szCs w:val="20"/>
              </w:rPr>
              <w:t xml:space="preserve">13 </w:t>
            </w:r>
          </w:p>
        </w:tc>
        <w:tc>
          <w:tcPr>
            <w:tcW w:w="2676" w:type="dxa"/>
            <w:hideMark/>
          </w:tcPr>
          <w:p w14:paraId="02C0D4B9"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No</w:t>
            </w:r>
          </w:p>
        </w:tc>
      </w:tr>
      <w:tr w:rsidR="00C01760" w14:paraId="745D19AB" w14:textId="77777777" w:rsidTr="00C01760">
        <w:trPr>
          <w:trHeight w:val="305"/>
        </w:trPr>
        <w:tc>
          <w:tcPr>
            <w:tcW w:w="1593" w:type="dxa"/>
          </w:tcPr>
          <w:p w14:paraId="280B5ACE"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10/01/20</w:t>
            </w:r>
          </w:p>
        </w:tc>
        <w:tc>
          <w:tcPr>
            <w:tcW w:w="2271" w:type="dxa"/>
          </w:tcPr>
          <w:p w14:paraId="56A762F5"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Major</w:t>
            </w:r>
          </w:p>
        </w:tc>
        <w:tc>
          <w:tcPr>
            <w:tcW w:w="1896" w:type="dxa"/>
          </w:tcPr>
          <w:p w14:paraId="6E8C2DD6"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September 2020</w:t>
            </w:r>
          </w:p>
        </w:tc>
        <w:tc>
          <w:tcPr>
            <w:tcW w:w="2246" w:type="dxa"/>
          </w:tcPr>
          <w:p w14:paraId="12C76CF8"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6-14, 17</w:t>
            </w:r>
          </w:p>
        </w:tc>
        <w:tc>
          <w:tcPr>
            <w:tcW w:w="2676" w:type="dxa"/>
          </w:tcPr>
          <w:p w14:paraId="07AC343F"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No</w:t>
            </w:r>
          </w:p>
        </w:tc>
      </w:tr>
      <w:tr w:rsidR="00C01760" w14:paraId="2A5FA461" w14:textId="77777777" w:rsidTr="00C01760">
        <w:trPr>
          <w:trHeight w:val="305"/>
        </w:trPr>
        <w:tc>
          <w:tcPr>
            <w:tcW w:w="1593" w:type="dxa"/>
          </w:tcPr>
          <w:p w14:paraId="32AEAB95"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Sep 2020</w:t>
            </w:r>
          </w:p>
        </w:tc>
        <w:tc>
          <w:tcPr>
            <w:tcW w:w="2271" w:type="dxa"/>
          </w:tcPr>
          <w:p w14:paraId="71F953B5"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Minor</w:t>
            </w:r>
          </w:p>
        </w:tc>
        <w:tc>
          <w:tcPr>
            <w:tcW w:w="1896" w:type="dxa"/>
          </w:tcPr>
          <w:p w14:paraId="050D4C21"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September 2020</w:t>
            </w:r>
          </w:p>
        </w:tc>
        <w:tc>
          <w:tcPr>
            <w:tcW w:w="2246" w:type="dxa"/>
          </w:tcPr>
          <w:p w14:paraId="6A2E4DC0"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13, 14</w:t>
            </w:r>
          </w:p>
        </w:tc>
        <w:tc>
          <w:tcPr>
            <w:tcW w:w="2676" w:type="dxa"/>
          </w:tcPr>
          <w:p w14:paraId="0D69AEB2"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No</w:t>
            </w:r>
          </w:p>
        </w:tc>
      </w:tr>
      <w:tr w:rsidR="00302082" w:rsidRPr="009D52D0" w14:paraId="29EF87B4" w14:textId="77777777" w:rsidTr="00C01760">
        <w:trPr>
          <w:trHeight w:val="305"/>
        </w:trPr>
        <w:tc>
          <w:tcPr>
            <w:tcW w:w="1593" w:type="dxa"/>
          </w:tcPr>
          <w:p w14:paraId="4474539E" w14:textId="6E236E6E" w:rsidR="00422B69" w:rsidRPr="00C866DE" w:rsidRDefault="00C866DE" w:rsidP="009D52D0">
            <w:pPr>
              <w:spacing w:after="120"/>
              <w:ind w:right="543"/>
              <w:rPr>
                <w:rFonts w:ascii="Arial" w:hAnsi="Arial" w:cs="Arial"/>
                <w:sz w:val="20"/>
                <w:szCs w:val="20"/>
              </w:rPr>
            </w:pPr>
            <w:r w:rsidRPr="00C866DE">
              <w:rPr>
                <w:rFonts w:ascii="Arial" w:hAnsi="Arial" w:cs="Arial"/>
                <w:sz w:val="20"/>
                <w:szCs w:val="20"/>
              </w:rPr>
              <w:t>21/12/2021</w:t>
            </w:r>
          </w:p>
        </w:tc>
        <w:tc>
          <w:tcPr>
            <w:tcW w:w="2271" w:type="dxa"/>
          </w:tcPr>
          <w:p w14:paraId="3DB8B056" w14:textId="0ADFB3BD" w:rsidR="00422B69" w:rsidRPr="00C866DE" w:rsidRDefault="00C866DE" w:rsidP="009D52D0">
            <w:pPr>
              <w:spacing w:after="120"/>
              <w:ind w:right="543"/>
              <w:rPr>
                <w:rFonts w:ascii="Arial" w:hAnsi="Arial" w:cs="Arial"/>
                <w:sz w:val="20"/>
                <w:szCs w:val="20"/>
              </w:rPr>
            </w:pPr>
            <w:r w:rsidRPr="00C866DE">
              <w:rPr>
                <w:rFonts w:ascii="Arial" w:hAnsi="Arial" w:cs="Arial"/>
                <w:sz w:val="20"/>
                <w:szCs w:val="20"/>
              </w:rPr>
              <w:t>Minor</w:t>
            </w:r>
          </w:p>
        </w:tc>
        <w:tc>
          <w:tcPr>
            <w:tcW w:w="1896" w:type="dxa"/>
          </w:tcPr>
          <w:p w14:paraId="7151A835" w14:textId="38F7BB23" w:rsidR="00422B69" w:rsidRPr="00C866DE" w:rsidRDefault="00C866DE" w:rsidP="009D52D0">
            <w:pPr>
              <w:spacing w:after="120"/>
              <w:ind w:right="543"/>
              <w:rPr>
                <w:rFonts w:ascii="Arial" w:hAnsi="Arial" w:cs="Arial"/>
                <w:sz w:val="20"/>
                <w:szCs w:val="20"/>
              </w:rPr>
            </w:pPr>
            <w:r w:rsidRPr="00C866DE">
              <w:rPr>
                <w:rFonts w:ascii="Arial" w:hAnsi="Arial" w:cs="Arial"/>
                <w:sz w:val="20"/>
                <w:szCs w:val="20"/>
              </w:rPr>
              <w:t>2022/23</w:t>
            </w:r>
          </w:p>
        </w:tc>
        <w:tc>
          <w:tcPr>
            <w:tcW w:w="2246" w:type="dxa"/>
          </w:tcPr>
          <w:p w14:paraId="64AEF8B4" w14:textId="4DF416DA" w:rsidR="00422B69" w:rsidRPr="00C866DE" w:rsidRDefault="00C866DE" w:rsidP="009D52D0">
            <w:pPr>
              <w:spacing w:after="120"/>
              <w:ind w:right="543"/>
              <w:rPr>
                <w:rFonts w:ascii="Arial" w:hAnsi="Arial" w:cs="Arial"/>
                <w:sz w:val="20"/>
                <w:szCs w:val="20"/>
              </w:rPr>
            </w:pPr>
            <w:r w:rsidRPr="00C866DE">
              <w:rPr>
                <w:rFonts w:ascii="Arial" w:hAnsi="Arial" w:cs="Arial"/>
                <w:sz w:val="20"/>
                <w:szCs w:val="20"/>
              </w:rPr>
              <w:t>13</w:t>
            </w:r>
          </w:p>
        </w:tc>
        <w:tc>
          <w:tcPr>
            <w:tcW w:w="2676" w:type="dxa"/>
          </w:tcPr>
          <w:p w14:paraId="2788108C" w14:textId="5E4268FF" w:rsidR="00422B69" w:rsidRPr="00C866DE" w:rsidRDefault="00C866DE" w:rsidP="009D52D0">
            <w:pPr>
              <w:spacing w:after="120"/>
              <w:ind w:right="543"/>
              <w:rPr>
                <w:rFonts w:ascii="Arial" w:hAnsi="Arial" w:cs="Arial"/>
                <w:sz w:val="20"/>
                <w:szCs w:val="20"/>
              </w:rPr>
            </w:pPr>
            <w:r w:rsidRPr="00C866DE">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415C03">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3A70" w14:textId="77777777" w:rsidR="00B40A82" w:rsidRDefault="00B40A82" w:rsidP="009A2D37">
      <w:pPr>
        <w:spacing w:after="0" w:line="240" w:lineRule="auto"/>
      </w:pPr>
      <w:r>
        <w:separator/>
      </w:r>
    </w:p>
  </w:endnote>
  <w:endnote w:type="continuationSeparator" w:id="0">
    <w:p w14:paraId="5877CDE3" w14:textId="77777777" w:rsidR="00B40A82" w:rsidRDefault="00B40A82" w:rsidP="009A2D37">
      <w:pPr>
        <w:spacing w:after="0" w:line="240" w:lineRule="auto"/>
      </w:pPr>
      <w:r>
        <w:continuationSeparator/>
      </w:r>
    </w:p>
  </w:endnote>
  <w:endnote w:type="continuationNotice" w:id="1">
    <w:p w14:paraId="4A540A54" w14:textId="77777777" w:rsidR="00B40A82" w:rsidRDefault="00B40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FF8FC5E" w:rsidR="008B2543" w:rsidRDefault="0019787E" w:rsidP="009A2D37">
        <w:pPr>
          <w:pStyle w:val="Footer"/>
          <w:jc w:val="center"/>
        </w:pPr>
        <w:r>
          <w:fldChar w:fldCharType="begin"/>
        </w:r>
        <w:r>
          <w:instrText xml:space="preserve"> PAGE   \* MERGEFORMAT </w:instrText>
        </w:r>
        <w:r>
          <w:fldChar w:fldCharType="separate"/>
        </w:r>
        <w:r w:rsidR="00415C03">
          <w:rPr>
            <w:noProof/>
          </w:rPr>
          <w:t>1</w:t>
        </w:r>
        <w:r>
          <w:rPr>
            <w:noProof/>
          </w:rPr>
          <w:fldChar w:fldCharType="end"/>
        </w:r>
      </w:p>
    </w:sdtContent>
  </w:sdt>
  <w:p w14:paraId="01B91AE3" w14:textId="77777777" w:rsidR="00E9635A" w:rsidRPr="00E9635A" w:rsidRDefault="00E9635A" w:rsidP="00E9635A">
    <w:pPr>
      <w:pStyle w:val="Footer"/>
      <w:jc w:val="center"/>
      <w:rPr>
        <w:rFonts w:ascii="Arial" w:hAnsi="Arial" w:cs="Arial"/>
        <w:sz w:val="18"/>
        <w:szCs w:val="18"/>
      </w:rPr>
    </w:pPr>
    <w:r w:rsidRPr="00E9635A">
      <w:rPr>
        <w:rFonts w:ascii="Arial" w:hAnsi="Arial" w:cs="Arial"/>
        <w:bCs/>
        <w:sz w:val="18"/>
        <w:szCs w:val="18"/>
      </w:rPr>
      <w:t>The New Woman</w:t>
    </w:r>
  </w:p>
  <w:p w14:paraId="26569854" w14:textId="4677EC82" w:rsidR="008B2543" w:rsidRPr="007B7724" w:rsidRDefault="008B2543" w:rsidP="00E9635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AA832B9" w:rsidR="00EB41D1" w:rsidRDefault="00EB41D1" w:rsidP="00EB41D1">
        <w:pPr>
          <w:pStyle w:val="Footer"/>
          <w:jc w:val="center"/>
        </w:pPr>
        <w:r>
          <w:fldChar w:fldCharType="begin"/>
        </w:r>
        <w:r>
          <w:instrText xml:space="preserve"> PAGE   \* MERGEFORMAT </w:instrText>
        </w:r>
        <w:r>
          <w:fldChar w:fldCharType="separate"/>
        </w:r>
        <w:r w:rsidR="00415C03">
          <w:rPr>
            <w:noProof/>
          </w:rPr>
          <w:t>1</w:t>
        </w:r>
        <w:r>
          <w:rPr>
            <w:noProof/>
          </w:rPr>
          <w:fldChar w:fldCharType="end"/>
        </w:r>
      </w:p>
    </w:sdtContent>
  </w:sdt>
  <w:p w14:paraId="24F79DDC" w14:textId="32D2934D" w:rsidR="00F17B94" w:rsidRPr="00E9635A" w:rsidRDefault="00E9635A" w:rsidP="00E9635A">
    <w:pPr>
      <w:pStyle w:val="Footer"/>
      <w:jc w:val="center"/>
      <w:rPr>
        <w:rFonts w:ascii="Arial" w:hAnsi="Arial" w:cs="Arial"/>
        <w:sz w:val="18"/>
        <w:szCs w:val="18"/>
      </w:rPr>
    </w:pPr>
    <w:r w:rsidRPr="00E9635A">
      <w:rPr>
        <w:rFonts w:ascii="Arial" w:hAnsi="Arial" w:cs="Arial"/>
        <w:bCs/>
        <w:sz w:val="18"/>
        <w:szCs w:val="18"/>
      </w:rPr>
      <w:t>The New 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4E3CC" w14:textId="77777777" w:rsidR="00B40A82" w:rsidRDefault="00B40A82" w:rsidP="009A2D37">
      <w:pPr>
        <w:spacing w:after="0" w:line="240" w:lineRule="auto"/>
      </w:pPr>
      <w:r>
        <w:separator/>
      </w:r>
    </w:p>
  </w:footnote>
  <w:footnote w:type="continuationSeparator" w:id="0">
    <w:p w14:paraId="14930E82" w14:textId="77777777" w:rsidR="00B40A82" w:rsidRDefault="00B40A82" w:rsidP="009A2D37">
      <w:pPr>
        <w:spacing w:after="0" w:line="240" w:lineRule="auto"/>
      </w:pPr>
      <w:r>
        <w:continuationSeparator/>
      </w:r>
    </w:p>
  </w:footnote>
  <w:footnote w:type="continuationNotice" w:id="1">
    <w:p w14:paraId="68C31030" w14:textId="77777777" w:rsidR="00B40A82" w:rsidRDefault="00B40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2910"/>
    <w:rsid w:val="00025992"/>
    <w:rsid w:val="00027937"/>
    <w:rsid w:val="00030C9E"/>
    <w:rsid w:val="00031E67"/>
    <w:rsid w:val="000408CC"/>
    <w:rsid w:val="00045373"/>
    <w:rsid w:val="00063A2F"/>
    <w:rsid w:val="000674E0"/>
    <w:rsid w:val="000678D3"/>
    <w:rsid w:val="00072357"/>
    <w:rsid w:val="000918C6"/>
    <w:rsid w:val="00094810"/>
    <w:rsid w:val="00096DA4"/>
    <w:rsid w:val="000A0E79"/>
    <w:rsid w:val="000B55D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370A6"/>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C03"/>
    <w:rsid w:val="00422B69"/>
    <w:rsid w:val="00423D86"/>
    <w:rsid w:val="00424C90"/>
    <w:rsid w:val="00426833"/>
    <w:rsid w:val="004323FD"/>
    <w:rsid w:val="00436BE9"/>
    <w:rsid w:val="00441E76"/>
    <w:rsid w:val="004443DA"/>
    <w:rsid w:val="00446A75"/>
    <w:rsid w:val="004474A2"/>
    <w:rsid w:val="00460925"/>
    <w:rsid w:val="00471C6C"/>
    <w:rsid w:val="00472023"/>
    <w:rsid w:val="004756AD"/>
    <w:rsid w:val="00476167"/>
    <w:rsid w:val="00486993"/>
    <w:rsid w:val="00492DA4"/>
    <w:rsid w:val="00496AA3"/>
    <w:rsid w:val="00497C98"/>
    <w:rsid w:val="004A39D7"/>
    <w:rsid w:val="004A3C23"/>
    <w:rsid w:val="004A55FA"/>
    <w:rsid w:val="004B5D03"/>
    <w:rsid w:val="004C1EC4"/>
    <w:rsid w:val="004D035C"/>
    <w:rsid w:val="004D4A56"/>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E7B"/>
    <w:rsid w:val="0058743D"/>
    <w:rsid w:val="00587BF7"/>
    <w:rsid w:val="00592034"/>
    <w:rsid w:val="0059477B"/>
    <w:rsid w:val="00596884"/>
    <w:rsid w:val="005A14B5"/>
    <w:rsid w:val="005A7A7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1B44"/>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250D"/>
    <w:rsid w:val="006F3F8B"/>
    <w:rsid w:val="00700488"/>
    <w:rsid w:val="00703404"/>
    <w:rsid w:val="00703F92"/>
    <w:rsid w:val="00704637"/>
    <w:rsid w:val="00704F99"/>
    <w:rsid w:val="00710530"/>
    <w:rsid w:val="007105E4"/>
    <w:rsid w:val="00710647"/>
    <w:rsid w:val="00714EE5"/>
    <w:rsid w:val="00720270"/>
    <w:rsid w:val="00724362"/>
    <w:rsid w:val="00727780"/>
    <w:rsid w:val="0073792C"/>
    <w:rsid w:val="00740C1A"/>
    <w:rsid w:val="00741311"/>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2AEF"/>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B537D"/>
    <w:rsid w:val="008D4447"/>
    <w:rsid w:val="008D7401"/>
    <w:rsid w:val="008F3E9D"/>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518C"/>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3B9E"/>
    <w:rsid w:val="00A3007E"/>
    <w:rsid w:val="00A32048"/>
    <w:rsid w:val="00A41F06"/>
    <w:rsid w:val="00A452C2"/>
    <w:rsid w:val="00A50FD4"/>
    <w:rsid w:val="00A519E9"/>
    <w:rsid w:val="00A52DB4"/>
    <w:rsid w:val="00A618E1"/>
    <w:rsid w:val="00A629B9"/>
    <w:rsid w:val="00A70C20"/>
    <w:rsid w:val="00A74292"/>
    <w:rsid w:val="00A7709D"/>
    <w:rsid w:val="00A776DE"/>
    <w:rsid w:val="00A80640"/>
    <w:rsid w:val="00A87FFD"/>
    <w:rsid w:val="00A97038"/>
    <w:rsid w:val="00A97CB8"/>
    <w:rsid w:val="00AA1435"/>
    <w:rsid w:val="00AA3C15"/>
    <w:rsid w:val="00AA6330"/>
    <w:rsid w:val="00AC7501"/>
    <w:rsid w:val="00AD748B"/>
    <w:rsid w:val="00AE4865"/>
    <w:rsid w:val="00AE6FC7"/>
    <w:rsid w:val="00AF50EE"/>
    <w:rsid w:val="00B0591D"/>
    <w:rsid w:val="00B06017"/>
    <w:rsid w:val="00B07E0E"/>
    <w:rsid w:val="00B13402"/>
    <w:rsid w:val="00B14BC2"/>
    <w:rsid w:val="00B17024"/>
    <w:rsid w:val="00B17CD2"/>
    <w:rsid w:val="00B213D2"/>
    <w:rsid w:val="00B248BA"/>
    <w:rsid w:val="00B24B56"/>
    <w:rsid w:val="00B2615D"/>
    <w:rsid w:val="00B30E07"/>
    <w:rsid w:val="00B34ADD"/>
    <w:rsid w:val="00B40A82"/>
    <w:rsid w:val="00B52FF5"/>
    <w:rsid w:val="00B5498B"/>
    <w:rsid w:val="00B57219"/>
    <w:rsid w:val="00B658A3"/>
    <w:rsid w:val="00B65AAD"/>
    <w:rsid w:val="00B72470"/>
    <w:rsid w:val="00B746A8"/>
    <w:rsid w:val="00B750F2"/>
    <w:rsid w:val="00B7664D"/>
    <w:rsid w:val="00B80989"/>
    <w:rsid w:val="00B90C66"/>
    <w:rsid w:val="00B9109B"/>
    <w:rsid w:val="00B912BB"/>
    <w:rsid w:val="00B927AE"/>
    <w:rsid w:val="00B9290A"/>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760"/>
    <w:rsid w:val="00C02AA2"/>
    <w:rsid w:val="00C04C95"/>
    <w:rsid w:val="00C12613"/>
    <w:rsid w:val="00C16DEF"/>
    <w:rsid w:val="00C2492F"/>
    <w:rsid w:val="00C3744A"/>
    <w:rsid w:val="00C4002A"/>
    <w:rsid w:val="00C41C4C"/>
    <w:rsid w:val="00C46912"/>
    <w:rsid w:val="00C51606"/>
    <w:rsid w:val="00C612A8"/>
    <w:rsid w:val="00C618D2"/>
    <w:rsid w:val="00C67631"/>
    <w:rsid w:val="00C709C6"/>
    <w:rsid w:val="00C729D7"/>
    <w:rsid w:val="00C83354"/>
    <w:rsid w:val="00C84004"/>
    <w:rsid w:val="00C843F6"/>
    <w:rsid w:val="00C84507"/>
    <w:rsid w:val="00C862C7"/>
    <w:rsid w:val="00C866AE"/>
    <w:rsid w:val="00C866D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635A"/>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34F0"/>
    <w:rsid w:val="00F87559"/>
    <w:rsid w:val="00F96D71"/>
    <w:rsid w:val="00F97C9E"/>
    <w:rsid w:val="00FA20DE"/>
    <w:rsid w:val="00FA4EE8"/>
    <w:rsid w:val="00FB12CA"/>
    <w:rsid w:val="00FB2E32"/>
    <w:rsid w:val="00FB36EC"/>
    <w:rsid w:val="00FB4E1B"/>
    <w:rsid w:val="00FB6679"/>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51B4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1E40D1C-C823-46F9-A64E-942B6913D989}">
  <ds:schemaRefs>
    <ds:schemaRef ds:uri="http://schemas.openxmlformats.org/officeDocument/2006/bibliography"/>
  </ds:schemaRefs>
</ds:datastoreItem>
</file>

<file path=customXml/itemProps2.xml><?xml version="1.0" encoding="utf-8"?>
<ds:datastoreItem xmlns:ds="http://schemas.openxmlformats.org/officeDocument/2006/customXml" ds:itemID="{4EB2CFC1-14C8-40D2-A89D-DA6B2137610A}"/>
</file>

<file path=customXml/itemProps3.xml><?xml version="1.0" encoding="utf-8"?>
<ds:datastoreItem xmlns:ds="http://schemas.openxmlformats.org/officeDocument/2006/customXml" ds:itemID="{A791F3FB-3C04-4C55-BE66-BA5B4CEDF971}"/>
</file>

<file path=customXml/itemProps4.xml><?xml version="1.0" encoding="utf-8"?>
<ds:datastoreItem xmlns:ds="http://schemas.openxmlformats.org/officeDocument/2006/customXml" ds:itemID="{AE598267-41C3-43B9-BBA9-665036C12BC2}"/>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2022-01-27T15:26:00Z</dcterms:created>
  <dcterms:modified xsi:type="dcterms:W3CDTF">2022-01-27T15:29:00Z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