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1D71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014C307" w14:textId="77777777" w:rsidR="0083074C" w:rsidRPr="004F7C2A" w:rsidRDefault="00ED4776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ECON8830 (EC883) </w:t>
      </w:r>
      <w:r w:rsidR="004F7C2A">
        <w:rPr>
          <w:rFonts w:ascii="Arial" w:hAnsi="Arial" w:cs="Arial"/>
        </w:rPr>
        <w:t xml:space="preserve">Advanced Microeconomics and Game Theory </w:t>
      </w:r>
    </w:p>
    <w:p w14:paraId="578AB630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F7C36A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B4AE350" w14:textId="77777777" w:rsidR="009A2D37" w:rsidRPr="004F7C2A" w:rsidRDefault="004F7C2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Economics</w:t>
      </w:r>
    </w:p>
    <w:p w14:paraId="62FF6B1F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BBD762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E6A939B" w14:textId="77777777" w:rsidR="009A2D37" w:rsidRPr="004F7C2A" w:rsidRDefault="004F7C2A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14:paraId="49AD684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C85D31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4FF0F43" w14:textId="77777777" w:rsidR="009A2D37" w:rsidRPr="004F7C2A" w:rsidRDefault="004F7C2A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Credits (7.5 ECTS)</w:t>
      </w:r>
    </w:p>
    <w:p w14:paraId="57F9603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14EE21B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E9102C4" w14:textId="77777777" w:rsidR="009A2D37" w:rsidRPr="004F7C2A" w:rsidRDefault="004F7C2A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6C23C808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3BDC8E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2D11246" w14:textId="77777777" w:rsidR="009A2D37" w:rsidRPr="004F7C2A" w:rsidRDefault="004F7C2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9B6BE6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2B441D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085005F8" w14:textId="0AF2E7C4" w:rsidR="004F7C2A" w:rsidRPr="004F7C2A" w:rsidRDefault="004F7C2A" w:rsidP="004F7C2A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Pr="004F7C2A">
        <w:rPr>
          <w:rFonts w:ascii="Arial" w:hAnsi="Arial" w:cs="Arial"/>
          <w:iCs/>
        </w:rPr>
        <w:t>t will be an option</w:t>
      </w:r>
      <w:r w:rsidR="007B5CCD">
        <w:rPr>
          <w:rFonts w:ascii="Arial" w:hAnsi="Arial" w:cs="Arial"/>
          <w:iCs/>
        </w:rPr>
        <w:t>al</w:t>
      </w:r>
      <w:r w:rsidRPr="004F7C2A">
        <w:rPr>
          <w:rFonts w:ascii="Arial" w:hAnsi="Arial" w:cs="Arial"/>
          <w:iCs/>
        </w:rPr>
        <w:t xml:space="preserve"> module on PhD Economics and PhD </w:t>
      </w:r>
      <w:proofErr w:type="spellStart"/>
      <w:r w:rsidRPr="004F7C2A">
        <w:rPr>
          <w:rFonts w:ascii="Arial" w:hAnsi="Arial" w:cs="Arial"/>
          <w:iCs/>
        </w:rPr>
        <w:t>Agri</w:t>
      </w:r>
      <w:proofErr w:type="spellEnd"/>
      <w:r w:rsidRPr="004F7C2A">
        <w:rPr>
          <w:rFonts w:ascii="Arial" w:hAnsi="Arial" w:cs="Arial"/>
          <w:iCs/>
        </w:rPr>
        <w:t>-environmental Economics</w:t>
      </w:r>
    </w:p>
    <w:p w14:paraId="0101BB9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A871235" w14:textId="77777777" w:rsidR="00ED4776" w:rsidRDefault="009A2D37" w:rsidP="00ED477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D2607B" w14:textId="2A09D46F" w:rsidR="00ED4776" w:rsidRPr="00ED4776" w:rsidRDefault="004F7C2A" w:rsidP="00ED4776">
      <w:pPr>
        <w:numPr>
          <w:ilvl w:val="1"/>
          <w:numId w:val="1"/>
        </w:numPr>
        <w:spacing w:after="0" w:line="360" w:lineRule="auto"/>
        <w:ind w:left="992" w:right="261" w:hanging="431"/>
        <w:rPr>
          <w:rFonts w:ascii="Arial" w:hAnsi="Arial" w:cs="Arial"/>
        </w:rPr>
      </w:pPr>
      <w:r w:rsidRPr="00ED4776">
        <w:rPr>
          <w:rFonts w:ascii="Arial" w:hAnsi="Arial" w:cs="Arial"/>
        </w:rPr>
        <w:t>Explain in detail fundamental microeconomic and game theoretic concepts</w:t>
      </w:r>
      <w:r w:rsidR="00586EA9">
        <w:rPr>
          <w:rFonts w:ascii="Arial" w:hAnsi="Arial" w:cs="Arial"/>
        </w:rPr>
        <w:t>.</w:t>
      </w:r>
      <w:r w:rsidRPr="00ED4776">
        <w:rPr>
          <w:rFonts w:ascii="Arial" w:hAnsi="Arial" w:cs="Arial"/>
        </w:rPr>
        <w:t xml:space="preserve"> </w:t>
      </w:r>
    </w:p>
    <w:p w14:paraId="23CC4333" w14:textId="417CF774" w:rsidR="00ED4776" w:rsidRPr="00ED4776" w:rsidRDefault="004F7C2A" w:rsidP="00ED4776">
      <w:pPr>
        <w:numPr>
          <w:ilvl w:val="1"/>
          <w:numId w:val="1"/>
        </w:numPr>
        <w:spacing w:after="0" w:line="360" w:lineRule="auto"/>
        <w:ind w:left="992" w:right="261" w:hanging="431"/>
        <w:rPr>
          <w:rFonts w:ascii="Arial" w:hAnsi="Arial" w:cs="Arial"/>
        </w:rPr>
      </w:pPr>
      <w:r w:rsidRPr="00ED4776">
        <w:rPr>
          <w:rFonts w:ascii="Arial" w:hAnsi="Arial" w:cs="Arial"/>
        </w:rPr>
        <w:t>Critically assess commonly used game theoretic models</w:t>
      </w:r>
      <w:r w:rsidR="00586EA9">
        <w:rPr>
          <w:rFonts w:ascii="Arial" w:hAnsi="Arial" w:cs="Arial"/>
        </w:rPr>
        <w:t>.</w:t>
      </w:r>
      <w:r w:rsidRPr="00ED4776">
        <w:rPr>
          <w:rFonts w:ascii="Arial" w:hAnsi="Arial" w:cs="Arial"/>
        </w:rPr>
        <w:t xml:space="preserve"> </w:t>
      </w:r>
    </w:p>
    <w:p w14:paraId="5EF36D08" w14:textId="34011671" w:rsidR="00ED4776" w:rsidRPr="00ED4776" w:rsidRDefault="004F7C2A" w:rsidP="00ED4776">
      <w:pPr>
        <w:numPr>
          <w:ilvl w:val="1"/>
          <w:numId w:val="1"/>
        </w:numPr>
        <w:spacing w:after="0" w:line="360" w:lineRule="auto"/>
        <w:ind w:left="992" w:right="261" w:hanging="431"/>
        <w:rPr>
          <w:rFonts w:ascii="Arial" w:hAnsi="Arial" w:cs="Arial"/>
        </w:rPr>
      </w:pPr>
      <w:r w:rsidRPr="00ED4776">
        <w:rPr>
          <w:rFonts w:ascii="Arial" w:hAnsi="Arial" w:cs="Arial"/>
        </w:rPr>
        <w:t>Apply economic theory and game theory in studying</w:t>
      </w:r>
      <w:r w:rsidR="00ED4776" w:rsidRPr="00ED4776">
        <w:rPr>
          <w:rFonts w:ascii="Arial" w:hAnsi="Arial" w:cs="Arial"/>
        </w:rPr>
        <w:t xml:space="preserve"> novel </w:t>
      </w:r>
      <w:proofErr w:type="gramStart"/>
      <w:r w:rsidR="00ED4776" w:rsidRPr="00ED4776">
        <w:rPr>
          <w:rFonts w:ascii="Arial" w:hAnsi="Arial" w:cs="Arial"/>
        </w:rPr>
        <w:t>decision making</w:t>
      </w:r>
      <w:proofErr w:type="gramEnd"/>
      <w:r w:rsidR="00ED4776" w:rsidRPr="00ED4776">
        <w:rPr>
          <w:rFonts w:ascii="Arial" w:hAnsi="Arial" w:cs="Arial"/>
        </w:rPr>
        <w:t xml:space="preserve"> contexts</w:t>
      </w:r>
      <w:r w:rsidR="00586EA9">
        <w:rPr>
          <w:rFonts w:ascii="Arial" w:hAnsi="Arial" w:cs="Arial"/>
        </w:rPr>
        <w:t>.</w:t>
      </w:r>
    </w:p>
    <w:p w14:paraId="3BAAA871" w14:textId="76DC4BD0" w:rsidR="004F7C2A" w:rsidRPr="00ED4776" w:rsidRDefault="00ED4776" w:rsidP="00ED4776">
      <w:pPr>
        <w:numPr>
          <w:ilvl w:val="1"/>
          <w:numId w:val="1"/>
        </w:numPr>
        <w:spacing w:after="0" w:line="360" w:lineRule="auto"/>
        <w:ind w:left="992" w:right="261" w:hanging="431"/>
        <w:rPr>
          <w:rFonts w:ascii="Arial" w:hAnsi="Arial" w:cs="Arial"/>
        </w:rPr>
      </w:pPr>
      <w:r w:rsidRPr="00ED4776">
        <w:rPr>
          <w:rFonts w:ascii="Arial" w:hAnsi="Arial" w:cs="Arial"/>
        </w:rPr>
        <w:t>I</w:t>
      </w:r>
      <w:r w:rsidR="004F7C2A" w:rsidRPr="00ED4776">
        <w:rPr>
          <w:rFonts w:ascii="Arial" w:hAnsi="Arial" w:cs="Arial"/>
        </w:rPr>
        <w:t xml:space="preserve">nterpret and </w:t>
      </w:r>
      <w:r w:rsidR="00505180">
        <w:rPr>
          <w:rFonts w:ascii="Arial" w:hAnsi="Arial" w:cs="Arial"/>
        </w:rPr>
        <w:t xml:space="preserve">critically </w:t>
      </w:r>
      <w:r w:rsidR="004F7C2A" w:rsidRPr="00ED4776">
        <w:rPr>
          <w:rFonts w:ascii="Arial" w:hAnsi="Arial" w:cs="Arial"/>
        </w:rPr>
        <w:t xml:space="preserve">understand </w:t>
      </w:r>
      <w:proofErr w:type="gramStart"/>
      <w:r w:rsidR="004F7C2A" w:rsidRPr="00ED4776">
        <w:rPr>
          <w:rFonts w:ascii="Arial" w:hAnsi="Arial" w:cs="Arial"/>
        </w:rPr>
        <w:t>cutting edge</w:t>
      </w:r>
      <w:proofErr w:type="gramEnd"/>
      <w:r w:rsidR="004F7C2A" w:rsidRPr="00ED4776">
        <w:rPr>
          <w:rFonts w:ascii="Arial" w:hAnsi="Arial" w:cs="Arial"/>
        </w:rPr>
        <w:t xml:space="preserve"> micr</w:t>
      </w:r>
      <w:r w:rsidR="00A8766F">
        <w:rPr>
          <w:rFonts w:ascii="Arial" w:hAnsi="Arial" w:cs="Arial"/>
        </w:rPr>
        <w:t>oeconomic theoretical research</w:t>
      </w:r>
      <w:r w:rsidR="00505180">
        <w:rPr>
          <w:rFonts w:ascii="Arial" w:hAnsi="Arial" w:cs="Arial"/>
        </w:rPr>
        <w:t>.</w:t>
      </w:r>
    </w:p>
    <w:p w14:paraId="1D0CDD68" w14:textId="77777777" w:rsidR="004F7C2A" w:rsidRPr="004F7C2A" w:rsidRDefault="004F7C2A" w:rsidP="004F7C2A">
      <w:pPr>
        <w:pStyle w:val="ListParagraph"/>
        <w:spacing w:after="120" w:line="240" w:lineRule="auto"/>
        <w:ind w:right="-330"/>
        <w:jc w:val="both"/>
        <w:rPr>
          <w:rFonts w:ascii="Arial" w:hAnsi="Arial" w:cs="Arial"/>
          <w:b/>
          <w:i/>
        </w:rPr>
      </w:pPr>
    </w:p>
    <w:p w14:paraId="119696E8" w14:textId="77777777" w:rsidR="00ED4776" w:rsidRDefault="009A2D37" w:rsidP="00ED477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927F7A1" w14:textId="3DE8F9D1" w:rsidR="00ED4776" w:rsidRPr="00ED4776" w:rsidRDefault="00BF5FB7" w:rsidP="00ED4776">
      <w:pPr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ED4776">
        <w:rPr>
          <w:rFonts w:ascii="Arial" w:hAnsi="Arial" w:cs="Arial"/>
        </w:rPr>
        <w:t>Have developed numer</w:t>
      </w:r>
      <w:r w:rsidR="00A8766F">
        <w:rPr>
          <w:rFonts w:ascii="Arial" w:hAnsi="Arial" w:cs="Arial"/>
        </w:rPr>
        <w:t>acy and problem solving skills</w:t>
      </w:r>
      <w:r w:rsidR="00586EA9">
        <w:rPr>
          <w:rFonts w:ascii="Arial" w:hAnsi="Arial" w:cs="Arial"/>
        </w:rPr>
        <w:t>.</w:t>
      </w:r>
    </w:p>
    <w:p w14:paraId="6D53C1EA" w14:textId="21682D4B" w:rsidR="00ED4776" w:rsidRPr="00ED4776" w:rsidRDefault="005F372A" w:rsidP="00ED4776">
      <w:pPr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>
        <w:rPr>
          <w:rFonts w:ascii="Arial" w:hAnsi="Arial" w:cs="Arial"/>
        </w:rPr>
        <w:t xml:space="preserve">Comprehensively </w:t>
      </w:r>
      <w:r w:rsidR="00BF5FB7" w:rsidRPr="00ED4776">
        <w:rPr>
          <w:rFonts w:ascii="Arial" w:hAnsi="Arial" w:cs="Arial"/>
        </w:rPr>
        <w:t>present</w:t>
      </w:r>
      <w:r w:rsidR="00A92521">
        <w:rPr>
          <w:rFonts w:ascii="Arial" w:hAnsi="Arial" w:cs="Arial"/>
        </w:rPr>
        <w:t xml:space="preserve"> </w:t>
      </w:r>
      <w:r w:rsidR="00BF5FB7" w:rsidRPr="00ED4776">
        <w:rPr>
          <w:rFonts w:ascii="Arial" w:hAnsi="Arial" w:cs="Arial"/>
        </w:rPr>
        <w:t>economic argum</w:t>
      </w:r>
      <w:r w:rsidR="00A8766F">
        <w:rPr>
          <w:rFonts w:ascii="Arial" w:hAnsi="Arial" w:cs="Arial"/>
        </w:rPr>
        <w:t>ents orally and in written form</w:t>
      </w:r>
      <w:r w:rsidR="00586EA9">
        <w:rPr>
          <w:rFonts w:ascii="Arial" w:hAnsi="Arial" w:cs="Arial"/>
        </w:rPr>
        <w:t>.</w:t>
      </w:r>
    </w:p>
    <w:p w14:paraId="41431376" w14:textId="79BC7B67" w:rsidR="00ED4776" w:rsidRPr="00ED4776" w:rsidRDefault="00A8766F" w:rsidP="00ED4776">
      <w:pPr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F5FB7" w:rsidRPr="00ED4776">
        <w:rPr>
          <w:rFonts w:ascii="Arial" w:hAnsi="Arial" w:cs="Arial"/>
        </w:rPr>
        <w:t>odel and analy</w:t>
      </w:r>
      <w:r>
        <w:rPr>
          <w:rFonts w:ascii="Arial" w:hAnsi="Arial" w:cs="Arial"/>
        </w:rPr>
        <w:t>s</w:t>
      </w:r>
      <w:r w:rsidR="00BF5FB7" w:rsidRPr="00ED4776">
        <w:rPr>
          <w:rFonts w:ascii="Arial" w:hAnsi="Arial" w:cs="Arial"/>
        </w:rPr>
        <w:t>e interacti</w:t>
      </w:r>
      <w:r>
        <w:rPr>
          <w:rFonts w:ascii="Arial" w:hAnsi="Arial" w:cs="Arial"/>
        </w:rPr>
        <w:t>ve situations using game theory</w:t>
      </w:r>
      <w:r w:rsidR="00586EA9">
        <w:rPr>
          <w:rFonts w:ascii="Arial" w:hAnsi="Arial" w:cs="Arial"/>
        </w:rPr>
        <w:t>.</w:t>
      </w:r>
    </w:p>
    <w:p w14:paraId="454E6D9C" w14:textId="352C7C45" w:rsidR="00BF5FB7" w:rsidRPr="00ED4776" w:rsidRDefault="00BF5FB7" w:rsidP="00ED4776">
      <w:pPr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ED4776">
        <w:rPr>
          <w:rFonts w:ascii="Arial" w:hAnsi="Arial" w:cs="Arial"/>
        </w:rPr>
        <w:t>Have develo</w:t>
      </w:r>
      <w:r w:rsidR="00A8766F">
        <w:rPr>
          <w:rFonts w:ascii="Arial" w:hAnsi="Arial" w:cs="Arial"/>
        </w:rPr>
        <w:t>ped independent learning skills</w:t>
      </w:r>
      <w:r w:rsidR="00586EA9">
        <w:rPr>
          <w:rFonts w:ascii="Arial" w:hAnsi="Arial" w:cs="Arial"/>
        </w:rPr>
        <w:t>.</w:t>
      </w:r>
    </w:p>
    <w:p w14:paraId="7A3A4E0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16C9E6E4" w14:textId="77777777" w:rsidR="00887C5C" w:rsidRDefault="00332BCA" w:rsidP="00887C5C">
      <w:pPr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The objective of this module is to bring students' ability in microeconomic theory up to the standard required for independent research. It builds on the microeconomics that </w:t>
      </w:r>
      <w:proofErr w:type="gramStart"/>
      <w:r>
        <w:rPr>
          <w:rFonts w:ascii="Arial" w:hAnsi="Arial" w:cs="Arial"/>
        </w:rPr>
        <w:t>would be covered</w:t>
      </w:r>
      <w:proofErr w:type="gramEnd"/>
      <w:r>
        <w:rPr>
          <w:rFonts w:ascii="Arial" w:hAnsi="Arial" w:cs="Arial"/>
        </w:rPr>
        <w:t xml:space="preserve"> in a standard MSc program. Concepts that a student should be familiar with, like Nash </w:t>
      </w:r>
      <w:proofErr w:type="gramStart"/>
      <w:r>
        <w:rPr>
          <w:rFonts w:ascii="Arial" w:hAnsi="Arial" w:cs="Arial"/>
        </w:rPr>
        <w:t>equilibrium,</w:t>
      </w:r>
      <w:proofErr w:type="gramEnd"/>
      <w:r>
        <w:rPr>
          <w:rFonts w:ascii="Arial" w:hAnsi="Arial" w:cs="Arial"/>
        </w:rPr>
        <w:t xml:space="preserve"> will be covered in more depth. Students </w:t>
      </w:r>
      <w:proofErr w:type="gramStart"/>
      <w:r>
        <w:rPr>
          <w:rFonts w:ascii="Arial" w:hAnsi="Arial" w:cs="Arial"/>
        </w:rPr>
        <w:t>will also be exposed</w:t>
      </w:r>
      <w:proofErr w:type="gramEnd"/>
      <w:r>
        <w:rPr>
          <w:rFonts w:ascii="Arial" w:hAnsi="Arial" w:cs="Arial"/>
        </w:rPr>
        <w:t xml:space="preserve"> to concepts that are at the forefront of modern research but not typically covered at the MSc level, </w:t>
      </w:r>
      <w:r w:rsidR="00887C5C">
        <w:rPr>
          <w:rFonts w:ascii="Arial" w:hAnsi="Arial" w:cs="Arial"/>
        </w:rPr>
        <w:t>such as psychological game theory, learning in games, and cooperative game theory. Specific topics will include:</w:t>
      </w:r>
    </w:p>
    <w:p w14:paraId="5AAB81BB" w14:textId="77777777" w:rsidR="00887C5C" w:rsidRDefault="00887C5C" w:rsidP="00887C5C">
      <w:pPr>
        <w:spacing w:after="0"/>
        <w:ind w:left="450"/>
        <w:rPr>
          <w:rFonts w:ascii="Arial" w:hAnsi="Arial" w:cs="Arial"/>
        </w:rPr>
      </w:pPr>
    </w:p>
    <w:p w14:paraId="009CD906" w14:textId="77777777" w:rsidR="00887C5C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Revealed preference.</w:t>
      </w:r>
    </w:p>
    <w:p w14:paraId="1C3E78D9" w14:textId="77777777" w:rsidR="00887C5C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Choice with risk and uncertainty including prospect theory and preference reversals.</w:t>
      </w:r>
    </w:p>
    <w:p w14:paraId="23AEE31E" w14:textId="77777777" w:rsidR="00887C5C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Nash equilibrium, refinement and selection</w:t>
      </w:r>
    </w:p>
    <w:p w14:paraId="074BC36A" w14:textId="77777777" w:rsidR="00887C5C" w:rsidRPr="00A92521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 w:rsidRPr="00A92521">
        <w:rPr>
          <w:rFonts w:ascii="Arial" w:hAnsi="Arial" w:cs="Arial"/>
        </w:rPr>
        <w:t>General Equilibrium</w:t>
      </w:r>
    </w:p>
    <w:p w14:paraId="00947C9C" w14:textId="77777777" w:rsidR="00887C5C" w:rsidRPr="00A92521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 w:rsidRPr="00A92521">
        <w:rPr>
          <w:rFonts w:ascii="Arial" w:hAnsi="Arial" w:cs="Arial"/>
        </w:rPr>
        <w:t>Principal-agent problem including signalling and screening</w:t>
      </w:r>
    </w:p>
    <w:p w14:paraId="5B7D2641" w14:textId="77777777" w:rsidR="00887C5C" w:rsidRPr="00A92521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 w:rsidRPr="00A92521">
        <w:rPr>
          <w:rFonts w:ascii="Arial" w:hAnsi="Arial" w:cs="Arial"/>
        </w:rPr>
        <w:t>Repeated and dynamic games and learning and communication in games</w:t>
      </w:r>
    </w:p>
    <w:p w14:paraId="6B3168EF" w14:textId="77777777" w:rsidR="00887C5C" w:rsidRPr="00A92521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 w:rsidRPr="00A92521">
        <w:rPr>
          <w:rFonts w:ascii="Arial" w:hAnsi="Arial" w:cs="Arial"/>
        </w:rPr>
        <w:t>Collective action problems</w:t>
      </w:r>
    </w:p>
    <w:p w14:paraId="61939A4C" w14:textId="77777777" w:rsidR="00887C5C" w:rsidRPr="00A92521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 w:rsidRPr="00A92521">
        <w:rPr>
          <w:rFonts w:ascii="Arial" w:hAnsi="Arial" w:cs="Arial"/>
        </w:rPr>
        <w:t>Networks</w:t>
      </w:r>
    </w:p>
    <w:p w14:paraId="76935103" w14:textId="77777777" w:rsidR="00887C5C" w:rsidRDefault="00887C5C" w:rsidP="00887C5C">
      <w:pPr>
        <w:pStyle w:val="ListParagraph"/>
        <w:numPr>
          <w:ilvl w:val="0"/>
          <w:numId w:val="10"/>
        </w:numPr>
        <w:suppressAutoHyphens/>
        <w:spacing w:after="0"/>
        <w:rPr>
          <w:rFonts w:ascii="Arial" w:hAnsi="Arial" w:cs="Arial"/>
        </w:rPr>
      </w:pPr>
      <w:r w:rsidRPr="00A92521">
        <w:rPr>
          <w:rFonts w:ascii="Arial" w:hAnsi="Arial" w:cs="Arial"/>
        </w:rPr>
        <w:t>Mechanism design</w:t>
      </w:r>
    </w:p>
    <w:p w14:paraId="7AC365C0" w14:textId="30CDA648" w:rsidR="009A2D37" w:rsidRDefault="009A2D37" w:rsidP="00887C5C">
      <w:pPr>
        <w:spacing w:after="0"/>
        <w:ind w:left="450"/>
        <w:rPr>
          <w:rFonts w:ascii="Arial" w:hAnsi="Arial" w:cs="Arial"/>
        </w:rPr>
      </w:pPr>
    </w:p>
    <w:p w14:paraId="580C64CD" w14:textId="77777777" w:rsidR="00035A4F" w:rsidRPr="00035A4F" w:rsidRDefault="00035A4F" w:rsidP="00035A4F">
      <w:pPr>
        <w:suppressAutoHyphens/>
        <w:spacing w:after="0"/>
        <w:rPr>
          <w:rFonts w:ascii="Arial" w:hAnsi="Arial" w:cs="Arial"/>
        </w:rPr>
      </w:pPr>
    </w:p>
    <w:p w14:paraId="352375C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C694275" w14:textId="020FDC95" w:rsidR="00332BCA" w:rsidRDefault="00332BCA" w:rsidP="00332BCA">
      <w:pPr>
        <w:pStyle w:val="ListParagraph"/>
        <w:spacing w:before="60" w:after="60" w:line="240" w:lineRule="auto"/>
        <w:ind w:left="540" w:right="-330"/>
        <w:jc w:val="both"/>
        <w:rPr>
          <w:rFonts w:ascii="Arial" w:hAnsi="Arial" w:cs="Arial"/>
        </w:rPr>
      </w:pPr>
      <w:r w:rsidRPr="00332BCA">
        <w:rPr>
          <w:rFonts w:ascii="Arial" w:hAnsi="Arial" w:cs="Arial"/>
        </w:rPr>
        <w:t xml:space="preserve">A detailed reading list </w:t>
      </w:r>
      <w:proofErr w:type="gramStart"/>
      <w:r w:rsidRPr="00332BCA">
        <w:rPr>
          <w:rFonts w:ascii="Arial" w:hAnsi="Arial" w:cs="Arial"/>
        </w:rPr>
        <w:t>will be given</w:t>
      </w:r>
      <w:proofErr w:type="gramEnd"/>
      <w:r w:rsidRPr="00332BCA">
        <w:rPr>
          <w:rFonts w:ascii="Arial" w:hAnsi="Arial" w:cs="Arial"/>
        </w:rPr>
        <w:t xml:space="preserve"> in the module outline. The reading list will primarily refer to journal articles with a focus on very recent publications. </w:t>
      </w:r>
      <w:r w:rsidR="00505180">
        <w:rPr>
          <w:rFonts w:ascii="Arial" w:hAnsi="Arial" w:cs="Arial"/>
        </w:rPr>
        <w:t xml:space="preserve"> The following bibliography provides some useful background reading</w:t>
      </w:r>
      <w:r w:rsidRPr="00332BCA">
        <w:rPr>
          <w:rFonts w:ascii="Arial" w:hAnsi="Arial" w:cs="Arial"/>
        </w:rPr>
        <w:t>:</w:t>
      </w:r>
    </w:p>
    <w:p w14:paraId="5D275812" w14:textId="77777777" w:rsidR="00332BCA" w:rsidRPr="00332BCA" w:rsidRDefault="00332BCA" w:rsidP="00332BCA">
      <w:pPr>
        <w:pStyle w:val="ListParagraph"/>
        <w:spacing w:before="60" w:after="60" w:line="240" w:lineRule="auto"/>
        <w:ind w:left="540" w:right="-330"/>
        <w:jc w:val="both"/>
        <w:rPr>
          <w:rFonts w:ascii="Arial" w:hAnsi="Arial" w:cs="Arial"/>
        </w:rPr>
      </w:pPr>
    </w:p>
    <w:p w14:paraId="496A9503" w14:textId="46B6D4C8" w:rsidR="00332BCA" w:rsidRPr="00332BCA" w:rsidRDefault="00332BCA" w:rsidP="00332BCA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proofErr w:type="spellStart"/>
      <w:r w:rsidRPr="00332BCA">
        <w:rPr>
          <w:rFonts w:ascii="Arial" w:hAnsi="Arial" w:cs="Arial"/>
        </w:rPr>
        <w:t>Fudenberg</w:t>
      </w:r>
      <w:proofErr w:type="spellEnd"/>
      <w:r w:rsidRPr="00332BCA">
        <w:rPr>
          <w:rFonts w:ascii="Arial" w:hAnsi="Arial" w:cs="Arial"/>
        </w:rPr>
        <w:t xml:space="preserve">, D., &amp; </w:t>
      </w:r>
      <w:proofErr w:type="spellStart"/>
      <w:r w:rsidRPr="00332BCA">
        <w:rPr>
          <w:rFonts w:ascii="Arial" w:hAnsi="Arial" w:cs="Arial"/>
        </w:rPr>
        <w:t>Tirole</w:t>
      </w:r>
      <w:proofErr w:type="spellEnd"/>
      <w:r w:rsidRPr="00332BCA">
        <w:rPr>
          <w:rFonts w:ascii="Arial" w:hAnsi="Arial" w:cs="Arial"/>
        </w:rPr>
        <w:t xml:space="preserve">, J. (1991). </w:t>
      </w:r>
      <w:r w:rsidRPr="00833887">
        <w:rPr>
          <w:rFonts w:ascii="Arial" w:hAnsi="Arial" w:cs="Arial"/>
          <w:i/>
        </w:rPr>
        <w:t>Game theory</w:t>
      </w:r>
      <w:r w:rsidRPr="00332BCA">
        <w:rPr>
          <w:rFonts w:ascii="Arial" w:hAnsi="Arial" w:cs="Arial"/>
        </w:rPr>
        <w:t xml:space="preserve">. </w:t>
      </w:r>
      <w:r w:rsidRPr="00833887">
        <w:rPr>
          <w:rFonts w:ascii="Arial" w:hAnsi="Arial" w:cs="Arial"/>
          <w:iCs/>
        </w:rPr>
        <w:t>Cambridge University Press</w:t>
      </w:r>
      <w:r w:rsidRPr="00833887">
        <w:rPr>
          <w:rFonts w:ascii="Arial" w:hAnsi="Arial" w:cs="Arial"/>
        </w:rPr>
        <w:t>.</w:t>
      </w:r>
    </w:p>
    <w:p w14:paraId="18E37234" w14:textId="16721DE1" w:rsidR="00332BCA" w:rsidRPr="00332BCA" w:rsidRDefault="00332BCA" w:rsidP="00332BCA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</w:p>
    <w:p w14:paraId="68A0EDC2" w14:textId="7BA0390A" w:rsidR="00332BCA" w:rsidRDefault="00332BCA" w:rsidP="00332BCA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proofErr w:type="spellStart"/>
      <w:r w:rsidRPr="00332BCA">
        <w:rPr>
          <w:rFonts w:ascii="Arial" w:hAnsi="Arial" w:cs="Arial"/>
        </w:rPr>
        <w:t>Fudenberg</w:t>
      </w:r>
      <w:proofErr w:type="spellEnd"/>
      <w:r w:rsidRPr="00332BCA">
        <w:rPr>
          <w:rFonts w:ascii="Arial" w:hAnsi="Arial" w:cs="Arial"/>
        </w:rPr>
        <w:t xml:space="preserve">, D. and D. Levine (1998). </w:t>
      </w:r>
      <w:r w:rsidRPr="00332BCA">
        <w:rPr>
          <w:rFonts w:ascii="Arial" w:hAnsi="Arial" w:cs="Arial"/>
          <w:i/>
          <w:iCs/>
        </w:rPr>
        <w:t>The theory of learning in games</w:t>
      </w:r>
      <w:r w:rsidR="00A92521">
        <w:rPr>
          <w:rFonts w:ascii="Arial" w:hAnsi="Arial" w:cs="Arial"/>
        </w:rPr>
        <w:t>. MIT press</w:t>
      </w:r>
    </w:p>
    <w:p w14:paraId="0D826186" w14:textId="77777777" w:rsidR="00887C5C" w:rsidRPr="00A92521" w:rsidRDefault="00887C5C" w:rsidP="00887C5C">
      <w:pPr>
        <w:pStyle w:val="ListParagraph"/>
        <w:numPr>
          <w:ilvl w:val="0"/>
          <w:numId w:val="11"/>
        </w:numPr>
        <w:spacing w:before="60" w:after="60" w:line="240" w:lineRule="auto"/>
        <w:ind w:right="82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Goyal</w:t>
      </w:r>
      <w:proofErr w:type="spellEnd"/>
      <w:r>
        <w:rPr>
          <w:rFonts w:ascii="Arial" w:hAnsi="Arial" w:cs="Arial"/>
        </w:rPr>
        <w:t>, S. (2007).</w:t>
      </w:r>
      <w:r w:rsidRPr="00A92521">
        <w:rPr>
          <w:rFonts w:ascii="Arial" w:hAnsi="Arial" w:cs="Arial"/>
        </w:rPr>
        <w:t xml:space="preserve"> </w:t>
      </w:r>
      <w:r w:rsidRPr="00833887">
        <w:rPr>
          <w:rFonts w:ascii="Arial" w:hAnsi="Arial" w:cs="Arial"/>
          <w:i/>
        </w:rPr>
        <w:t>Connections: an introduction to the economics of networks</w:t>
      </w:r>
      <w:r w:rsidRPr="00A925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92521">
        <w:rPr>
          <w:rFonts w:ascii="Arial" w:hAnsi="Arial" w:cs="Arial"/>
        </w:rPr>
        <w:t>Princeton University Press</w:t>
      </w:r>
    </w:p>
    <w:p w14:paraId="5DE3FDE3" w14:textId="77777777" w:rsidR="00887C5C" w:rsidRPr="00A92521" w:rsidRDefault="00887C5C" w:rsidP="00887C5C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Jackson, M. (2008).</w:t>
      </w:r>
      <w:r w:rsidRPr="00A92521">
        <w:rPr>
          <w:rFonts w:ascii="Arial" w:hAnsi="Arial" w:cs="Arial"/>
        </w:rPr>
        <w:t xml:space="preserve"> </w:t>
      </w:r>
      <w:r w:rsidRPr="00833887">
        <w:rPr>
          <w:rFonts w:ascii="Arial" w:hAnsi="Arial" w:cs="Arial"/>
          <w:i/>
        </w:rPr>
        <w:t>Social and economic networks</w:t>
      </w:r>
      <w:r>
        <w:rPr>
          <w:rFonts w:ascii="Arial" w:hAnsi="Arial" w:cs="Arial"/>
        </w:rPr>
        <w:t>.</w:t>
      </w:r>
      <w:r w:rsidRPr="00A92521">
        <w:rPr>
          <w:rFonts w:ascii="Arial" w:hAnsi="Arial" w:cs="Arial"/>
        </w:rPr>
        <w:t xml:space="preserve"> Princeton University Press</w:t>
      </w:r>
    </w:p>
    <w:p w14:paraId="0E8FCDC0" w14:textId="77777777" w:rsidR="00887C5C" w:rsidRPr="00A92521" w:rsidRDefault="00887C5C" w:rsidP="00887C5C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A92521">
        <w:rPr>
          <w:rFonts w:ascii="Arial" w:hAnsi="Arial" w:cs="Arial"/>
        </w:rPr>
        <w:t xml:space="preserve">Myerson, R. B. (2013). </w:t>
      </w:r>
      <w:r w:rsidRPr="00833887">
        <w:rPr>
          <w:rFonts w:ascii="Arial" w:hAnsi="Arial" w:cs="Arial"/>
          <w:i/>
        </w:rPr>
        <w:t>Game theory</w:t>
      </w:r>
      <w:r w:rsidRPr="00A92521">
        <w:rPr>
          <w:rFonts w:ascii="Arial" w:hAnsi="Arial" w:cs="Arial"/>
        </w:rPr>
        <w:t xml:space="preserve">. Harvard </w:t>
      </w:r>
      <w:r>
        <w:rPr>
          <w:rFonts w:ascii="Arial" w:hAnsi="Arial" w:cs="Arial"/>
        </w:rPr>
        <w:t>U</w:t>
      </w:r>
      <w:r w:rsidRPr="00A92521">
        <w:rPr>
          <w:rFonts w:ascii="Arial" w:hAnsi="Arial" w:cs="Arial"/>
        </w:rPr>
        <w:t xml:space="preserve">niversity </w:t>
      </w:r>
      <w:r>
        <w:rPr>
          <w:rFonts w:ascii="Arial" w:hAnsi="Arial" w:cs="Arial"/>
        </w:rPr>
        <w:t>P</w:t>
      </w:r>
      <w:r w:rsidRPr="00A92521">
        <w:rPr>
          <w:rFonts w:ascii="Arial" w:hAnsi="Arial" w:cs="Arial"/>
        </w:rPr>
        <w:t>ress.</w:t>
      </w:r>
    </w:p>
    <w:p w14:paraId="3DD501E3" w14:textId="77777777" w:rsidR="00887C5C" w:rsidRDefault="00887C5C" w:rsidP="00887C5C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A92521">
        <w:rPr>
          <w:rFonts w:ascii="Arial" w:hAnsi="Arial" w:cs="Arial"/>
        </w:rPr>
        <w:t>Mas-</w:t>
      </w:r>
      <w:proofErr w:type="spellStart"/>
      <w:r w:rsidRPr="00A92521">
        <w:rPr>
          <w:rFonts w:ascii="Arial" w:hAnsi="Arial" w:cs="Arial"/>
        </w:rPr>
        <w:t>Collel</w:t>
      </w:r>
      <w:proofErr w:type="spellEnd"/>
      <w:r w:rsidRPr="00A92521">
        <w:rPr>
          <w:rFonts w:ascii="Arial" w:hAnsi="Arial" w:cs="Arial"/>
        </w:rPr>
        <w:t xml:space="preserve">, W. JR (1995). </w:t>
      </w:r>
      <w:r w:rsidRPr="00833887">
        <w:rPr>
          <w:rFonts w:ascii="Arial" w:hAnsi="Arial" w:cs="Arial"/>
          <w:i/>
        </w:rPr>
        <w:t>Microeconomic Theory</w:t>
      </w:r>
      <w:r w:rsidRPr="00A92521">
        <w:rPr>
          <w:rFonts w:ascii="Arial" w:hAnsi="Arial" w:cs="Arial"/>
        </w:rPr>
        <w:t>. O</w:t>
      </w:r>
      <w:r w:rsidRPr="00204EEF">
        <w:rPr>
          <w:rFonts w:ascii="Arial" w:hAnsi="Arial" w:cs="Arial"/>
        </w:rPr>
        <w:t xml:space="preserve">xford </w:t>
      </w:r>
      <w:r w:rsidRPr="00A92521">
        <w:rPr>
          <w:rFonts w:ascii="Arial" w:hAnsi="Arial" w:cs="Arial"/>
        </w:rPr>
        <w:t>U</w:t>
      </w:r>
      <w:r w:rsidRPr="00204EEF">
        <w:rPr>
          <w:rFonts w:ascii="Arial" w:hAnsi="Arial" w:cs="Arial"/>
        </w:rPr>
        <w:t xml:space="preserve">niversity </w:t>
      </w:r>
      <w:r w:rsidRPr="00A92521">
        <w:rPr>
          <w:rFonts w:ascii="Arial" w:hAnsi="Arial" w:cs="Arial"/>
        </w:rPr>
        <w:t>P</w:t>
      </w:r>
      <w:r w:rsidRPr="00204EEF">
        <w:rPr>
          <w:rFonts w:ascii="Arial" w:hAnsi="Arial" w:cs="Arial"/>
        </w:rPr>
        <w:t>ress</w:t>
      </w:r>
    </w:p>
    <w:p w14:paraId="2FB631B7" w14:textId="77777777" w:rsidR="00887C5C" w:rsidRPr="00A92521" w:rsidRDefault="00887C5C" w:rsidP="00887C5C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Myles, G. (1995).</w:t>
      </w:r>
      <w:r w:rsidRPr="00A92521">
        <w:rPr>
          <w:rFonts w:ascii="Arial" w:hAnsi="Arial" w:cs="Arial"/>
        </w:rPr>
        <w:t xml:space="preserve"> </w:t>
      </w:r>
      <w:r w:rsidRPr="00833887">
        <w:rPr>
          <w:rFonts w:ascii="Arial" w:hAnsi="Arial" w:cs="Arial"/>
          <w:i/>
        </w:rPr>
        <w:t>Public Economics</w:t>
      </w:r>
      <w:r>
        <w:rPr>
          <w:rFonts w:ascii="Arial" w:hAnsi="Arial" w:cs="Arial"/>
        </w:rPr>
        <w:t>.</w:t>
      </w:r>
      <w:r w:rsidRPr="00A92521">
        <w:rPr>
          <w:rFonts w:ascii="Arial" w:hAnsi="Arial" w:cs="Arial"/>
        </w:rPr>
        <w:t xml:space="preserve"> Cambridge University Press</w:t>
      </w:r>
    </w:p>
    <w:p w14:paraId="4CB93270" w14:textId="77777777" w:rsidR="00887C5C" w:rsidRDefault="00887C5C" w:rsidP="00332BCA">
      <w:pPr>
        <w:pStyle w:val="ListParagraph"/>
        <w:numPr>
          <w:ilvl w:val="0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</w:p>
    <w:p w14:paraId="00CE2683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7FA82CC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71CBC409" w14:textId="32F10898" w:rsidR="009A2D37" w:rsidRPr="00C57028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A92521">
        <w:rPr>
          <w:rFonts w:ascii="Arial" w:eastAsia="Arial" w:hAnsi="Arial" w:cs="Arial"/>
          <w:i/>
          <w:iCs/>
        </w:rPr>
        <w:t>Total contact hours</w:t>
      </w:r>
      <w:proofErr w:type="gramStart"/>
      <w:r w:rsidRPr="00A92521">
        <w:rPr>
          <w:rFonts w:ascii="Arial" w:eastAsia="Arial" w:hAnsi="Arial" w:cs="Arial"/>
          <w:i/>
          <w:iCs/>
        </w:rPr>
        <w:t>:</w:t>
      </w:r>
      <w:r w:rsidR="00887C5C">
        <w:rPr>
          <w:rFonts w:ascii="Arial" w:eastAsia="Arial" w:hAnsi="Arial" w:cs="Arial"/>
          <w:i/>
          <w:iCs/>
        </w:rPr>
        <w:t>20</w:t>
      </w:r>
      <w:proofErr w:type="gramEnd"/>
    </w:p>
    <w:p w14:paraId="312C738C" w14:textId="58E517E1" w:rsidR="00C57028" w:rsidRPr="00C5702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highlight w:val="yellow"/>
        </w:rPr>
      </w:pPr>
      <w:r w:rsidRPr="00A92521">
        <w:rPr>
          <w:rFonts w:ascii="Arial" w:eastAsia="Arial" w:hAnsi="Arial" w:cs="Arial"/>
          <w:i/>
          <w:iCs/>
        </w:rPr>
        <w:t>Private study hours</w:t>
      </w:r>
      <w:proofErr w:type="gramStart"/>
      <w:r w:rsidRPr="00A92521">
        <w:rPr>
          <w:rFonts w:ascii="Arial" w:eastAsia="Arial" w:hAnsi="Arial" w:cs="Arial"/>
          <w:i/>
          <w:iCs/>
        </w:rPr>
        <w:t>:</w:t>
      </w:r>
      <w:r w:rsidR="00887C5C">
        <w:rPr>
          <w:rFonts w:ascii="Arial" w:eastAsia="Arial" w:hAnsi="Arial" w:cs="Arial"/>
          <w:i/>
          <w:iCs/>
        </w:rPr>
        <w:t>130</w:t>
      </w:r>
      <w:proofErr w:type="gramEnd"/>
    </w:p>
    <w:p w14:paraId="11599974" w14:textId="2C2A6952" w:rsidR="00C57028" w:rsidRPr="00302082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A92521">
        <w:rPr>
          <w:rFonts w:ascii="Arial" w:eastAsia="Arial" w:hAnsi="Arial" w:cs="Arial"/>
          <w:i/>
          <w:iCs/>
        </w:rPr>
        <w:t>Total study hours:</w:t>
      </w:r>
      <w:r w:rsidR="00ED4776" w:rsidRPr="00A92521">
        <w:rPr>
          <w:rFonts w:ascii="Arial" w:eastAsia="Arial" w:hAnsi="Arial" w:cs="Arial"/>
          <w:i/>
          <w:iCs/>
        </w:rPr>
        <w:t xml:space="preserve"> </w:t>
      </w:r>
      <w:r w:rsidR="000B1F93" w:rsidRPr="00A92521">
        <w:rPr>
          <w:rFonts w:ascii="Arial" w:eastAsia="Arial" w:hAnsi="Arial" w:cs="Arial"/>
          <w:i/>
          <w:iCs/>
        </w:rPr>
        <w:t>1</w:t>
      </w:r>
      <w:r w:rsidR="00887C5C">
        <w:rPr>
          <w:rFonts w:ascii="Arial" w:eastAsia="Arial" w:hAnsi="Arial" w:cs="Arial"/>
          <w:i/>
          <w:iCs/>
        </w:rPr>
        <w:t>50</w:t>
      </w:r>
    </w:p>
    <w:p w14:paraId="3560B794" w14:textId="625C7DD0" w:rsidR="00887C5C" w:rsidRDefault="00887C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6F8AB2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lastRenderedPageBreak/>
        <w:t>Assessment methods</w:t>
      </w:r>
    </w:p>
    <w:p w14:paraId="0428B804" w14:textId="77777777" w:rsidR="00696FF5" w:rsidRDefault="00696FF5" w:rsidP="00ED4776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292833C4" w14:textId="77777777" w:rsidR="00ED4776" w:rsidRDefault="00ED4776" w:rsidP="00ED4776">
      <w:pPr>
        <w:pStyle w:val="ListParagraph"/>
        <w:spacing w:after="120"/>
        <w:ind w:left="1140"/>
        <w:rPr>
          <w:rFonts w:ascii="Arial" w:hAnsi="Arial" w:cs="Arial"/>
          <w:iCs/>
        </w:rPr>
      </w:pPr>
    </w:p>
    <w:p w14:paraId="0656B688" w14:textId="08F1331E" w:rsidR="00ED4776" w:rsidRDefault="00ED4776" w:rsidP="00ED4776">
      <w:pPr>
        <w:pStyle w:val="ListParagraph"/>
        <w:spacing w:after="0" w:line="360" w:lineRule="auto"/>
        <w:ind w:left="1440"/>
        <w:rPr>
          <w:rFonts w:ascii="Arial" w:hAnsi="Arial" w:cs="Arial"/>
          <w:iCs/>
        </w:rPr>
      </w:pPr>
      <w:r w:rsidRPr="00A92521">
        <w:rPr>
          <w:rFonts w:ascii="Arial" w:eastAsia="Arial" w:hAnsi="Arial" w:cs="Arial"/>
        </w:rPr>
        <w:t>Presentation (</w:t>
      </w:r>
      <w:r w:rsidR="760DAC2C" w:rsidRPr="00A92521">
        <w:rPr>
          <w:rFonts w:ascii="Arial" w:eastAsia="Arial" w:hAnsi="Arial" w:cs="Arial"/>
        </w:rPr>
        <w:t>25 minutes</w:t>
      </w:r>
      <w:r w:rsidRPr="00A92521">
        <w:rPr>
          <w:rFonts w:ascii="Arial" w:eastAsia="Arial" w:hAnsi="Arial" w:cs="Arial"/>
        </w:rPr>
        <w:t>) (50%)</w:t>
      </w:r>
    </w:p>
    <w:p w14:paraId="25FFEC66" w14:textId="7E92A4F7" w:rsidR="00ED4776" w:rsidRDefault="00505180" w:rsidP="007711D1">
      <w:pPr>
        <w:pStyle w:val="ListParagraph"/>
        <w:spacing w:after="0" w:line="360" w:lineRule="auto"/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Five Individual </w:t>
      </w:r>
      <w:r w:rsidR="00ED4776">
        <w:rPr>
          <w:rFonts w:ascii="Arial" w:hAnsi="Arial" w:cs="Arial"/>
          <w:iCs/>
        </w:rPr>
        <w:t xml:space="preserve">Problem </w:t>
      </w:r>
      <w:proofErr w:type="gramStart"/>
      <w:r w:rsidR="00ED4776">
        <w:rPr>
          <w:rFonts w:ascii="Arial" w:hAnsi="Arial" w:cs="Arial"/>
          <w:iCs/>
        </w:rPr>
        <w:t>Sets</w:t>
      </w:r>
      <w:r w:rsidR="00276B13">
        <w:rPr>
          <w:rFonts w:ascii="Arial" w:hAnsi="Arial" w:cs="Arial"/>
          <w:iCs/>
        </w:rPr>
        <w:t xml:space="preserve"> </w:t>
      </w:r>
      <w:r w:rsidR="00ED4776">
        <w:rPr>
          <w:rFonts w:ascii="Arial" w:hAnsi="Arial" w:cs="Arial"/>
          <w:iCs/>
        </w:rPr>
        <w:t xml:space="preserve"> (</w:t>
      </w:r>
      <w:proofErr w:type="gramEnd"/>
      <w:r>
        <w:rPr>
          <w:rFonts w:ascii="Arial" w:hAnsi="Arial" w:cs="Arial"/>
          <w:iCs/>
        </w:rPr>
        <w:t>1</w:t>
      </w:r>
      <w:r w:rsidR="00ED4776">
        <w:rPr>
          <w:rFonts w:ascii="Arial" w:hAnsi="Arial" w:cs="Arial"/>
          <w:iCs/>
        </w:rPr>
        <w:t>0%</w:t>
      </w:r>
      <w:r>
        <w:rPr>
          <w:rFonts w:ascii="Arial" w:hAnsi="Arial" w:cs="Arial"/>
          <w:iCs/>
        </w:rPr>
        <w:t xml:space="preserve"> each</w:t>
      </w:r>
      <w:r w:rsidR="00ED4776">
        <w:rPr>
          <w:rFonts w:ascii="Arial" w:hAnsi="Arial" w:cs="Arial"/>
          <w:iCs/>
        </w:rPr>
        <w:t>)</w:t>
      </w:r>
    </w:p>
    <w:p w14:paraId="575451BB" w14:textId="77777777" w:rsidR="00887C5C" w:rsidRPr="007711D1" w:rsidRDefault="00887C5C" w:rsidP="007711D1">
      <w:pPr>
        <w:pStyle w:val="ListParagraph"/>
        <w:spacing w:after="0" w:line="360" w:lineRule="auto"/>
        <w:ind w:left="1440"/>
        <w:rPr>
          <w:rFonts w:ascii="Arial" w:hAnsi="Arial" w:cs="Arial"/>
          <w:iCs/>
        </w:rPr>
      </w:pPr>
    </w:p>
    <w:p w14:paraId="661CCA10" w14:textId="77777777" w:rsidR="00696FF5" w:rsidRPr="00696FF5" w:rsidRDefault="00696FF5" w:rsidP="00ED4776">
      <w:pPr>
        <w:spacing w:after="120"/>
        <w:ind w:left="128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980ACD0" w14:textId="77777777" w:rsidR="00ED4776" w:rsidRPr="00ED4776" w:rsidRDefault="00ED4776" w:rsidP="00ED4776">
      <w:pPr>
        <w:spacing w:after="0" w:line="240" w:lineRule="auto"/>
        <w:ind w:left="720" w:firstLine="567"/>
        <w:rPr>
          <w:rFonts w:ascii="Arial" w:eastAsia="Times New Roman" w:hAnsi="Arial" w:cs="Arial"/>
          <w:color w:val="000000"/>
          <w:szCs w:val="24"/>
        </w:rPr>
      </w:pPr>
      <w:r w:rsidRPr="00ED4776">
        <w:rPr>
          <w:rFonts w:ascii="Arial" w:eastAsia="Times New Roman" w:hAnsi="Arial" w:cs="Arial"/>
          <w:color w:val="000000"/>
          <w:szCs w:val="24"/>
        </w:rPr>
        <w:t>Reassessment Instrument: 100% coursework</w:t>
      </w:r>
    </w:p>
    <w:p w14:paraId="300D69F2" w14:textId="18034F28" w:rsidR="00ED4776" w:rsidRDefault="00ED4776" w:rsidP="00ED4776">
      <w:pPr>
        <w:spacing w:after="120" w:line="240" w:lineRule="auto"/>
        <w:ind w:left="1146" w:right="260"/>
        <w:rPr>
          <w:rFonts w:ascii="Arial" w:hAnsi="Arial" w:cs="Arial"/>
          <w:b/>
          <w:i/>
          <w:iCs/>
        </w:rPr>
      </w:pPr>
    </w:p>
    <w:p w14:paraId="0DA63CE9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3D7B81DF" w14:textId="77777777" w:rsidR="00ED4776" w:rsidRDefault="00ED4776" w:rsidP="00ED4776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0"/>
        <w:gridCol w:w="875"/>
        <w:gridCol w:w="875"/>
        <w:gridCol w:w="874"/>
        <w:gridCol w:w="874"/>
        <w:gridCol w:w="872"/>
        <w:gridCol w:w="872"/>
        <w:gridCol w:w="872"/>
        <w:gridCol w:w="872"/>
        <w:gridCol w:w="870"/>
      </w:tblGrid>
      <w:tr w:rsidR="00ED4776" w:rsidRPr="00302082" w14:paraId="767A788D" w14:textId="77777777" w:rsidTr="00ED4776">
        <w:tc>
          <w:tcPr>
            <w:tcW w:w="1243" w:type="pct"/>
            <w:shd w:val="clear" w:color="auto" w:fill="D9D9D9" w:themeFill="background1" w:themeFillShade="D9"/>
          </w:tcPr>
          <w:p w14:paraId="46322FF0" w14:textId="77777777" w:rsidR="00ED4776" w:rsidRPr="00302082" w:rsidRDefault="00ED4776" w:rsidP="009D008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18" w:type="pct"/>
            <w:vAlign w:val="center"/>
          </w:tcPr>
          <w:p w14:paraId="0E65E18F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18" w:type="pct"/>
            <w:vAlign w:val="center"/>
          </w:tcPr>
          <w:p w14:paraId="758AD67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18" w:type="pct"/>
            <w:vAlign w:val="center"/>
          </w:tcPr>
          <w:p w14:paraId="6A531AFA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18" w:type="pct"/>
            <w:vAlign w:val="center"/>
          </w:tcPr>
          <w:p w14:paraId="113ED10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17" w:type="pct"/>
            <w:vAlign w:val="center"/>
          </w:tcPr>
          <w:p w14:paraId="31E6863D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17" w:type="pct"/>
            <w:vAlign w:val="center"/>
          </w:tcPr>
          <w:p w14:paraId="73B89392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17" w:type="pct"/>
            <w:vAlign w:val="center"/>
          </w:tcPr>
          <w:p w14:paraId="0B0237D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17" w:type="pct"/>
            <w:vAlign w:val="center"/>
          </w:tcPr>
          <w:p w14:paraId="6F24C08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16" w:type="pct"/>
            <w:vAlign w:val="center"/>
          </w:tcPr>
          <w:p w14:paraId="6FFA757F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ED4776" w:rsidRPr="00302082" w14:paraId="6938C698" w14:textId="77777777" w:rsidTr="00ED4776">
        <w:tc>
          <w:tcPr>
            <w:tcW w:w="1243" w:type="pct"/>
            <w:shd w:val="clear" w:color="auto" w:fill="D9D9D9" w:themeFill="background1" w:themeFillShade="D9"/>
          </w:tcPr>
          <w:p w14:paraId="536FBD52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18" w:type="pct"/>
            <w:vAlign w:val="center"/>
          </w:tcPr>
          <w:p w14:paraId="00BED5A0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3415FEA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4AD6B72A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2A3DA69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1A2C5588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31DA0D1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1535C8AF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4B60AF6D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vAlign w:val="center"/>
          </w:tcPr>
          <w:p w14:paraId="5736B7DF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D4776" w:rsidRPr="00302082" w14:paraId="4667326A" w14:textId="77777777" w:rsidTr="00ED4776">
        <w:tc>
          <w:tcPr>
            <w:tcW w:w="1243" w:type="pct"/>
          </w:tcPr>
          <w:p w14:paraId="4227943A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418" w:type="pct"/>
            <w:vAlign w:val="center"/>
          </w:tcPr>
          <w:p w14:paraId="036E5B3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3BAD7D1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09A55CE3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27E92F68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37CC7270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394EFB5E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260E2655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07E154E9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vAlign w:val="center"/>
          </w:tcPr>
          <w:p w14:paraId="6A8333CD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D4776" w:rsidRPr="00302082" w14:paraId="1F928BF9" w14:textId="77777777" w:rsidTr="00ED4776">
        <w:tc>
          <w:tcPr>
            <w:tcW w:w="1243" w:type="pct"/>
          </w:tcPr>
          <w:p w14:paraId="0005D86A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418" w:type="pct"/>
            <w:vAlign w:val="center"/>
          </w:tcPr>
          <w:p w14:paraId="7B4C0E0E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2FC42E18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14290B7D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05AA79CE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780F7A92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04DE2FB9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5AD9894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66741DB1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6" w:type="pct"/>
            <w:vAlign w:val="center"/>
          </w:tcPr>
          <w:p w14:paraId="0FA3F249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ED4776" w:rsidRPr="00302082" w14:paraId="514302A4" w14:textId="77777777" w:rsidTr="00ED4776">
        <w:tc>
          <w:tcPr>
            <w:tcW w:w="1243" w:type="pct"/>
          </w:tcPr>
          <w:p w14:paraId="5410A4CD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418" w:type="pct"/>
            <w:vAlign w:val="center"/>
          </w:tcPr>
          <w:p w14:paraId="1D8F220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1719C41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52851DE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57D99F9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52CCD1FA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16A04767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1DDFFD42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3503815A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6" w:type="pct"/>
            <w:vAlign w:val="center"/>
          </w:tcPr>
          <w:p w14:paraId="62863242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ED4776" w:rsidRPr="00302082" w14:paraId="5A08FF23" w14:textId="77777777" w:rsidTr="00ED4776">
        <w:tc>
          <w:tcPr>
            <w:tcW w:w="1243" w:type="pct"/>
          </w:tcPr>
          <w:p w14:paraId="12C9204D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Independent Study</w:t>
            </w:r>
          </w:p>
        </w:tc>
        <w:tc>
          <w:tcPr>
            <w:tcW w:w="418" w:type="pct"/>
            <w:vAlign w:val="center"/>
          </w:tcPr>
          <w:p w14:paraId="48E8F1D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2B92334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22C5D56E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1A999E00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124F32F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0362830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7549427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16888FED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6" w:type="pct"/>
            <w:vAlign w:val="center"/>
          </w:tcPr>
          <w:p w14:paraId="10063AC3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ED4776" w:rsidRPr="00302082" w14:paraId="3599C68C" w14:textId="77777777" w:rsidTr="00ED4776">
        <w:tc>
          <w:tcPr>
            <w:tcW w:w="1243" w:type="pct"/>
            <w:shd w:val="clear" w:color="auto" w:fill="D9D9D9" w:themeFill="background1" w:themeFillShade="D9"/>
          </w:tcPr>
          <w:p w14:paraId="2630D9AD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18" w:type="pct"/>
            <w:vAlign w:val="center"/>
          </w:tcPr>
          <w:p w14:paraId="3B1B9445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2C13ED6A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1387C6E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5AE5C1F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3B4EEFD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5E54773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696DED24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392F6375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" w:type="pct"/>
            <w:vAlign w:val="center"/>
          </w:tcPr>
          <w:p w14:paraId="6A075020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D4776" w:rsidRPr="00302082" w14:paraId="57E5DEF6" w14:textId="77777777" w:rsidTr="00ED4776">
        <w:tc>
          <w:tcPr>
            <w:tcW w:w="1243" w:type="pct"/>
          </w:tcPr>
          <w:p w14:paraId="6762CA6A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Presentation</w:t>
            </w:r>
          </w:p>
        </w:tc>
        <w:tc>
          <w:tcPr>
            <w:tcW w:w="418" w:type="pct"/>
            <w:vAlign w:val="center"/>
          </w:tcPr>
          <w:p w14:paraId="53FC3161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0CFF2D29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347425F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66E1EED7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0494941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5301CBA2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06EDF62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7209B42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6" w:type="pct"/>
            <w:vAlign w:val="center"/>
          </w:tcPr>
          <w:p w14:paraId="7951F30B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ED4776" w:rsidRPr="00302082" w14:paraId="5FB53372" w14:textId="77777777" w:rsidTr="00ED4776">
        <w:tc>
          <w:tcPr>
            <w:tcW w:w="1243" w:type="pct"/>
          </w:tcPr>
          <w:p w14:paraId="28A767D9" w14:textId="77777777" w:rsidR="00ED4776" w:rsidRPr="00302082" w:rsidRDefault="00ED4776" w:rsidP="009D0086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Problem Sets</w:t>
            </w:r>
          </w:p>
        </w:tc>
        <w:tc>
          <w:tcPr>
            <w:tcW w:w="418" w:type="pct"/>
            <w:vAlign w:val="center"/>
          </w:tcPr>
          <w:p w14:paraId="3947B990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0FA698F7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vAlign w:val="center"/>
          </w:tcPr>
          <w:p w14:paraId="0546F26F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8" w:type="pct"/>
            <w:vAlign w:val="center"/>
          </w:tcPr>
          <w:p w14:paraId="0DCF305E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607F47C9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0DF1C85C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pct"/>
            <w:vAlign w:val="center"/>
          </w:tcPr>
          <w:p w14:paraId="0FA018D6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7" w:type="pct"/>
            <w:vAlign w:val="center"/>
          </w:tcPr>
          <w:p w14:paraId="0BE5920D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416" w:type="pct"/>
            <w:vAlign w:val="center"/>
          </w:tcPr>
          <w:p w14:paraId="0120BB11" w14:textId="77777777" w:rsidR="00ED4776" w:rsidRPr="00302082" w:rsidRDefault="00ED4776" w:rsidP="009D008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14:paraId="45838610" w14:textId="77777777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p w14:paraId="61BAFD76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5D9A760D" w14:textId="77777777" w:rsidR="00883204" w:rsidRPr="00ED4776" w:rsidRDefault="00ED4776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ED4776">
        <w:rPr>
          <w:rFonts w:ascii="Arial" w:hAnsi="Arial" w:cs="Arial"/>
        </w:rPr>
        <w:t>The School</w:t>
      </w:r>
      <w:r w:rsidR="00883204" w:rsidRPr="00ED4776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ED4776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ED4776">
        <w:rPr>
          <w:rFonts w:ascii="Arial" w:hAnsi="Arial" w:cs="Arial"/>
        </w:rPr>
        <w:t>will be made</w:t>
      </w:r>
      <w:proofErr w:type="gramEnd"/>
      <w:r w:rsidR="00883204" w:rsidRPr="00ED4776">
        <w:rPr>
          <w:rFonts w:ascii="Arial" w:hAnsi="Arial" w:cs="Arial"/>
        </w:rPr>
        <w:t xml:space="preserve"> on an individual basis, in consultation with the relevant policies and support services.</w:t>
      </w:r>
    </w:p>
    <w:p w14:paraId="09AFB6EE" w14:textId="77777777" w:rsidR="00883204" w:rsidRPr="00ED4776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D4776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ED4776">
        <w:rPr>
          <w:rFonts w:ascii="Arial" w:hAnsi="Arial" w:cs="Arial"/>
        </w:rPr>
        <w:t>have been considered</w:t>
      </w:r>
      <w:proofErr w:type="gramEnd"/>
      <w:r w:rsidRPr="00ED4776">
        <w:rPr>
          <w:rFonts w:ascii="Arial" w:hAnsi="Arial" w:cs="Arial"/>
        </w:rPr>
        <w:t xml:space="preserve"> in order to support all students in the following areas:</w:t>
      </w:r>
    </w:p>
    <w:p w14:paraId="350972A6" w14:textId="77777777" w:rsidR="00883204" w:rsidRPr="00ED4776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ED4776">
        <w:rPr>
          <w:rFonts w:ascii="Arial" w:hAnsi="Arial" w:cs="Arial"/>
        </w:rPr>
        <w:t xml:space="preserve">a) </w:t>
      </w:r>
      <w:r w:rsidRPr="00ED4776">
        <w:rPr>
          <w:rFonts w:ascii="Arial" w:hAnsi="Arial" w:cs="Arial"/>
          <w:bCs/>
        </w:rPr>
        <w:t>Accessible resources and curriculum</w:t>
      </w:r>
    </w:p>
    <w:p w14:paraId="468007E5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ED4776">
        <w:rPr>
          <w:rFonts w:ascii="Arial" w:hAnsi="Arial" w:cs="Arial"/>
        </w:rPr>
        <w:t xml:space="preserve">b) </w:t>
      </w:r>
      <w:r w:rsidRPr="00ED4776">
        <w:rPr>
          <w:rFonts w:ascii="Arial" w:hAnsi="Arial" w:cs="Arial"/>
          <w:bCs/>
        </w:rPr>
        <w:t>Learning</w:t>
      </w:r>
      <w:r w:rsidR="00BB2045" w:rsidRPr="00ED4776">
        <w:rPr>
          <w:rFonts w:ascii="Arial" w:hAnsi="Arial" w:cs="Arial"/>
          <w:bCs/>
        </w:rPr>
        <w:t>,</w:t>
      </w:r>
      <w:r w:rsidRPr="00ED4776">
        <w:rPr>
          <w:rFonts w:ascii="Arial" w:hAnsi="Arial" w:cs="Arial"/>
          <w:bCs/>
        </w:rPr>
        <w:t xml:space="preserve"> teaching and assessment methods</w:t>
      </w:r>
    </w:p>
    <w:p w14:paraId="38BBC1DF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6094E2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E07BBE0" w14:textId="77777777" w:rsidR="009A2D37" w:rsidRPr="00332BCA" w:rsidRDefault="00332BC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Canterbury</w:t>
      </w:r>
    </w:p>
    <w:p w14:paraId="09BF89CC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4160FA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8A7AF83" w14:textId="0278D903" w:rsidR="00922E9E" w:rsidRPr="00DD7635" w:rsidRDefault="3D6237D6" w:rsidP="00DD763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D7635">
        <w:rPr>
          <w:rFonts w:ascii="Arial" w:hAnsi="Arial" w:cs="Arial"/>
        </w:rPr>
        <w:lastRenderedPageBreak/>
        <w:t xml:space="preserve">The subject content of the module provides critical insight into microeconomic theory and its application to diverse real-world situations. Microeconomic </w:t>
      </w:r>
      <w:r w:rsidR="0278D903" w:rsidRPr="00DD7635">
        <w:rPr>
          <w:rFonts w:ascii="Arial" w:hAnsi="Arial" w:cs="Arial"/>
        </w:rPr>
        <w:t>theory topics</w:t>
      </w:r>
      <w:r w:rsidRPr="00DD7635">
        <w:rPr>
          <w:rFonts w:ascii="Arial" w:hAnsi="Arial" w:cs="Arial"/>
        </w:rPr>
        <w:t xml:space="preserve"> and policy issues </w:t>
      </w:r>
      <w:proofErr w:type="gramStart"/>
      <w:r w:rsidRPr="00DD7635">
        <w:rPr>
          <w:rFonts w:ascii="Arial" w:hAnsi="Arial" w:cs="Arial"/>
        </w:rPr>
        <w:t>are considered</w:t>
      </w:r>
      <w:proofErr w:type="gramEnd"/>
      <w:r w:rsidRPr="00DD7635">
        <w:rPr>
          <w:rFonts w:ascii="Arial" w:hAnsi="Arial" w:cs="Arial"/>
        </w:rPr>
        <w:t xml:space="preserve"> in both a national and international context (see module synopsis).  </w:t>
      </w:r>
    </w:p>
    <w:p w14:paraId="4404FB66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0E2D447C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9A9070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47EE03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45F85FBE" w14:textId="77777777" w:rsidTr="00694309">
        <w:trPr>
          <w:trHeight w:val="317"/>
        </w:trPr>
        <w:tc>
          <w:tcPr>
            <w:tcW w:w="1526" w:type="dxa"/>
          </w:tcPr>
          <w:p w14:paraId="726DA8E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3F6765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5126FDB0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FDF1C2E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D49095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EF78D5E" w14:textId="77777777" w:rsidTr="00694309">
        <w:trPr>
          <w:trHeight w:val="305"/>
        </w:trPr>
        <w:tc>
          <w:tcPr>
            <w:tcW w:w="1526" w:type="dxa"/>
          </w:tcPr>
          <w:p w14:paraId="647DCFA4" w14:textId="537AC79B" w:rsidR="00422B69" w:rsidRPr="00302082" w:rsidRDefault="007424D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4993BBB1" w14:textId="2E60E0F3" w:rsidR="00422B69" w:rsidRPr="00302082" w:rsidRDefault="007424DF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43944B78" w14:textId="0160B3A4" w:rsidR="00422B69" w:rsidRPr="00302082" w:rsidRDefault="007424DF" w:rsidP="007424DF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14:paraId="2B201017" w14:textId="02BFC1BB" w:rsidR="00422B69" w:rsidRPr="00302082" w:rsidRDefault="007424DF" w:rsidP="007424DF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8, 9, 10, 11, 12, 13</w:t>
            </w:r>
          </w:p>
        </w:tc>
        <w:tc>
          <w:tcPr>
            <w:tcW w:w="2597" w:type="dxa"/>
          </w:tcPr>
          <w:p w14:paraId="0815FF8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250035F6" w14:textId="77777777" w:rsidTr="00694309">
        <w:trPr>
          <w:trHeight w:val="305"/>
        </w:trPr>
        <w:tc>
          <w:tcPr>
            <w:tcW w:w="1526" w:type="dxa"/>
          </w:tcPr>
          <w:p w14:paraId="09F72E0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ACDAE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573B3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186AE2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6D2ED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422E34E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1976DF03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DA7B4B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749B" w14:textId="77777777" w:rsidR="00D76D6A" w:rsidRDefault="00D76D6A" w:rsidP="009A2D37">
      <w:pPr>
        <w:spacing w:after="0" w:line="240" w:lineRule="auto"/>
      </w:pPr>
      <w:r>
        <w:separator/>
      </w:r>
    </w:p>
  </w:endnote>
  <w:endnote w:type="continuationSeparator" w:id="0">
    <w:p w14:paraId="49D0274E" w14:textId="77777777" w:rsidR="00D76D6A" w:rsidRDefault="00D76D6A" w:rsidP="009A2D37">
      <w:pPr>
        <w:spacing w:after="0" w:line="240" w:lineRule="auto"/>
      </w:pPr>
      <w:r>
        <w:continuationSeparator/>
      </w:r>
    </w:p>
  </w:endnote>
  <w:endnote w:type="continuationNotice" w:id="1">
    <w:p w14:paraId="5065E005" w14:textId="77777777" w:rsidR="00D76D6A" w:rsidRDefault="00D76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3948AC8" w14:textId="74D1BDE5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CE7F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57D7" w14:textId="77777777" w:rsidR="00D76D6A" w:rsidRDefault="00D76D6A" w:rsidP="009A2D37">
      <w:pPr>
        <w:spacing w:after="0" w:line="240" w:lineRule="auto"/>
      </w:pPr>
      <w:r>
        <w:separator/>
      </w:r>
    </w:p>
  </w:footnote>
  <w:footnote w:type="continuationSeparator" w:id="0">
    <w:p w14:paraId="1BC5FA4F" w14:textId="77777777" w:rsidR="00D76D6A" w:rsidRDefault="00D76D6A" w:rsidP="009A2D37">
      <w:pPr>
        <w:spacing w:after="0" w:line="240" w:lineRule="auto"/>
      </w:pPr>
      <w:r>
        <w:continuationSeparator/>
      </w:r>
    </w:p>
  </w:footnote>
  <w:footnote w:type="continuationNotice" w:id="1">
    <w:p w14:paraId="1942D092" w14:textId="77777777" w:rsidR="00D76D6A" w:rsidRDefault="00D76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42D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3B0BB4B" wp14:editId="2E0DCC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B90526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AB6411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33D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27B0E56" wp14:editId="25E1F79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E25E838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74431C"/>
    <w:multiLevelType w:val="hybridMultilevel"/>
    <w:tmpl w:val="05F844DE"/>
    <w:lvl w:ilvl="0" w:tplc="19042A82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E3738B"/>
    <w:multiLevelType w:val="multilevel"/>
    <w:tmpl w:val="E78226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8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5A4F"/>
    <w:rsid w:val="000408CC"/>
    <w:rsid w:val="00044FEE"/>
    <w:rsid w:val="00045373"/>
    <w:rsid w:val="00063A2F"/>
    <w:rsid w:val="000678D3"/>
    <w:rsid w:val="00093C95"/>
    <w:rsid w:val="00094810"/>
    <w:rsid w:val="00096DA4"/>
    <w:rsid w:val="000B1F93"/>
    <w:rsid w:val="000C0294"/>
    <w:rsid w:val="000C7408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86A5B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EEF"/>
    <w:rsid w:val="0021578E"/>
    <w:rsid w:val="00224E34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76B13"/>
    <w:rsid w:val="0028461D"/>
    <w:rsid w:val="0028590C"/>
    <w:rsid w:val="00292C46"/>
    <w:rsid w:val="002938D6"/>
    <w:rsid w:val="00293BB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2BCA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70FF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7C2A"/>
    <w:rsid w:val="005005E4"/>
    <w:rsid w:val="0050518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6EA9"/>
    <w:rsid w:val="0058743D"/>
    <w:rsid w:val="00587BF7"/>
    <w:rsid w:val="00592034"/>
    <w:rsid w:val="0059477B"/>
    <w:rsid w:val="00596884"/>
    <w:rsid w:val="005A14B5"/>
    <w:rsid w:val="005A64F7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372A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24DF"/>
    <w:rsid w:val="00754069"/>
    <w:rsid w:val="007667DF"/>
    <w:rsid w:val="0077080B"/>
    <w:rsid w:val="007711D1"/>
    <w:rsid w:val="007803A1"/>
    <w:rsid w:val="00787070"/>
    <w:rsid w:val="00787A4A"/>
    <w:rsid w:val="007906FD"/>
    <w:rsid w:val="00797197"/>
    <w:rsid w:val="007972A7"/>
    <w:rsid w:val="007A2BA2"/>
    <w:rsid w:val="007A6245"/>
    <w:rsid w:val="007B1DB2"/>
    <w:rsid w:val="007B375B"/>
    <w:rsid w:val="007B412A"/>
    <w:rsid w:val="007B5CCD"/>
    <w:rsid w:val="007B635E"/>
    <w:rsid w:val="007B7724"/>
    <w:rsid w:val="007B7CDC"/>
    <w:rsid w:val="007C2CD9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33887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7C5C"/>
    <w:rsid w:val="0089148D"/>
    <w:rsid w:val="00891E0D"/>
    <w:rsid w:val="008A0F36"/>
    <w:rsid w:val="008B2543"/>
    <w:rsid w:val="008B4B6E"/>
    <w:rsid w:val="008D7401"/>
    <w:rsid w:val="008D79B3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0B24"/>
    <w:rsid w:val="009F3A2A"/>
    <w:rsid w:val="009F731F"/>
    <w:rsid w:val="009F7D33"/>
    <w:rsid w:val="00A021FE"/>
    <w:rsid w:val="00A1270E"/>
    <w:rsid w:val="00A15342"/>
    <w:rsid w:val="00A24260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66F"/>
    <w:rsid w:val="00A87FFD"/>
    <w:rsid w:val="00A92521"/>
    <w:rsid w:val="00A97038"/>
    <w:rsid w:val="00AA3C15"/>
    <w:rsid w:val="00AA6330"/>
    <w:rsid w:val="00AA64F1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5518"/>
    <w:rsid w:val="00BF51AB"/>
    <w:rsid w:val="00BF5FB7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3BFD"/>
    <w:rsid w:val="00D02E99"/>
    <w:rsid w:val="00D13357"/>
    <w:rsid w:val="00D13A13"/>
    <w:rsid w:val="00D2312A"/>
    <w:rsid w:val="00D2689A"/>
    <w:rsid w:val="00D65506"/>
    <w:rsid w:val="00D76D6A"/>
    <w:rsid w:val="00D773CF"/>
    <w:rsid w:val="00D83563"/>
    <w:rsid w:val="00D8448F"/>
    <w:rsid w:val="00DA64B6"/>
    <w:rsid w:val="00DA7B4B"/>
    <w:rsid w:val="00DB35D3"/>
    <w:rsid w:val="00DB5C9D"/>
    <w:rsid w:val="00DD02E6"/>
    <w:rsid w:val="00DD7635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3F3D"/>
    <w:rsid w:val="00E77786"/>
    <w:rsid w:val="00E806FB"/>
    <w:rsid w:val="00EB1C2D"/>
    <w:rsid w:val="00EC1810"/>
    <w:rsid w:val="00EC3897"/>
    <w:rsid w:val="00EC3FCC"/>
    <w:rsid w:val="00ED32FF"/>
    <w:rsid w:val="00ED4776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E77E9"/>
    <w:rsid w:val="00FF31CA"/>
    <w:rsid w:val="00FF6EB4"/>
    <w:rsid w:val="00FF7858"/>
    <w:rsid w:val="0278D903"/>
    <w:rsid w:val="3D6237D6"/>
    <w:rsid w:val="619F8BD2"/>
    <w:rsid w:val="760DA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983A1D"/>
  <w15:docId w15:val="{510CA102-10F7-4D72-AA2E-E185C4B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w39\Desktop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0B4E181E484F8C7F55AD74691E8D" ma:contentTypeVersion="1" ma:contentTypeDescription="Create a new document." ma:contentTypeScope="" ma:versionID="60044e460363b98b883fef3b9ed6ee2e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170E-34D7-4453-8317-67D808742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772A3-B539-4A02-843D-87AB8AA6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ADDC6-28C0-4C78-891F-A8A105D45A9B}"/>
</file>

<file path=customXml/itemProps4.xml><?xml version="1.0" encoding="utf-8"?>
<ds:datastoreItem xmlns:ds="http://schemas.openxmlformats.org/officeDocument/2006/customXml" ds:itemID="{F6481CD5-5891-426B-8549-7AECB4197E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f2b9e05-657a-4dc1-8c6c-679bdea18f3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B64D991-ADDF-4136-A570-721CF53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annexb-modspec-coversheet-with-guidance-2017-18.dotx</Template>
  <TotalTime>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Wade</dc:creator>
  <cp:lastModifiedBy>Sarah Collins</cp:lastModifiedBy>
  <cp:revision>4</cp:revision>
  <cp:lastPrinted>2015-09-09T08:37:00Z</cp:lastPrinted>
  <dcterms:created xsi:type="dcterms:W3CDTF">2019-02-04T11:46:00Z</dcterms:created>
  <dcterms:modified xsi:type="dcterms:W3CDTF">2019-02-28T10:16:00Z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19b22d95-4d71-477e-8f63-d86466a7fc90</vt:lpwstr>
  </property>
  <property fmtid="{D5CDD505-2E9C-101B-9397-08002B2CF9AE}" pid="4" name="Order">
    <vt:r8>11600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