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B12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Title of the module</w:t>
      </w:r>
    </w:p>
    <w:p w14:paraId="34658185" w14:textId="0266B1FE" w:rsidR="0083074C" w:rsidRPr="0068695E" w:rsidRDefault="00451910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8695E">
        <w:rPr>
          <w:rFonts w:ascii="Arial" w:hAnsi="Arial" w:cs="Arial"/>
        </w:rPr>
        <w:t>ECON8</w:t>
      </w:r>
      <w:r w:rsidR="00E609CF" w:rsidRPr="0068695E">
        <w:rPr>
          <w:rFonts w:ascii="Arial" w:hAnsi="Arial" w:cs="Arial"/>
        </w:rPr>
        <w:t>2</w:t>
      </w:r>
      <w:r w:rsidRPr="0068695E">
        <w:rPr>
          <w:rFonts w:ascii="Arial" w:hAnsi="Arial" w:cs="Arial"/>
        </w:rPr>
        <w:t xml:space="preserve">00 </w:t>
      </w:r>
      <w:r w:rsidR="00215C01" w:rsidRPr="0068695E">
        <w:rPr>
          <w:rFonts w:ascii="Arial" w:hAnsi="Arial" w:cs="Arial"/>
        </w:rPr>
        <w:t xml:space="preserve">Time Series Econometrics </w:t>
      </w:r>
    </w:p>
    <w:p w14:paraId="35268CBB" w14:textId="77777777" w:rsidR="009A2D37" w:rsidRPr="0068695E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22F1AB5E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School or partner institution which will be responsible for management of the module</w:t>
      </w:r>
    </w:p>
    <w:p w14:paraId="2C47E8ED" w14:textId="77777777" w:rsidR="009A2D37" w:rsidRPr="0068695E" w:rsidRDefault="00215C0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School of Economics</w:t>
      </w:r>
      <w:bookmarkStart w:id="0" w:name="_GoBack"/>
      <w:bookmarkEnd w:id="0"/>
    </w:p>
    <w:p w14:paraId="5DBF9347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981FA10" w14:textId="77777777" w:rsidR="009A2D37" w:rsidRPr="0068695E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The level of the module (</w:t>
      </w:r>
      <w:r w:rsidR="00D83563" w:rsidRPr="0068695E">
        <w:rPr>
          <w:rFonts w:ascii="Arial" w:hAnsi="Arial" w:cs="Arial"/>
          <w:b/>
        </w:rPr>
        <w:t>Level</w:t>
      </w:r>
      <w:r w:rsidR="00441E76" w:rsidRPr="0068695E">
        <w:rPr>
          <w:rFonts w:ascii="Arial" w:hAnsi="Arial" w:cs="Arial"/>
          <w:b/>
        </w:rPr>
        <w:t xml:space="preserve"> 4</w:t>
      </w:r>
      <w:r w:rsidR="001D0C7D" w:rsidRPr="0068695E">
        <w:rPr>
          <w:rFonts w:ascii="Arial" w:hAnsi="Arial" w:cs="Arial"/>
          <w:b/>
        </w:rPr>
        <w:t xml:space="preserve">, </w:t>
      </w:r>
      <w:r w:rsidR="00441E76" w:rsidRPr="0068695E">
        <w:rPr>
          <w:rFonts w:ascii="Arial" w:hAnsi="Arial" w:cs="Arial"/>
          <w:b/>
        </w:rPr>
        <w:t>Level 5</w:t>
      </w:r>
      <w:r w:rsidR="001D0C7D" w:rsidRPr="0068695E">
        <w:rPr>
          <w:rFonts w:ascii="Arial" w:hAnsi="Arial" w:cs="Arial"/>
          <w:b/>
        </w:rPr>
        <w:t xml:space="preserve">, </w:t>
      </w:r>
      <w:r w:rsidR="00441E76" w:rsidRPr="0068695E">
        <w:rPr>
          <w:rFonts w:ascii="Arial" w:hAnsi="Arial" w:cs="Arial"/>
          <w:b/>
        </w:rPr>
        <w:t>Level 6</w:t>
      </w:r>
      <w:r w:rsidR="001D0C7D" w:rsidRPr="0068695E">
        <w:rPr>
          <w:rFonts w:ascii="Arial" w:hAnsi="Arial" w:cs="Arial"/>
          <w:b/>
        </w:rPr>
        <w:t xml:space="preserve"> or </w:t>
      </w:r>
      <w:r w:rsidR="00C612A8" w:rsidRPr="0068695E">
        <w:rPr>
          <w:rFonts w:ascii="Arial" w:hAnsi="Arial" w:cs="Arial"/>
          <w:b/>
        </w:rPr>
        <w:t>L</w:t>
      </w:r>
      <w:r w:rsidR="00441E76" w:rsidRPr="0068695E">
        <w:rPr>
          <w:rFonts w:ascii="Arial" w:hAnsi="Arial" w:cs="Arial"/>
          <w:b/>
        </w:rPr>
        <w:t>evel 7</w:t>
      </w:r>
      <w:r w:rsidR="009A2D37" w:rsidRPr="0068695E">
        <w:rPr>
          <w:rFonts w:ascii="Arial" w:hAnsi="Arial" w:cs="Arial"/>
          <w:b/>
        </w:rPr>
        <w:t>)</w:t>
      </w:r>
    </w:p>
    <w:p w14:paraId="2A63078A" w14:textId="77777777" w:rsidR="009A2D37" w:rsidRPr="0068695E" w:rsidRDefault="00215C01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68695E">
        <w:rPr>
          <w:rFonts w:ascii="Arial" w:hAnsi="Arial" w:cs="Arial"/>
        </w:rPr>
        <w:t xml:space="preserve">Level </w:t>
      </w:r>
      <w:proofErr w:type="gramStart"/>
      <w:r w:rsidRPr="0068695E">
        <w:rPr>
          <w:rFonts w:ascii="Arial" w:hAnsi="Arial" w:cs="Arial"/>
        </w:rPr>
        <w:t>7</w:t>
      </w:r>
      <w:proofErr w:type="gramEnd"/>
    </w:p>
    <w:p w14:paraId="3424F6CD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91CDCC2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 xml:space="preserve">The number of credits and the ECTS value which the module represents </w:t>
      </w:r>
    </w:p>
    <w:p w14:paraId="334DC07D" w14:textId="77777777" w:rsidR="00215C01" w:rsidRPr="0068695E" w:rsidRDefault="00215C01" w:rsidP="00215C01">
      <w:pPr>
        <w:spacing w:after="120" w:line="240" w:lineRule="auto"/>
        <w:ind w:right="260" w:firstLine="567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>15 (7.5 ECTS)</w:t>
      </w:r>
    </w:p>
    <w:p w14:paraId="48DE5639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149EA83E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Which term(s) the module is to be taught in (or other teaching pattern)</w:t>
      </w:r>
    </w:p>
    <w:p w14:paraId="25A91CB4" w14:textId="77777777" w:rsidR="009A2D37" w:rsidRPr="0068695E" w:rsidRDefault="00215C01" w:rsidP="00215C01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Spring</w:t>
      </w:r>
    </w:p>
    <w:p w14:paraId="63BEF87C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Prerequisite and co-requisite modules</w:t>
      </w:r>
    </w:p>
    <w:p w14:paraId="304F97BF" w14:textId="77777777" w:rsidR="00451910" w:rsidRPr="0068695E" w:rsidRDefault="00451910" w:rsidP="00215C01">
      <w:pPr>
        <w:ind w:firstLine="567"/>
        <w:rPr>
          <w:rFonts w:ascii="Arial" w:hAnsi="Arial" w:cs="Arial"/>
        </w:rPr>
      </w:pPr>
      <w:r w:rsidRPr="0068695E">
        <w:rPr>
          <w:rFonts w:ascii="Arial" w:hAnsi="Arial" w:cs="Arial"/>
        </w:rPr>
        <w:t>Prerequisite:</w:t>
      </w:r>
    </w:p>
    <w:p w14:paraId="787D4709" w14:textId="45596444" w:rsidR="00215C01" w:rsidRPr="0068695E" w:rsidRDefault="00215C01" w:rsidP="00215C01">
      <w:pPr>
        <w:ind w:firstLine="567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</w:rPr>
        <w:t>EC</w:t>
      </w:r>
      <w:r w:rsidR="00451910" w:rsidRPr="0068695E">
        <w:rPr>
          <w:rFonts w:ascii="Arial" w:hAnsi="Arial" w:cs="Arial"/>
        </w:rPr>
        <w:t>ON</w:t>
      </w:r>
      <w:r w:rsidRPr="0068695E">
        <w:rPr>
          <w:rFonts w:ascii="Arial" w:hAnsi="Arial" w:cs="Arial"/>
        </w:rPr>
        <w:t>821</w:t>
      </w:r>
      <w:r w:rsidR="00451910" w:rsidRPr="0068695E">
        <w:rPr>
          <w:rFonts w:ascii="Arial" w:hAnsi="Arial" w:cs="Arial"/>
        </w:rPr>
        <w:t>0</w:t>
      </w:r>
      <w:r w:rsidRPr="0068695E">
        <w:rPr>
          <w:rFonts w:ascii="Arial" w:hAnsi="Arial" w:cs="Arial"/>
        </w:rPr>
        <w:t xml:space="preserve"> Econometric Methods </w:t>
      </w:r>
    </w:p>
    <w:p w14:paraId="791B1D80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The programmes of study to which the module contributes</w:t>
      </w:r>
    </w:p>
    <w:p w14:paraId="2047B3CF" w14:textId="77777777" w:rsidR="00215C01" w:rsidRPr="0068695E" w:rsidRDefault="00215C01" w:rsidP="0068695E">
      <w:pPr>
        <w:spacing w:after="120" w:line="240" w:lineRule="auto"/>
        <w:ind w:left="426" w:right="260" w:firstLine="540"/>
        <w:rPr>
          <w:rFonts w:ascii="Arial" w:hAnsi="Arial" w:cs="Arial"/>
        </w:rPr>
      </w:pPr>
      <w:r w:rsidRPr="0068695E">
        <w:rPr>
          <w:rFonts w:ascii="Arial" w:hAnsi="Arial" w:cs="Arial"/>
        </w:rPr>
        <w:t>This is a compulsory module for the:</w:t>
      </w:r>
    </w:p>
    <w:p w14:paraId="79C9CCDC" w14:textId="77777777" w:rsidR="00215C01" w:rsidRPr="0068695E" w:rsidRDefault="00215C01" w:rsidP="0068695E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68695E">
        <w:rPr>
          <w:rFonts w:ascii="Arial" w:hAnsi="Arial" w:cs="Arial"/>
          <w:iCs/>
        </w:rPr>
        <w:t>MSc in Economics and Econometrics</w:t>
      </w:r>
    </w:p>
    <w:p w14:paraId="4DC50AC2" w14:textId="02EB9C99" w:rsidR="00215C01" w:rsidRPr="0068695E" w:rsidRDefault="00215C01" w:rsidP="0068695E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68695E">
        <w:rPr>
          <w:rFonts w:ascii="Arial" w:hAnsi="Arial" w:cs="Arial"/>
        </w:rPr>
        <w:t>MSc in Quantitative Finance and Econom</w:t>
      </w:r>
      <w:r w:rsidR="00451910" w:rsidRPr="0068695E">
        <w:rPr>
          <w:rFonts w:ascii="Arial" w:hAnsi="Arial" w:cs="Arial"/>
        </w:rPr>
        <w:t>etrics</w:t>
      </w:r>
    </w:p>
    <w:p w14:paraId="1B3A919D" w14:textId="77777777" w:rsidR="00215C01" w:rsidRPr="0068695E" w:rsidRDefault="00215C01" w:rsidP="0068695E">
      <w:pPr>
        <w:spacing w:after="120" w:line="240" w:lineRule="auto"/>
        <w:ind w:left="426" w:right="260" w:firstLine="540"/>
        <w:rPr>
          <w:rFonts w:ascii="Arial" w:hAnsi="Arial" w:cs="Arial"/>
        </w:rPr>
      </w:pPr>
      <w:r w:rsidRPr="0068695E">
        <w:rPr>
          <w:rFonts w:ascii="Arial" w:hAnsi="Arial" w:cs="Arial"/>
        </w:rPr>
        <w:t>This is an optional module for the:</w:t>
      </w:r>
    </w:p>
    <w:p w14:paraId="30F10569" w14:textId="77777777" w:rsidR="00215C01" w:rsidRPr="0068695E" w:rsidRDefault="00215C01" w:rsidP="0068695E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68695E">
        <w:rPr>
          <w:rFonts w:ascii="Arial" w:hAnsi="Arial" w:cs="Arial"/>
          <w:iCs/>
        </w:rPr>
        <w:t>MSc in Economics</w:t>
      </w:r>
    </w:p>
    <w:p w14:paraId="29694AAA" w14:textId="77777777" w:rsidR="00215C01" w:rsidRPr="0068695E" w:rsidRDefault="00215C01" w:rsidP="0068695E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68695E">
        <w:rPr>
          <w:rFonts w:ascii="Arial" w:hAnsi="Arial" w:cs="Arial"/>
        </w:rPr>
        <w:t>MSc in Financial Economics</w:t>
      </w:r>
    </w:p>
    <w:p w14:paraId="4762141B" w14:textId="77777777" w:rsidR="00215C01" w:rsidRPr="0068695E" w:rsidRDefault="00215C01" w:rsidP="0068695E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68695E">
        <w:rPr>
          <w:rFonts w:ascii="Arial" w:hAnsi="Arial" w:cs="Arial"/>
        </w:rPr>
        <w:t>MSc in International Finance and Economics</w:t>
      </w:r>
    </w:p>
    <w:p w14:paraId="05090062" w14:textId="77777777" w:rsidR="00112323" w:rsidRPr="0068695E" w:rsidRDefault="00112323" w:rsidP="0068695E">
      <w:pPr>
        <w:pStyle w:val="ListParagraph"/>
        <w:spacing w:after="120" w:line="240" w:lineRule="auto"/>
        <w:ind w:left="1212" w:right="260"/>
        <w:rPr>
          <w:rFonts w:ascii="Arial" w:hAnsi="Arial" w:cs="Arial"/>
        </w:rPr>
      </w:pPr>
    </w:p>
    <w:p w14:paraId="0BD2C4F5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The intended subject specific learning outcomes</w:t>
      </w:r>
      <w:r w:rsidR="00C729D7" w:rsidRPr="0068695E">
        <w:rPr>
          <w:rFonts w:ascii="Arial" w:hAnsi="Arial" w:cs="Arial"/>
          <w:b/>
        </w:rPr>
        <w:t>.</w:t>
      </w:r>
      <w:r w:rsidR="00C729D7" w:rsidRPr="0068695E">
        <w:rPr>
          <w:rFonts w:ascii="Arial" w:hAnsi="Arial" w:cs="Arial"/>
          <w:b/>
        </w:rPr>
        <w:br/>
        <w:t>On successfully completing the module students will be able to:</w:t>
      </w:r>
    </w:p>
    <w:p w14:paraId="29FB23A8" w14:textId="4320C2CF" w:rsidR="00215C01" w:rsidRPr="0068695E" w:rsidRDefault="00215C01" w:rsidP="0068695E">
      <w:pPr>
        <w:pStyle w:val="ListParagraph"/>
        <w:numPr>
          <w:ilvl w:val="1"/>
          <w:numId w:val="12"/>
        </w:numPr>
        <w:ind w:left="1080"/>
        <w:jc w:val="both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 xml:space="preserve">have </w:t>
      </w:r>
      <w:r w:rsidR="009D5428" w:rsidRPr="0068695E">
        <w:rPr>
          <w:rFonts w:ascii="Arial" w:hAnsi="Arial" w:cs="Arial"/>
          <w:color w:val="000000" w:themeColor="text1"/>
        </w:rPr>
        <w:t xml:space="preserve">comprehensive </w:t>
      </w:r>
      <w:r w:rsidRPr="0068695E">
        <w:rPr>
          <w:rFonts w:ascii="Arial" w:hAnsi="Arial" w:cs="Arial"/>
          <w:color w:val="000000" w:themeColor="text1"/>
        </w:rPr>
        <w:t>understanding of econometric techniques used with time series data</w:t>
      </w:r>
    </w:p>
    <w:p w14:paraId="2293B841" w14:textId="32006DA0" w:rsidR="00215C01" w:rsidRPr="0068695E" w:rsidRDefault="00F663D6" w:rsidP="0068695E">
      <w:pPr>
        <w:pStyle w:val="ListParagraph"/>
        <w:numPr>
          <w:ilvl w:val="1"/>
          <w:numId w:val="12"/>
        </w:numPr>
        <w:ind w:left="1080"/>
        <w:jc w:val="both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 xml:space="preserve">demonstrate </w:t>
      </w:r>
      <w:r w:rsidR="00215C01" w:rsidRPr="0068695E">
        <w:rPr>
          <w:rFonts w:ascii="Arial" w:hAnsi="Arial" w:cs="Arial"/>
          <w:color w:val="000000" w:themeColor="text1"/>
        </w:rPr>
        <w:t xml:space="preserve">critical </w:t>
      </w:r>
      <w:r w:rsidRPr="0068695E">
        <w:rPr>
          <w:rFonts w:ascii="Arial" w:hAnsi="Arial" w:cs="Arial"/>
          <w:color w:val="000000" w:themeColor="text1"/>
        </w:rPr>
        <w:t xml:space="preserve">assessment in </w:t>
      </w:r>
      <w:r w:rsidR="00215C01" w:rsidRPr="0068695E">
        <w:rPr>
          <w:rFonts w:ascii="Arial" w:hAnsi="Arial" w:cs="Arial"/>
          <w:color w:val="000000" w:themeColor="text1"/>
        </w:rPr>
        <w:t>reading and interpretation of empirical macroeconomic research</w:t>
      </w:r>
    </w:p>
    <w:p w14:paraId="18104F63" w14:textId="008FBFA4" w:rsidR="00215C01" w:rsidRPr="0068695E" w:rsidRDefault="009A5CFD" w:rsidP="0068695E">
      <w:pPr>
        <w:pStyle w:val="ListParagraph"/>
        <w:numPr>
          <w:ilvl w:val="1"/>
          <w:numId w:val="12"/>
        </w:numPr>
        <w:ind w:left="1080"/>
        <w:jc w:val="both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 xml:space="preserve">be practised in own </w:t>
      </w:r>
      <w:r w:rsidR="001206D6" w:rsidRPr="0068695E">
        <w:rPr>
          <w:rFonts w:ascii="Arial" w:hAnsi="Arial" w:cs="Arial"/>
          <w:color w:val="000000" w:themeColor="text1"/>
        </w:rPr>
        <w:t xml:space="preserve">modelling of </w:t>
      </w:r>
      <w:r w:rsidRPr="0068695E">
        <w:rPr>
          <w:rFonts w:ascii="Arial" w:hAnsi="Arial" w:cs="Arial"/>
          <w:color w:val="000000" w:themeColor="text1"/>
        </w:rPr>
        <w:t>economic series using advanced econometric theory</w:t>
      </w:r>
    </w:p>
    <w:p w14:paraId="6E97F214" w14:textId="6715B7E2" w:rsidR="00215C01" w:rsidRPr="0068695E" w:rsidRDefault="009A5CFD" w:rsidP="0068695E">
      <w:pPr>
        <w:pStyle w:val="ListParagraph"/>
        <w:numPr>
          <w:ilvl w:val="1"/>
          <w:numId w:val="12"/>
        </w:numPr>
        <w:ind w:left="1080"/>
        <w:jc w:val="both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>have the ability to undertake complex empirical research using statistical software for time series analysis</w:t>
      </w:r>
    </w:p>
    <w:p w14:paraId="604C7783" w14:textId="77777777" w:rsidR="00C729D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The intended generic learning outcomes</w:t>
      </w:r>
      <w:r w:rsidR="00C729D7" w:rsidRPr="0068695E">
        <w:rPr>
          <w:rFonts w:ascii="Arial" w:hAnsi="Arial" w:cs="Arial"/>
          <w:b/>
        </w:rPr>
        <w:t>.</w:t>
      </w:r>
      <w:r w:rsidR="00C729D7" w:rsidRPr="0068695E">
        <w:rPr>
          <w:rFonts w:ascii="Arial" w:hAnsi="Arial" w:cs="Arial"/>
          <w:b/>
        </w:rPr>
        <w:br/>
        <w:t>On successfully completing the module students will be able to:</w:t>
      </w:r>
    </w:p>
    <w:p w14:paraId="23BF6CBA" w14:textId="64521773" w:rsidR="00215C01" w:rsidRPr="0068695E" w:rsidRDefault="00215C01" w:rsidP="00451910">
      <w:pPr>
        <w:pStyle w:val="ListParagraph"/>
        <w:numPr>
          <w:ilvl w:val="1"/>
          <w:numId w:val="13"/>
        </w:numPr>
        <w:ind w:left="990"/>
        <w:rPr>
          <w:rFonts w:ascii="Arial" w:hAnsi="Arial" w:cs="Arial"/>
        </w:rPr>
      </w:pPr>
      <w:r w:rsidRPr="0068695E">
        <w:rPr>
          <w:rFonts w:ascii="Arial" w:hAnsi="Arial" w:cs="Arial"/>
        </w:rPr>
        <w:t xml:space="preserve">utilise modern computing resources to access and acquire </w:t>
      </w:r>
      <w:r w:rsidR="00F663D6" w:rsidRPr="0068695E">
        <w:rPr>
          <w:rFonts w:ascii="Arial" w:hAnsi="Arial" w:cs="Arial"/>
        </w:rPr>
        <w:t xml:space="preserve">time series </w:t>
      </w:r>
      <w:r w:rsidRPr="0068695E">
        <w:rPr>
          <w:rFonts w:ascii="Arial" w:hAnsi="Arial" w:cs="Arial"/>
        </w:rPr>
        <w:t xml:space="preserve">data from </w:t>
      </w:r>
      <w:r w:rsidR="00F663D6" w:rsidRPr="0068695E">
        <w:rPr>
          <w:rFonts w:ascii="Arial" w:hAnsi="Arial" w:cs="Arial"/>
        </w:rPr>
        <w:t xml:space="preserve">relevant </w:t>
      </w:r>
      <w:r w:rsidR="009D5428" w:rsidRPr="0068695E">
        <w:rPr>
          <w:rFonts w:ascii="Arial" w:hAnsi="Arial" w:cs="Arial"/>
        </w:rPr>
        <w:t>sources</w:t>
      </w:r>
    </w:p>
    <w:p w14:paraId="78777C14" w14:textId="2DF037EF" w:rsidR="00215C01" w:rsidRPr="0068695E" w:rsidRDefault="00822C5A" w:rsidP="00451910">
      <w:pPr>
        <w:pStyle w:val="ListParagraph"/>
        <w:numPr>
          <w:ilvl w:val="1"/>
          <w:numId w:val="13"/>
        </w:numPr>
        <w:ind w:left="990"/>
        <w:rPr>
          <w:rFonts w:ascii="Arial" w:hAnsi="Arial" w:cs="Arial"/>
        </w:rPr>
      </w:pPr>
      <w:r w:rsidRPr="0068695E">
        <w:rPr>
          <w:rFonts w:ascii="Arial" w:hAnsi="Arial" w:cs="Arial"/>
          <w:color w:val="000000" w:themeColor="text1"/>
        </w:rPr>
        <w:t>demonstrate e</w:t>
      </w:r>
      <w:r w:rsidR="00F663D6" w:rsidRPr="0068695E">
        <w:rPr>
          <w:rFonts w:ascii="Arial" w:hAnsi="Arial" w:cs="Arial"/>
        </w:rPr>
        <w:t xml:space="preserve">nhanced </w:t>
      </w:r>
      <w:r w:rsidR="00215C01" w:rsidRPr="0068695E">
        <w:rPr>
          <w:rFonts w:ascii="Arial" w:hAnsi="Arial" w:cs="Arial"/>
        </w:rPr>
        <w:t xml:space="preserve">problem-solving skills </w:t>
      </w:r>
      <w:r w:rsidR="00F663D6" w:rsidRPr="0068695E">
        <w:rPr>
          <w:rFonts w:ascii="Arial" w:hAnsi="Arial" w:cs="Arial"/>
        </w:rPr>
        <w:t>with</w:t>
      </w:r>
      <w:r w:rsidR="00215C01" w:rsidRPr="0068695E">
        <w:rPr>
          <w:rFonts w:ascii="Arial" w:hAnsi="Arial" w:cs="Arial"/>
        </w:rPr>
        <w:t xml:space="preserve"> </w:t>
      </w:r>
      <w:r w:rsidRPr="0068695E">
        <w:rPr>
          <w:rFonts w:ascii="Arial" w:hAnsi="Arial" w:cs="Arial"/>
        </w:rPr>
        <w:t xml:space="preserve">complex </w:t>
      </w:r>
      <w:r w:rsidR="00215C01" w:rsidRPr="0068695E">
        <w:rPr>
          <w:rFonts w:ascii="Arial" w:hAnsi="Arial" w:cs="Arial"/>
        </w:rPr>
        <w:t>quantitative models</w:t>
      </w:r>
    </w:p>
    <w:p w14:paraId="1DC37EB0" w14:textId="485FE3FA" w:rsidR="00215C01" w:rsidRPr="0068695E" w:rsidRDefault="00215C01">
      <w:pPr>
        <w:pStyle w:val="ListParagraph"/>
        <w:numPr>
          <w:ilvl w:val="1"/>
          <w:numId w:val="13"/>
        </w:numPr>
        <w:ind w:left="990"/>
        <w:rPr>
          <w:rFonts w:ascii="Arial" w:hAnsi="Arial" w:cs="Arial"/>
        </w:rPr>
      </w:pPr>
      <w:r w:rsidRPr="0068695E">
        <w:rPr>
          <w:rFonts w:ascii="Arial" w:hAnsi="Arial" w:cs="Arial"/>
        </w:rPr>
        <w:t xml:space="preserve">present </w:t>
      </w:r>
      <w:r w:rsidR="00822C5A" w:rsidRPr="0068695E">
        <w:rPr>
          <w:rFonts w:ascii="Arial" w:hAnsi="Arial" w:cs="Arial"/>
        </w:rPr>
        <w:t xml:space="preserve">convincing and rigorous </w:t>
      </w:r>
      <w:r w:rsidRPr="0068695E">
        <w:rPr>
          <w:rFonts w:ascii="Arial" w:hAnsi="Arial" w:cs="Arial"/>
        </w:rPr>
        <w:t>economic arguments orally as well as in written for</w:t>
      </w:r>
      <w:r w:rsidR="00822C5A" w:rsidRPr="0068695E">
        <w:rPr>
          <w:rFonts w:ascii="Arial" w:hAnsi="Arial" w:cs="Arial"/>
        </w:rPr>
        <w:t>m</w:t>
      </w:r>
    </w:p>
    <w:p w14:paraId="6FDFED91" w14:textId="77777777" w:rsidR="009A2D37" w:rsidRPr="0068695E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7CA9C663" w14:textId="77777777" w:rsidR="009A2D37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A synopsis of the curriculum</w:t>
      </w:r>
    </w:p>
    <w:p w14:paraId="7F87D55A" w14:textId="3D421B7D" w:rsidR="00BE6AFC" w:rsidRPr="0068695E" w:rsidRDefault="000450E8" w:rsidP="0068695E">
      <w:pPr>
        <w:pStyle w:val="ListParagraph"/>
        <w:jc w:val="both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lastRenderedPageBreak/>
        <w:t xml:space="preserve">The module offers a research-oriented introduction to contemporary time series econometrics by linking econometric theory to empirical studies of the macro-economy and financial markets. It introduces models and methods used in central banks and research institutions for policy analysis and forecasting. It integrates empirical illustrations </w:t>
      </w:r>
      <w:proofErr w:type="gramStart"/>
      <w:r w:rsidRPr="0068695E">
        <w:rPr>
          <w:rFonts w:ascii="Arial" w:hAnsi="Arial" w:cs="Arial"/>
          <w:color w:val="000000" w:themeColor="text1"/>
        </w:rPr>
        <w:t>through the use of</w:t>
      </w:r>
      <w:proofErr w:type="gramEnd"/>
      <w:r w:rsidRPr="0068695E">
        <w:rPr>
          <w:rFonts w:ascii="Arial" w:hAnsi="Arial" w:cs="Arial"/>
          <w:color w:val="000000" w:themeColor="text1"/>
        </w:rPr>
        <w:t xml:space="preserve"> computer-based exercises with macroeconomic and financial data using appropriate software. </w:t>
      </w:r>
      <w:r w:rsidRPr="0068695E">
        <w:rPr>
          <w:rFonts w:ascii="Arial" w:hAnsi="Arial" w:cs="Arial"/>
          <w:color w:val="000000"/>
        </w:rPr>
        <w:t xml:space="preserve">We start with providing comprehensive treatment of </w:t>
      </w:r>
      <w:proofErr w:type="gramStart"/>
      <w:r w:rsidRPr="0068695E">
        <w:rPr>
          <w:rFonts w:ascii="Arial" w:hAnsi="Arial" w:cs="Arial"/>
          <w:color w:val="000000"/>
        </w:rPr>
        <w:t>univariate time series analysis</w:t>
      </w:r>
      <w:proofErr w:type="gramEnd"/>
      <w:r w:rsidRPr="0068695E">
        <w:rPr>
          <w:rFonts w:ascii="Arial" w:hAnsi="Arial" w:cs="Arial"/>
          <w:color w:val="000000"/>
        </w:rPr>
        <w:t xml:space="preserve"> and deal in details with the modelling and forecasting of stationary and nonstationary stochastic processes. We then look into models of time-varying volatility. Finally, we generalize the learned techniques to multiple time series and study </w:t>
      </w:r>
      <w:proofErr w:type="spellStart"/>
      <w:r w:rsidRPr="0068695E">
        <w:rPr>
          <w:rFonts w:ascii="Arial" w:hAnsi="Arial" w:cs="Arial"/>
          <w:color w:val="000000"/>
        </w:rPr>
        <w:t>cointegration</w:t>
      </w:r>
      <w:proofErr w:type="spellEnd"/>
      <w:r w:rsidR="00BE6AFC" w:rsidRPr="0068695E">
        <w:rPr>
          <w:rFonts w:ascii="Arial" w:hAnsi="Arial" w:cs="Arial"/>
          <w:color w:val="000000"/>
        </w:rPr>
        <w:t>.</w:t>
      </w:r>
    </w:p>
    <w:p w14:paraId="1D906375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74446E9" w14:textId="77777777" w:rsidR="009A2D37" w:rsidRPr="0068695E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Reading l</w:t>
      </w:r>
      <w:r w:rsidR="009A2D37" w:rsidRPr="0068695E">
        <w:rPr>
          <w:rFonts w:ascii="Arial" w:hAnsi="Arial" w:cs="Arial"/>
          <w:b/>
        </w:rPr>
        <w:t xml:space="preserve">ist </w:t>
      </w:r>
      <w:r w:rsidR="00274ED7" w:rsidRPr="0068695E">
        <w:rPr>
          <w:rFonts w:ascii="Arial" w:hAnsi="Arial" w:cs="Arial"/>
          <w:b/>
        </w:rPr>
        <w:t>(Indicative list, current at time of publication. Reading lists will be published annually)</w:t>
      </w:r>
    </w:p>
    <w:p w14:paraId="5B643775" w14:textId="2EB05FAB" w:rsidR="003213FE" w:rsidRPr="0068695E" w:rsidRDefault="003213FE" w:rsidP="0068695E">
      <w:pPr>
        <w:spacing w:after="120" w:line="240" w:lineRule="auto"/>
        <w:ind w:right="260" w:firstLine="426"/>
        <w:jc w:val="both"/>
        <w:rPr>
          <w:rFonts w:ascii="Arial" w:hAnsi="Arial" w:cs="Arial"/>
          <w:i/>
        </w:rPr>
      </w:pPr>
      <w:r w:rsidRPr="0068695E">
        <w:rPr>
          <w:rFonts w:ascii="Arial" w:hAnsi="Arial" w:cs="Arial"/>
          <w:i/>
        </w:rPr>
        <w:t>Core reading</w:t>
      </w:r>
    </w:p>
    <w:p w14:paraId="3882A870" w14:textId="36716581" w:rsidR="00215C01" w:rsidRPr="0068695E" w:rsidRDefault="00215C01" w:rsidP="00215C01">
      <w:pPr>
        <w:pStyle w:val="ListParagraph"/>
        <w:numPr>
          <w:ilvl w:val="0"/>
          <w:numId w:val="10"/>
        </w:numPr>
        <w:suppressAutoHyphens/>
        <w:spacing w:before="120" w:after="0" w:line="240" w:lineRule="auto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>Hamilton, J</w:t>
      </w:r>
      <w:r w:rsidR="00173057" w:rsidRPr="0068695E">
        <w:rPr>
          <w:rFonts w:ascii="Arial" w:hAnsi="Arial" w:cs="Arial"/>
          <w:color w:val="000000" w:themeColor="text1"/>
        </w:rPr>
        <w:t>ames.</w:t>
      </w:r>
      <w:r w:rsidRPr="0068695E">
        <w:rPr>
          <w:rFonts w:ascii="Arial" w:hAnsi="Arial" w:cs="Arial"/>
          <w:color w:val="000000" w:themeColor="text1"/>
        </w:rPr>
        <w:t xml:space="preserve"> Time Series Analysis. </w:t>
      </w:r>
      <w:r w:rsidR="00173057" w:rsidRPr="0068695E">
        <w:rPr>
          <w:rFonts w:ascii="Arial" w:hAnsi="Arial" w:cs="Arial"/>
          <w:color w:val="000000" w:themeColor="text1"/>
        </w:rPr>
        <w:t>P</w:t>
      </w:r>
      <w:r w:rsidRPr="0068695E">
        <w:rPr>
          <w:rFonts w:ascii="Arial" w:hAnsi="Arial" w:cs="Arial"/>
          <w:color w:val="000000" w:themeColor="text1"/>
        </w:rPr>
        <w:t>rinceton University Press</w:t>
      </w:r>
      <w:r w:rsidR="00173057" w:rsidRPr="0068695E">
        <w:rPr>
          <w:rFonts w:ascii="Arial" w:hAnsi="Arial" w:cs="Arial"/>
          <w:color w:val="000000" w:themeColor="text1"/>
        </w:rPr>
        <w:t>, 2014.</w:t>
      </w:r>
    </w:p>
    <w:p w14:paraId="40AA925F" w14:textId="7EBFC677" w:rsidR="00660BE3" w:rsidRPr="0068695E" w:rsidRDefault="00660BE3" w:rsidP="00215C01">
      <w:pPr>
        <w:pStyle w:val="ListParagraph"/>
        <w:numPr>
          <w:ilvl w:val="0"/>
          <w:numId w:val="10"/>
        </w:numPr>
        <w:suppressAutoHyphens/>
        <w:spacing w:before="120" w:after="0" w:line="240" w:lineRule="auto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 xml:space="preserve">Enders, Walter. Applied Econometric Times Series. </w:t>
      </w:r>
      <w:proofErr w:type="gramStart"/>
      <w:r w:rsidRPr="0068695E">
        <w:rPr>
          <w:rFonts w:ascii="Arial" w:hAnsi="Arial" w:cs="Arial"/>
          <w:color w:val="000000" w:themeColor="text1"/>
        </w:rPr>
        <w:t>4</w:t>
      </w:r>
      <w:r w:rsidRPr="0068695E">
        <w:rPr>
          <w:rFonts w:ascii="Arial" w:hAnsi="Arial" w:cs="Arial"/>
          <w:color w:val="000000" w:themeColor="text1"/>
          <w:vertAlign w:val="superscript"/>
        </w:rPr>
        <w:t>th</w:t>
      </w:r>
      <w:proofErr w:type="gramEnd"/>
      <w:r w:rsidRPr="0068695E">
        <w:rPr>
          <w:rFonts w:ascii="Arial" w:hAnsi="Arial" w:cs="Arial"/>
          <w:color w:val="000000" w:themeColor="text1"/>
        </w:rPr>
        <w:t xml:space="preserve"> Edition. Wiley, 2014.</w:t>
      </w:r>
    </w:p>
    <w:p w14:paraId="5B2E1C66" w14:textId="2FCE0618" w:rsidR="00660BE3" w:rsidRPr="0068695E" w:rsidRDefault="00660BE3" w:rsidP="00215C01">
      <w:pPr>
        <w:pStyle w:val="ListParagraph"/>
        <w:numPr>
          <w:ilvl w:val="0"/>
          <w:numId w:val="10"/>
        </w:numPr>
        <w:suppressAutoHyphens/>
        <w:spacing w:before="120"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68695E">
        <w:rPr>
          <w:rFonts w:ascii="Arial" w:hAnsi="Arial" w:cs="Arial"/>
          <w:color w:val="000000" w:themeColor="text1"/>
        </w:rPr>
        <w:t>Lütkepohl</w:t>
      </w:r>
      <w:proofErr w:type="spellEnd"/>
      <w:r w:rsidRPr="0068695E">
        <w:rPr>
          <w:rFonts w:ascii="Arial" w:hAnsi="Arial" w:cs="Arial"/>
          <w:color w:val="000000" w:themeColor="text1"/>
        </w:rPr>
        <w:t>, Helmut. New Introduction to Multiple Time Series Analysis. Springer, 2006.</w:t>
      </w:r>
    </w:p>
    <w:p w14:paraId="4B742F34" w14:textId="5E5534C5" w:rsidR="00E15BD1" w:rsidRPr="0068695E" w:rsidRDefault="00E15BD1" w:rsidP="0068695E">
      <w:pPr>
        <w:suppressAutoHyphens/>
        <w:spacing w:before="120" w:after="0" w:line="240" w:lineRule="auto"/>
        <w:ind w:left="426"/>
        <w:rPr>
          <w:rFonts w:ascii="Arial" w:hAnsi="Arial" w:cs="Arial"/>
          <w:i/>
          <w:color w:val="000000" w:themeColor="text1"/>
        </w:rPr>
      </w:pPr>
      <w:r w:rsidRPr="0068695E">
        <w:rPr>
          <w:rFonts w:ascii="Arial" w:hAnsi="Arial" w:cs="Arial"/>
          <w:i/>
          <w:color w:val="000000" w:themeColor="text1"/>
        </w:rPr>
        <w:t>Recommended reading</w:t>
      </w:r>
    </w:p>
    <w:p w14:paraId="08CB007E" w14:textId="6BEBD4FC" w:rsidR="00215C01" w:rsidRPr="0068695E" w:rsidRDefault="00215C01" w:rsidP="00215C01">
      <w:pPr>
        <w:pStyle w:val="ListParagraph"/>
        <w:numPr>
          <w:ilvl w:val="0"/>
          <w:numId w:val="10"/>
        </w:numPr>
        <w:suppressAutoHyphens/>
        <w:spacing w:before="120"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68695E">
        <w:rPr>
          <w:rFonts w:ascii="Arial" w:hAnsi="Arial" w:cs="Arial"/>
          <w:color w:val="000000" w:themeColor="text1"/>
        </w:rPr>
        <w:t>Franses</w:t>
      </w:r>
      <w:proofErr w:type="spellEnd"/>
      <w:r w:rsidRPr="0068695E">
        <w:rPr>
          <w:rFonts w:ascii="Arial" w:hAnsi="Arial" w:cs="Arial"/>
          <w:color w:val="000000" w:themeColor="text1"/>
        </w:rPr>
        <w:t>, P</w:t>
      </w:r>
      <w:r w:rsidR="00DE6CBA" w:rsidRPr="0068695E">
        <w:rPr>
          <w:rFonts w:ascii="Arial" w:hAnsi="Arial" w:cs="Arial"/>
          <w:color w:val="000000" w:themeColor="text1"/>
        </w:rPr>
        <w:t xml:space="preserve">hilip, </w:t>
      </w:r>
      <w:r w:rsidRPr="0068695E">
        <w:rPr>
          <w:rFonts w:ascii="Arial" w:hAnsi="Arial" w:cs="Arial"/>
          <w:color w:val="000000" w:themeColor="text1"/>
        </w:rPr>
        <w:t xml:space="preserve">van </w:t>
      </w:r>
      <w:proofErr w:type="spellStart"/>
      <w:r w:rsidRPr="0068695E">
        <w:rPr>
          <w:rFonts w:ascii="Arial" w:hAnsi="Arial" w:cs="Arial"/>
          <w:color w:val="000000" w:themeColor="text1"/>
        </w:rPr>
        <w:t>Dijk</w:t>
      </w:r>
      <w:proofErr w:type="spellEnd"/>
      <w:r w:rsidRPr="0068695E">
        <w:rPr>
          <w:rFonts w:ascii="Arial" w:hAnsi="Arial" w:cs="Arial"/>
          <w:color w:val="000000" w:themeColor="text1"/>
        </w:rPr>
        <w:t>, D</w:t>
      </w:r>
      <w:r w:rsidR="00DE6CBA" w:rsidRPr="0068695E">
        <w:rPr>
          <w:rFonts w:ascii="Arial" w:hAnsi="Arial" w:cs="Arial"/>
          <w:color w:val="000000" w:themeColor="text1"/>
        </w:rPr>
        <w:t>ick and Anne</w:t>
      </w:r>
      <w:r w:rsidRPr="0068695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8695E">
        <w:rPr>
          <w:rFonts w:ascii="Arial" w:hAnsi="Arial" w:cs="Arial"/>
          <w:color w:val="000000" w:themeColor="text1"/>
        </w:rPr>
        <w:t>Opschoor</w:t>
      </w:r>
      <w:proofErr w:type="spellEnd"/>
      <w:r w:rsidRPr="0068695E">
        <w:rPr>
          <w:rFonts w:ascii="Arial" w:hAnsi="Arial" w:cs="Arial"/>
          <w:color w:val="000000" w:themeColor="text1"/>
        </w:rPr>
        <w:t>. Time Series Models for Business and</w:t>
      </w:r>
    </w:p>
    <w:p w14:paraId="6EDE9BD7" w14:textId="095C60F3" w:rsidR="00215C01" w:rsidRPr="0068695E" w:rsidRDefault="00215C01" w:rsidP="00215C01">
      <w:pPr>
        <w:pStyle w:val="ListParagraph"/>
        <w:suppressAutoHyphens/>
        <w:spacing w:before="120" w:after="0" w:line="240" w:lineRule="auto"/>
        <w:ind w:left="786"/>
        <w:rPr>
          <w:rFonts w:ascii="Arial" w:hAnsi="Arial" w:cs="Arial"/>
          <w:color w:val="000000" w:themeColor="text1"/>
        </w:rPr>
      </w:pPr>
      <w:r w:rsidRPr="0068695E">
        <w:rPr>
          <w:rFonts w:ascii="Arial" w:hAnsi="Arial" w:cs="Arial"/>
          <w:color w:val="000000" w:themeColor="text1"/>
        </w:rPr>
        <w:t xml:space="preserve">Economic Forecasting. </w:t>
      </w:r>
      <w:proofErr w:type="gramStart"/>
      <w:r w:rsidRPr="0068695E">
        <w:rPr>
          <w:rFonts w:ascii="Arial" w:hAnsi="Arial" w:cs="Arial"/>
          <w:color w:val="000000" w:themeColor="text1"/>
        </w:rPr>
        <w:t>2nd</w:t>
      </w:r>
      <w:proofErr w:type="gramEnd"/>
      <w:r w:rsidRPr="0068695E">
        <w:rPr>
          <w:rFonts w:ascii="Arial" w:hAnsi="Arial" w:cs="Arial"/>
          <w:color w:val="000000" w:themeColor="text1"/>
        </w:rPr>
        <w:t xml:space="preserve"> </w:t>
      </w:r>
      <w:r w:rsidR="00DE6CBA" w:rsidRPr="0068695E">
        <w:rPr>
          <w:rFonts w:ascii="Arial" w:hAnsi="Arial" w:cs="Arial"/>
          <w:color w:val="000000" w:themeColor="text1"/>
        </w:rPr>
        <w:t xml:space="preserve">Edition. </w:t>
      </w:r>
      <w:r w:rsidRPr="0068695E">
        <w:rPr>
          <w:rFonts w:ascii="Arial" w:hAnsi="Arial" w:cs="Arial"/>
          <w:color w:val="000000" w:themeColor="text1"/>
        </w:rPr>
        <w:t>Cambridge University Press</w:t>
      </w:r>
      <w:r w:rsidR="00DE6CBA" w:rsidRPr="0068695E">
        <w:rPr>
          <w:rFonts w:ascii="Arial" w:hAnsi="Arial" w:cs="Arial"/>
          <w:color w:val="000000" w:themeColor="text1"/>
        </w:rPr>
        <w:t>, 2016</w:t>
      </w:r>
      <w:r w:rsidRPr="0068695E">
        <w:rPr>
          <w:rFonts w:ascii="Arial" w:hAnsi="Arial" w:cs="Arial"/>
          <w:color w:val="000000" w:themeColor="text1"/>
        </w:rPr>
        <w:t>.</w:t>
      </w:r>
    </w:p>
    <w:p w14:paraId="6D0D7E8A" w14:textId="77777777" w:rsidR="00215C01" w:rsidRPr="0068695E" w:rsidRDefault="00215C01" w:rsidP="00215C01">
      <w:pPr>
        <w:pStyle w:val="ListParagraph"/>
        <w:suppressAutoHyphens/>
        <w:spacing w:before="120" w:after="0" w:line="240" w:lineRule="auto"/>
        <w:ind w:left="786"/>
        <w:rPr>
          <w:rFonts w:ascii="Arial" w:hAnsi="Arial" w:cs="Arial"/>
          <w:color w:val="000000" w:themeColor="text1"/>
        </w:rPr>
      </w:pPr>
    </w:p>
    <w:p w14:paraId="2D7E73F5" w14:textId="3EAE4658" w:rsidR="00451706" w:rsidRPr="0068695E" w:rsidRDefault="004C231A" w:rsidP="0068695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68695E">
        <w:rPr>
          <w:rFonts w:ascii="Arial" w:hAnsi="Arial" w:cs="Arial"/>
        </w:rPr>
        <w:t xml:space="preserve">This list will be augmented by the articles from such journals as </w:t>
      </w:r>
      <w:r w:rsidRPr="0068695E">
        <w:rPr>
          <w:rFonts w:ascii="Arial" w:hAnsi="Arial" w:cs="Arial"/>
          <w:i/>
        </w:rPr>
        <w:t>American Economic Review</w:t>
      </w:r>
      <w:r w:rsidRPr="0068695E">
        <w:rPr>
          <w:rFonts w:ascii="Arial" w:hAnsi="Arial" w:cs="Arial"/>
        </w:rPr>
        <w:t xml:space="preserve">, </w:t>
      </w:r>
      <w:proofErr w:type="spellStart"/>
      <w:r w:rsidRPr="0068695E">
        <w:rPr>
          <w:rFonts w:ascii="Arial" w:hAnsi="Arial" w:cs="Arial"/>
          <w:i/>
        </w:rPr>
        <w:t>Econometrica</w:t>
      </w:r>
      <w:proofErr w:type="spellEnd"/>
      <w:r w:rsidRPr="0068695E">
        <w:rPr>
          <w:rFonts w:ascii="Arial" w:hAnsi="Arial" w:cs="Arial"/>
        </w:rPr>
        <w:t xml:space="preserve">, </w:t>
      </w:r>
      <w:r w:rsidR="00451706" w:rsidRPr="0068695E">
        <w:rPr>
          <w:rFonts w:ascii="Arial" w:hAnsi="Arial" w:cs="Arial"/>
          <w:i/>
        </w:rPr>
        <w:t>Journal of Applied Econometrics</w:t>
      </w:r>
      <w:r w:rsidR="00451706" w:rsidRPr="0068695E">
        <w:rPr>
          <w:rFonts w:ascii="Arial" w:hAnsi="Arial" w:cs="Arial"/>
        </w:rPr>
        <w:t xml:space="preserve">, </w:t>
      </w:r>
      <w:r w:rsidRPr="0068695E">
        <w:rPr>
          <w:rFonts w:ascii="Arial" w:hAnsi="Arial" w:cs="Arial"/>
          <w:i/>
        </w:rPr>
        <w:t>Journal of Econometrics</w:t>
      </w:r>
      <w:r w:rsidRPr="0068695E">
        <w:rPr>
          <w:rFonts w:ascii="Arial" w:hAnsi="Arial" w:cs="Arial"/>
        </w:rPr>
        <w:t>,</w:t>
      </w:r>
      <w:r w:rsidR="00660BE3" w:rsidRPr="0068695E">
        <w:rPr>
          <w:rFonts w:ascii="Arial" w:hAnsi="Arial" w:cs="Arial"/>
        </w:rPr>
        <w:t xml:space="preserve"> </w:t>
      </w:r>
      <w:r w:rsidR="00660BE3" w:rsidRPr="0068695E">
        <w:rPr>
          <w:rFonts w:ascii="Arial" w:hAnsi="Arial" w:cs="Arial"/>
          <w:i/>
        </w:rPr>
        <w:t>Journal of Economic Perspectives</w:t>
      </w:r>
      <w:r w:rsidR="00660BE3" w:rsidRPr="0068695E">
        <w:rPr>
          <w:rFonts w:ascii="Arial" w:hAnsi="Arial" w:cs="Arial"/>
        </w:rPr>
        <w:t>,</w:t>
      </w:r>
      <w:r w:rsidRPr="0068695E">
        <w:rPr>
          <w:rFonts w:ascii="Arial" w:hAnsi="Arial" w:cs="Arial"/>
        </w:rPr>
        <w:t xml:space="preserve"> </w:t>
      </w:r>
      <w:r w:rsidRPr="0068695E">
        <w:rPr>
          <w:rFonts w:ascii="Arial" w:hAnsi="Arial" w:cs="Arial"/>
          <w:i/>
        </w:rPr>
        <w:t>Journal of Political Economy</w:t>
      </w:r>
      <w:r w:rsidRPr="0068695E">
        <w:rPr>
          <w:rFonts w:ascii="Arial" w:hAnsi="Arial" w:cs="Arial"/>
        </w:rPr>
        <w:t xml:space="preserve">, </w:t>
      </w:r>
      <w:r w:rsidRPr="0068695E">
        <w:rPr>
          <w:rFonts w:ascii="Arial" w:hAnsi="Arial" w:cs="Arial"/>
          <w:i/>
        </w:rPr>
        <w:t>Quarterly Journal of Economics</w:t>
      </w:r>
      <w:r w:rsidRPr="0068695E">
        <w:rPr>
          <w:rFonts w:ascii="Arial" w:hAnsi="Arial" w:cs="Arial"/>
        </w:rPr>
        <w:t xml:space="preserve"> and </w:t>
      </w:r>
      <w:r w:rsidRPr="0068695E">
        <w:rPr>
          <w:rFonts w:ascii="Arial" w:hAnsi="Arial" w:cs="Arial"/>
          <w:i/>
        </w:rPr>
        <w:t>Review of Economic Studies</w:t>
      </w:r>
      <w:r w:rsidRPr="0068695E">
        <w:rPr>
          <w:rFonts w:ascii="Arial" w:hAnsi="Arial" w:cs="Arial"/>
        </w:rPr>
        <w:t xml:space="preserve"> among others</w:t>
      </w:r>
      <w:proofErr w:type="gramEnd"/>
      <w:r w:rsidRPr="0068695E">
        <w:rPr>
          <w:rFonts w:ascii="Arial" w:hAnsi="Arial" w:cs="Arial"/>
        </w:rPr>
        <w:t>.</w:t>
      </w:r>
    </w:p>
    <w:p w14:paraId="0B217783" w14:textId="77777777" w:rsidR="009A2D37" w:rsidRPr="0068695E" w:rsidRDefault="009A2D37" w:rsidP="0068695E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1DF2A413" w14:textId="77777777" w:rsidR="00883204" w:rsidRPr="0068695E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8695E">
        <w:rPr>
          <w:rFonts w:ascii="Arial" w:hAnsi="Arial" w:cs="Arial"/>
          <w:b/>
        </w:rPr>
        <w:t>Learning</w:t>
      </w:r>
      <w:r w:rsidR="00883204" w:rsidRPr="0068695E">
        <w:rPr>
          <w:rFonts w:ascii="Arial" w:hAnsi="Arial" w:cs="Arial"/>
          <w:b/>
        </w:rPr>
        <w:t xml:space="preserve"> and t</w:t>
      </w:r>
      <w:r w:rsidR="006F3F8B" w:rsidRPr="0068695E">
        <w:rPr>
          <w:rFonts w:ascii="Arial" w:hAnsi="Arial" w:cs="Arial"/>
          <w:b/>
        </w:rPr>
        <w:t>eaching m</w:t>
      </w:r>
      <w:r w:rsidRPr="0068695E">
        <w:rPr>
          <w:rFonts w:ascii="Arial" w:hAnsi="Arial" w:cs="Arial"/>
          <w:b/>
        </w:rPr>
        <w:t>ethods</w:t>
      </w:r>
    </w:p>
    <w:p w14:paraId="008D2B52" w14:textId="77777777" w:rsidR="009A2D37" w:rsidRPr="0068695E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8695E">
        <w:rPr>
          <w:rFonts w:ascii="Arial" w:hAnsi="Arial" w:cs="Arial"/>
          <w:i/>
          <w:iCs/>
        </w:rPr>
        <w:t>Total contact hours:</w:t>
      </w:r>
      <w:r w:rsidR="00451910" w:rsidRPr="0068695E">
        <w:rPr>
          <w:rFonts w:ascii="Arial" w:hAnsi="Arial" w:cs="Arial"/>
          <w:i/>
          <w:iCs/>
        </w:rPr>
        <w:t xml:space="preserve"> 36</w:t>
      </w:r>
    </w:p>
    <w:p w14:paraId="42C3A807" w14:textId="296119B9" w:rsidR="00C57028" w:rsidRPr="0068695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8695E">
        <w:rPr>
          <w:rFonts w:ascii="Arial" w:hAnsi="Arial" w:cs="Arial"/>
          <w:i/>
          <w:iCs/>
        </w:rPr>
        <w:t>Private study hours:</w:t>
      </w:r>
      <w:r w:rsidR="00501858" w:rsidRPr="0068695E">
        <w:rPr>
          <w:rFonts w:ascii="Arial" w:hAnsi="Arial" w:cs="Arial"/>
          <w:i/>
          <w:iCs/>
        </w:rPr>
        <w:t xml:space="preserve"> </w:t>
      </w:r>
      <w:r w:rsidR="00451910" w:rsidRPr="0068695E">
        <w:rPr>
          <w:rFonts w:ascii="Arial" w:hAnsi="Arial" w:cs="Arial"/>
          <w:i/>
          <w:iCs/>
        </w:rPr>
        <w:t>114</w:t>
      </w:r>
    </w:p>
    <w:p w14:paraId="6711FA12" w14:textId="77777777" w:rsidR="00C57028" w:rsidRPr="0068695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8695E">
        <w:rPr>
          <w:rFonts w:ascii="Arial" w:hAnsi="Arial" w:cs="Arial"/>
          <w:i/>
          <w:iCs/>
        </w:rPr>
        <w:t>Total study hours:</w:t>
      </w:r>
      <w:r w:rsidR="00451910" w:rsidRPr="0068695E">
        <w:rPr>
          <w:rFonts w:ascii="Arial" w:hAnsi="Arial" w:cs="Arial"/>
          <w:i/>
          <w:iCs/>
        </w:rPr>
        <w:t xml:space="preserve"> 150</w:t>
      </w:r>
    </w:p>
    <w:p w14:paraId="1688D004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9A0EFF7" w14:textId="77777777" w:rsidR="00883204" w:rsidRPr="0068695E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8695E">
        <w:rPr>
          <w:rFonts w:ascii="Arial" w:hAnsi="Arial" w:cs="Arial"/>
          <w:b/>
        </w:rPr>
        <w:t>Assessment methods</w:t>
      </w:r>
    </w:p>
    <w:p w14:paraId="4E228749" w14:textId="77777777" w:rsidR="00696FF5" w:rsidRPr="0068695E" w:rsidRDefault="00696FF5" w:rsidP="0068695E">
      <w:pPr>
        <w:pStyle w:val="ListParagraph"/>
        <w:numPr>
          <w:ilvl w:val="1"/>
          <w:numId w:val="9"/>
        </w:numPr>
        <w:spacing w:after="120"/>
        <w:ind w:left="1107" w:hanging="567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Main assessment methods</w:t>
      </w:r>
    </w:p>
    <w:p w14:paraId="1DACC9F9" w14:textId="32D98103" w:rsidR="00451910" w:rsidRPr="0068695E" w:rsidRDefault="00451910" w:rsidP="0068695E">
      <w:pPr>
        <w:spacing w:after="120"/>
        <w:ind w:left="1107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Project (</w:t>
      </w:r>
      <w:r w:rsidR="00742177" w:rsidRPr="0068695E">
        <w:rPr>
          <w:rFonts w:ascii="Arial" w:hAnsi="Arial" w:cs="Arial"/>
          <w:iCs/>
        </w:rPr>
        <w:t>20</w:t>
      </w:r>
      <w:r w:rsidRPr="0068695E">
        <w:rPr>
          <w:rFonts w:ascii="Arial" w:hAnsi="Arial" w:cs="Arial"/>
          <w:iCs/>
        </w:rPr>
        <w:t>00 words)</w:t>
      </w:r>
      <w:r w:rsidR="002A1EA0" w:rsidRPr="0068695E">
        <w:rPr>
          <w:rFonts w:ascii="Arial" w:hAnsi="Arial" w:cs="Arial"/>
          <w:iCs/>
        </w:rPr>
        <w:t xml:space="preserve">: </w:t>
      </w:r>
      <w:r w:rsidRPr="0068695E">
        <w:rPr>
          <w:rFonts w:ascii="Arial" w:hAnsi="Arial" w:cs="Arial"/>
          <w:iCs/>
        </w:rPr>
        <w:t>30%</w:t>
      </w:r>
    </w:p>
    <w:p w14:paraId="08CD0FC1" w14:textId="037D552A" w:rsidR="00451910" w:rsidRPr="0068695E" w:rsidRDefault="00451910" w:rsidP="0068695E">
      <w:pPr>
        <w:spacing w:after="120"/>
        <w:ind w:left="1107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In course Test (</w:t>
      </w:r>
      <w:r w:rsidR="002A1EA0" w:rsidRPr="0068695E">
        <w:rPr>
          <w:rFonts w:ascii="Arial" w:hAnsi="Arial" w:cs="Arial"/>
          <w:iCs/>
        </w:rPr>
        <w:t>60 minutes</w:t>
      </w:r>
      <w:r w:rsidRPr="0068695E">
        <w:rPr>
          <w:rFonts w:ascii="Arial" w:hAnsi="Arial" w:cs="Arial"/>
          <w:iCs/>
        </w:rPr>
        <w:t>)</w:t>
      </w:r>
      <w:r w:rsidR="002A1EA0" w:rsidRPr="0068695E">
        <w:rPr>
          <w:rFonts w:ascii="Arial" w:hAnsi="Arial" w:cs="Arial"/>
          <w:iCs/>
        </w:rPr>
        <w:t xml:space="preserve">: </w:t>
      </w:r>
      <w:r w:rsidRPr="0068695E">
        <w:rPr>
          <w:rFonts w:ascii="Arial" w:hAnsi="Arial" w:cs="Arial"/>
          <w:iCs/>
        </w:rPr>
        <w:t>10%</w:t>
      </w:r>
    </w:p>
    <w:p w14:paraId="3DE21EBA" w14:textId="533A6EB2" w:rsidR="00451910" w:rsidRPr="0068695E" w:rsidRDefault="00451910" w:rsidP="0068695E">
      <w:pPr>
        <w:spacing w:after="120"/>
        <w:ind w:left="1107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Examination</w:t>
      </w:r>
      <w:r w:rsidR="002A1EA0" w:rsidRPr="0068695E">
        <w:rPr>
          <w:rFonts w:ascii="Arial" w:hAnsi="Arial" w:cs="Arial"/>
          <w:iCs/>
        </w:rPr>
        <w:t xml:space="preserve"> (</w:t>
      </w:r>
      <w:r w:rsidRPr="0068695E">
        <w:rPr>
          <w:rFonts w:ascii="Arial" w:hAnsi="Arial" w:cs="Arial"/>
          <w:iCs/>
        </w:rPr>
        <w:t>2 hours</w:t>
      </w:r>
      <w:r w:rsidR="002A1EA0" w:rsidRPr="0068695E">
        <w:rPr>
          <w:rFonts w:ascii="Arial" w:hAnsi="Arial" w:cs="Arial"/>
          <w:iCs/>
        </w:rPr>
        <w:t xml:space="preserve">): </w:t>
      </w:r>
      <w:r w:rsidRPr="0068695E">
        <w:rPr>
          <w:rFonts w:ascii="Arial" w:hAnsi="Arial" w:cs="Arial"/>
          <w:iCs/>
        </w:rPr>
        <w:t>60%</w:t>
      </w:r>
    </w:p>
    <w:p w14:paraId="323C5AD1" w14:textId="77777777" w:rsidR="006043FC" w:rsidRPr="0068695E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074D73F" w14:textId="77777777" w:rsidR="00696FF5" w:rsidRPr="0068695E" w:rsidRDefault="00696FF5" w:rsidP="0068695E">
      <w:pPr>
        <w:spacing w:after="120"/>
        <w:ind w:left="1134" w:hanging="567"/>
        <w:rPr>
          <w:rFonts w:ascii="Arial" w:hAnsi="Arial" w:cs="Arial"/>
          <w:iCs/>
        </w:rPr>
      </w:pPr>
      <w:r w:rsidRPr="0068695E">
        <w:rPr>
          <w:rFonts w:ascii="Arial" w:hAnsi="Arial" w:cs="Arial"/>
          <w:iCs/>
        </w:rPr>
        <w:t>13.2</w:t>
      </w:r>
      <w:r w:rsidRPr="0068695E">
        <w:rPr>
          <w:rFonts w:ascii="Arial" w:hAnsi="Arial" w:cs="Arial"/>
          <w:iCs/>
        </w:rPr>
        <w:tab/>
        <w:t xml:space="preserve">Reassessment methods </w:t>
      </w:r>
    </w:p>
    <w:p w14:paraId="2D726521" w14:textId="419CB4EA" w:rsidR="00C57028" w:rsidRPr="0068695E" w:rsidRDefault="00451910" w:rsidP="0068695E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  <w:r w:rsidRPr="0068695E">
        <w:rPr>
          <w:rFonts w:ascii="Arial" w:hAnsi="Arial" w:cs="Arial"/>
          <w:i/>
          <w:iCs/>
        </w:rPr>
        <w:t>Reassessment Method: 100% exam</w:t>
      </w:r>
    </w:p>
    <w:p w14:paraId="189E6348" w14:textId="77777777" w:rsidR="00696FF5" w:rsidRPr="0068695E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E32A2F4" w14:textId="77777777" w:rsidR="00274ED7" w:rsidRPr="0068695E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68695E">
        <w:rPr>
          <w:rFonts w:ascii="Arial" w:hAnsi="Arial" w:cs="Arial"/>
          <w:b/>
          <w:i/>
          <w:iCs/>
        </w:rPr>
        <w:t xml:space="preserve">Map of </w:t>
      </w:r>
      <w:r w:rsidR="00883204" w:rsidRPr="0068695E">
        <w:rPr>
          <w:rFonts w:ascii="Arial" w:hAnsi="Arial" w:cs="Arial"/>
          <w:b/>
          <w:i/>
          <w:iCs/>
        </w:rPr>
        <w:t xml:space="preserve">module learning outcomes </w:t>
      </w:r>
      <w:r w:rsidR="00B30E07" w:rsidRPr="0068695E">
        <w:rPr>
          <w:rFonts w:ascii="Arial" w:hAnsi="Arial" w:cs="Arial"/>
          <w:b/>
          <w:i/>
          <w:iCs/>
        </w:rPr>
        <w:t>(sections 8 &amp; 9)</w:t>
      </w:r>
      <w:r w:rsidR="00883204" w:rsidRPr="0068695E">
        <w:rPr>
          <w:rFonts w:ascii="Arial" w:hAnsi="Arial" w:cs="Arial"/>
          <w:b/>
          <w:i/>
          <w:iCs/>
        </w:rPr>
        <w:t xml:space="preserve"> to l</w:t>
      </w:r>
      <w:r w:rsidRPr="0068695E">
        <w:rPr>
          <w:rFonts w:ascii="Arial" w:hAnsi="Arial" w:cs="Arial"/>
          <w:b/>
          <w:i/>
          <w:iCs/>
        </w:rPr>
        <w:t>earning</w:t>
      </w:r>
      <w:r w:rsidR="00B30E07" w:rsidRPr="0068695E">
        <w:rPr>
          <w:rFonts w:ascii="Arial" w:hAnsi="Arial" w:cs="Arial"/>
          <w:b/>
          <w:i/>
          <w:iCs/>
        </w:rPr>
        <w:t xml:space="preserve"> and </w:t>
      </w:r>
      <w:r w:rsidR="00883204" w:rsidRPr="0068695E">
        <w:rPr>
          <w:rFonts w:ascii="Arial" w:hAnsi="Arial" w:cs="Arial"/>
          <w:b/>
          <w:i/>
          <w:iCs/>
        </w:rPr>
        <w:t>teaching m</w:t>
      </w:r>
      <w:r w:rsidR="00B30E07" w:rsidRPr="0068695E">
        <w:rPr>
          <w:rFonts w:ascii="Arial" w:hAnsi="Arial" w:cs="Arial"/>
          <w:b/>
          <w:i/>
          <w:iCs/>
        </w:rPr>
        <w:t>ethods (section12</w:t>
      </w:r>
      <w:r w:rsidRPr="0068695E">
        <w:rPr>
          <w:rFonts w:ascii="Arial" w:hAnsi="Arial" w:cs="Arial"/>
          <w:b/>
          <w:i/>
          <w:iCs/>
        </w:rPr>
        <w:t>) and m</w:t>
      </w:r>
      <w:r w:rsidR="00883204" w:rsidRPr="0068695E">
        <w:rPr>
          <w:rFonts w:ascii="Arial" w:hAnsi="Arial" w:cs="Arial"/>
          <w:b/>
          <w:i/>
          <w:iCs/>
        </w:rPr>
        <w:t>ethods of a</w:t>
      </w:r>
      <w:r w:rsidR="00B30E07" w:rsidRPr="0068695E">
        <w:rPr>
          <w:rFonts w:ascii="Arial" w:hAnsi="Arial" w:cs="Arial"/>
          <w:b/>
          <w:i/>
          <w:iCs/>
        </w:rPr>
        <w:t>ssessment (section 13</w:t>
      </w:r>
      <w:r w:rsidR="00EF4933" w:rsidRPr="0068695E">
        <w:rPr>
          <w:rFonts w:ascii="Arial" w:hAnsi="Arial" w:cs="Arial"/>
          <w:b/>
          <w:i/>
          <w:iCs/>
        </w:rPr>
        <w:t>)</w:t>
      </w:r>
    </w:p>
    <w:p w14:paraId="47A2162C" w14:textId="77777777" w:rsidR="00C57028" w:rsidRPr="0068695E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3751" w:type="pct"/>
        <w:jc w:val="center"/>
        <w:tblLayout w:type="fixed"/>
        <w:tblLook w:val="04A0" w:firstRow="1" w:lastRow="0" w:firstColumn="1" w:lastColumn="0" w:noHBand="0" w:noVBand="1"/>
      </w:tblPr>
      <w:tblGrid>
        <w:gridCol w:w="3264"/>
        <w:gridCol w:w="655"/>
        <w:gridCol w:w="655"/>
        <w:gridCol w:w="654"/>
        <w:gridCol w:w="654"/>
        <w:gridCol w:w="654"/>
        <w:gridCol w:w="654"/>
        <w:gridCol w:w="654"/>
      </w:tblGrid>
      <w:tr w:rsidR="0027334F" w:rsidRPr="0068695E" w14:paraId="6009CD0D" w14:textId="77777777" w:rsidTr="0068695E">
        <w:trPr>
          <w:jc w:val="center"/>
        </w:trPr>
        <w:tc>
          <w:tcPr>
            <w:tcW w:w="2080" w:type="pct"/>
            <w:shd w:val="clear" w:color="auto" w:fill="D9D9D9" w:themeFill="background1" w:themeFillShade="D9"/>
          </w:tcPr>
          <w:p w14:paraId="19C2A3DB" w14:textId="77777777" w:rsidR="0027334F" w:rsidRPr="0068695E" w:rsidRDefault="0027334F" w:rsidP="00A335D8">
            <w:pPr>
              <w:spacing w:after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  <w:p w14:paraId="30398448" w14:textId="77777777" w:rsidR="0027334F" w:rsidRPr="0068695E" w:rsidRDefault="0027334F" w:rsidP="00A335D8">
            <w:pPr>
              <w:spacing w:after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41000CB1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17" w:type="pct"/>
          </w:tcPr>
          <w:p w14:paraId="39F3CA14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17" w:type="pct"/>
          </w:tcPr>
          <w:p w14:paraId="589C2AB2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417" w:type="pct"/>
          </w:tcPr>
          <w:p w14:paraId="7A1EC8CD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417" w:type="pct"/>
          </w:tcPr>
          <w:p w14:paraId="20F5EEAD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417" w:type="pct"/>
          </w:tcPr>
          <w:p w14:paraId="15D21846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417" w:type="pct"/>
          </w:tcPr>
          <w:p w14:paraId="37F9FC76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</w:tr>
      <w:tr w:rsidR="0027334F" w:rsidRPr="0068695E" w14:paraId="4AC2FE63" w14:textId="77777777" w:rsidTr="0068695E">
        <w:trPr>
          <w:jc w:val="center"/>
        </w:trPr>
        <w:tc>
          <w:tcPr>
            <w:tcW w:w="2080" w:type="pct"/>
            <w:shd w:val="clear" w:color="auto" w:fill="D9D9D9" w:themeFill="background1" w:themeFillShade="D9"/>
          </w:tcPr>
          <w:p w14:paraId="730C5F69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Learning/ teaching method</w:t>
            </w:r>
          </w:p>
        </w:tc>
        <w:tc>
          <w:tcPr>
            <w:tcW w:w="417" w:type="pct"/>
          </w:tcPr>
          <w:p w14:paraId="0D272F4B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334E0D3D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545EB174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4FCA963E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12CA7465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7BE008ED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14:paraId="5CC35BD0" w14:textId="77777777" w:rsidR="0027334F" w:rsidRPr="0068695E" w:rsidRDefault="0027334F" w:rsidP="00A335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4F" w:rsidRPr="0068695E" w14:paraId="7E296E4D" w14:textId="77777777" w:rsidTr="0068695E">
        <w:trPr>
          <w:jc w:val="center"/>
        </w:trPr>
        <w:tc>
          <w:tcPr>
            <w:tcW w:w="2080" w:type="pct"/>
            <w:vAlign w:val="center"/>
          </w:tcPr>
          <w:p w14:paraId="35A5EFA9" w14:textId="77777777" w:rsidR="0027334F" w:rsidRPr="0068695E" w:rsidRDefault="0027334F" w:rsidP="00E15B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417" w:type="pct"/>
            <w:vAlign w:val="center"/>
          </w:tcPr>
          <w:p w14:paraId="13BFB696" w14:textId="33D54901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CCC47FF" w14:textId="185E7698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03F2E1A0" w14:textId="2E1B1B3E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7C65E64" w14:textId="7AF866C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BAC8F8E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360C2B47" w14:textId="13FA87E3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0BE523D4" w14:textId="268BDE06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4F" w:rsidRPr="0068695E" w14:paraId="293F5FB7" w14:textId="77777777" w:rsidTr="0068695E">
        <w:trPr>
          <w:jc w:val="center"/>
        </w:trPr>
        <w:tc>
          <w:tcPr>
            <w:tcW w:w="2080" w:type="pct"/>
            <w:vAlign w:val="center"/>
          </w:tcPr>
          <w:p w14:paraId="16798041" w14:textId="77777777" w:rsidR="0027334F" w:rsidRPr="0068695E" w:rsidRDefault="0027334F" w:rsidP="00E15B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417" w:type="pct"/>
            <w:vAlign w:val="center"/>
          </w:tcPr>
          <w:p w14:paraId="1FB4D319" w14:textId="5ED15E3A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771334AE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6D8E5CE" w14:textId="6548C168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9F4ED92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2F9C3E86" w14:textId="0D3BC677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18176F20" w14:textId="49398325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560EED4C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7334F" w:rsidRPr="0068695E" w14:paraId="784203DE" w14:textId="77777777" w:rsidTr="0068695E">
        <w:trPr>
          <w:jc w:val="center"/>
        </w:trPr>
        <w:tc>
          <w:tcPr>
            <w:tcW w:w="2080" w:type="pct"/>
            <w:vAlign w:val="center"/>
          </w:tcPr>
          <w:p w14:paraId="2B93446A" w14:textId="77777777" w:rsidR="0027334F" w:rsidRPr="0068695E" w:rsidRDefault="0027334F" w:rsidP="00E15B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Independent  Study</w:t>
            </w:r>
          </w:p>
        </w:tc>
        <w:tc>
          <w:tcPr>
            <w:tcW w:w="417" w:type="pct"/>
            <w:vAlign w:val="center"/>
          </w:tcPr>
          <w:p w14:paraId="603926B0" w14:textId="2118ACF1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0B8E253A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6736DC23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EA82227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52CE0277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44417761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1E8DB083" w14:textId="4AAF532C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4F" w:rsidRPr="0068695E" w14:paraId="5231700E" w14:textId="77777777" w:rsidTr="0068695E">
        <w:trPr>
          <w:jc w:val="center"/>
        </w:trPr>
        <w:tc>
          <w:tcPr>
            <w:tcW w:w="2080" w:type="pct"/>
            <w:shd w:val="clear" w:color="auto" w:fill="D9D9D9" w:themeFill="background1" w:themeFillShade="D9"/>
          </w:tcPr>
          <w:p w14:paraId="179B5DCD" w14:textId="77777777" w:rsidR="0027334F" w:rsidRPr="0068695E" w:rsidRDefault="0027334F" w:rsidP="00E15BD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17" w:type="pct"/>
            <w:vAlign w:val="center"/>
          </w:tcPr>
          <w:p w14:paraId="0E6F3E12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CACE605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0013178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8D3B8C2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3D1C607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01A6E23F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A424D58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4F" w:rsidRPr="0068695E" w14:paraId="28C57715" w14:textId="77777777" w:rsidTr="0068695E">
        <w:trPr>
          <w:jc w:val="center"/>
        </w:trPr>
        <w:tc>
          <w:tcPr>
            <w:tcW w:w="2080" w:type="pct"/>
            <w:vAlign w:val="center"/>
          </w:tcPr>
          <w:p w14:paraId="4DA49896" w14:textId="77777777" w:rsidR="0027334F" w:rsidRPr="0068695E" w:rsidRDefault="0027334F" w:rsidP="00E15B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>In-Couse Test</w:t>
            </w:r>
          </w:p>
        </w:tc>
        <w:tc>
          <w:tcPr>
            <w:tcW w:w="417" w:type="pct"/>
            <w:vAlign w:val="center"/>
          </w:tcPr>
          <w:p w14:paraId="163F5D0C" w14:textId="531D1D6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7E15640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AB69444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0962C554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615E535F" w14:textId="1EFDE55E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AB160DD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01DDFA12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7334F" w:rsidRPr="0068695E" w14:paraId="6B3948E2" w14:textId="77777777" w:rsidTr="0068695E">
        <w:trPr>
          <w:jc w:val="center"/>
        </w:trPr>
        <w:tc>
          <w:tcPr>
            <w:tcW w:w="2080" w:type="pct"/>
            <w:vAlign w:val="center"/>
          </w:tcPr>
          <w:p w14:paraId="3A763347" w14:textId="0D54FEAC" w:rsidR="0027334F" w:rsidRPr="0068695E" w:rsidRDefault="0027334F" w:rsidP="00E15B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695E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417" w:type="pct"/>
            <w:vAlign w:val="center"/>
          </w:tcPr>
          <w:p w14:paraId="22F35797" w14:textId="10BAD6D1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6C740C7A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3B0F8F3E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5EF71F27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2FE8ED81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15EC4B01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25061060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7334F" w:rsidRPr="0068695E" w14:paraId="636BE6D1" w14:textId="77777777" w:rsidTr="0068695E">
        <w:trPr>
          <w:jc w:val="center"/>
        </w:trPr>
        <w:tc>
          <w:tcPr>
            <w:tcW w:w="2080" w:type="pct"/>
            <w:vAlign w:val="center"/>
          </w:tcPr>
          <w:p w14:paraId="0FAE069B" w14:textId="5B6D57D1" w:rsidR="0027334F" w:rsidRPr="0068695E" w:rsidRDefault="0027334F" w:rsidP="00E15BD1">
            <w:pPr>
              <w:spacing w:after="120"/>
              <w:rPr>
                <w:rFonts w:ascii="Arial" w:hAnsi="Arial" w:cs="Arial"/>
              </w:rPr>
            </w:pPr>
            <w:r w:rsidRPr="0068695E">
              <w:rPr>
                <w:rFonts w:ascii="Arial" w:hAnsi="Arial" w:cs="Arial"/>
              </w:rPr>
              <w:t>Exam</w:t>
            </w:r>
          </w:p>
        </w:tc>
        <w:tc>
          <w:tcPr>
            <w:tcW w:w="417" w:type="pct"/>
            <w:vAlign w:val="center"/>
          </w:tcPr>
          <w:p w14:paraId="136D9D8D" w14:textId="0CCEDDFF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6F41F5D3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5080840E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6D56F635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8695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center"/>
          </w:tcPr>
          <w:p w14:paraId="6F758F55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0C08A43F" w14:textId="7C6CB2B8" w:rsidR="0027334F" w:rsidRPr="0068695E" w:rsidRDefault="0037477E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8695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7" w:type="pct"/>
            <w:vAlign w:val="center"/>
          </w:tcPr>
          <w:p w14:paraId="4291BBCF" w14:textId="77777777" w:rsidR="0027334F" w:rsidRPr="0068695E" w:rsidRDefault="0027334F" w:rsidP="00E15BD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8695E">
              <w:rPr>
                <w:rFonts w:ascii="Arial" w:hAnsi="Arial" w:cs="Arial"/>
                <w:b/>
              </w:rPr>
              <w:t>x</w:t>
            </w:r>
          </w:p>
        </w:tc>
      </w:tr>
    </w:tbl>
    <w:p w14:paraId="3D82D078" w14:textId="77777777" w:rsidR="007A6245" w:rsidRPr="0068695E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E845EB0" w14:textId="77777777" w:rsidR="00883204" w:rsidRPr="0068695E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68695E">
        <w:rPr>
          <w:rFonts w:ascii="Arial" w:hAnsi="Arial" w:cs="Arial"/>
          <w:b/>
          <w:bCs/>
        </w:rPr>
        <w:t xml:space="preserve">Inclusive module design </w:t>
      </w:r>
    </w:p>
    <w:p w14:paraId="173170A3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</w:rPr>
      </w:pPr>
      <w:proofErr w:type="gramStart"/>
      <w:r w:rsidRPr="0068695E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68695E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68695E">
        <w:rPr>
          <w:rFonts w:ascii="Arial" w:hAnsi="Arial" w:cs="Arial"/>
        </w:rPr>
        <w:t>will be made</w:t>
      </w:r>
      <w:proofErr w:type="gramEnd"/>
      <w:r w:rsidRPr="0068695E">
        <w:rPr>
          <w:rFonts w:ascii="Arial" w:hAnsi="Arial" w:cs="Arial"/>
        </w:rPr>
        <w:t xml:space="preserve"> on an individual basis, in consultation with the relevant policies and support services.</w:t>
      </w:r>
    </w:p>
    <w:p w14:paraId="5EBAE9DD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</w:rPr>
      </w:pPr>
    </w:p>
    <w:p w14:paraId="43AABC85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</w:rPr>
      </w:pPr>
      <w:r w:rsidRPr="0068695E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8695E">
        <w:rPr>
          <w:rFonts w:ascii="Arial" w:hAnsi="Arial" w:cs="Arial"/>
        </w:rPr>
        <w:t>have been considered</w:t>
      </w:r>
      <w:proofErr w:type="gramEnd"/>
      <w:r w:rsidRPr="0068695E">
        <w:rPr>
          <w:rFonts w:ascii="Arial" w:hAnsi="Arial" w:cs="Arial"/>
        </w:rPr>
        <w:t xml:space="preserve"> in order to support all students in the following areas:</w:t>
      </w:r>
    </w:p>
    <w:p w14:paraId="080F101D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</w:rPr>
      </w:pPr>
    </w:p>
    <w:p w14:paraId="44E9DB30" w14:textId="77777777" w:rsidR="00766077" w:rsidRPr="0068695E" w:rsidRDefault="00766077" w:rsidP="007660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  <w:bCs/>
        </w:rPr>
      </w:pPr>
      <w:r w:rsidRPr="0068695E">
        <w:rPr>
          <w:rFonts w:ascii="Arial" w:hAnsi="Arial" w:cs="Arial"/>
          <w:bCs/>
        </w:rPr>
        <w:t>Accessible resources and curriculum</w:t>
      </w:r>
    </w:p>
    <w:p w14:paraId="5A8A922F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left="1080" w:right="260"/>
        <w:jc w:val="both"/>
        <w:rPr>
          <w:rFonts w:ascii="Arial" w:hAnsi="Arial" w:cs="Arial"/>
          <w:bCs/>
        </w:rPr>
      </w:pPr>
    </w:p>
    <w:p w14:paraId="1116F56F" w14:textId="77777777" w:rsidR="00766077" w:rsidRPr="0068695E" w:rsidRDefault="00766077" w:rsidP="00766077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  <w:color w:val="000000"/>
        </w:rPr>
      </w:pPr>
      <w:r w:rsidRPr="0068695E">
        <w:rPr>
          <w:rFonts w:ascii="Arial" w:hAnsi="Arial" w:cs="Arial"/>
        </w:rPr>
        <w:t xml:space="preserve">b)   </w:t>
      </w:r>
      <w:r w:rsidRPr="0068695E">
        <w:rPr>
          <w:rFonts w:ascii="Arial" w:hAnsi="Arial" w:cs="Arial"/>
          <w:bCs/>
        </w:rPr>
        <w:t>Learning, teaching and assessment methods</w:t>
      </w:r>
    </w:p>
    <w:p w14:paraId="38D26D6E" w14:textId="77777777" w:rsidR="00096DA4" w:rsidRPr="0068695E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BBCE116" w14:textId="77777777" w:rsidR="009A2D37" w:rsidRPr="0068695E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>Campus(</w:t>
      </w:r>
      <w:proofErr w:type="spellStart"/>
      <w:r w:rsidRPr="0068695E">
        <w:rPr>
          <w:rFonts w:ascii="Arial" w:hAnsi="Arial" w:cs="Arial"/>
          <w:b/>
        </w:rPr>
        <w:t>es</w:t>
      </w:r>
      <w:proofErr w:type="spellEnd"/>
      <w:r w:rsidRPr="0068695E">
        <w:rPr>
          <w:rFonts w:ascii="Arial" w:hAnsi="Arial" w:cs="Arial"/>
          <w:b/>
        </w:rPr>
        <w:t>) or c</w:t>
      </w:r>
      <w:r w:rsidR="009A2D37" w:rsidRPr="0068695E">
        <w:rPr>
          <w:rFonts w:ascii="Arial" w:hAnsi="Arial" w:cs="Arial"/>
          <w:b/>
        </w:rPr>
        <w:t>entre(s)</w:t>
      </w:r>
      <w:r w:rsidRPr="0068695E">
        <w:rPr>
          <w:rFonts w:ascii="Arial" w:hAnsi="Arial" w:cs="Arial"/>
          <w:b/>
        </w:rPr>
        <w:t xml:space="preserve"> where module will be delivered</w:t>
      </w:r>
    </w:p>
    <w:p w14:paraId="1813F7D0" w14:textId="77777777" w:rsidR="009A2D37" w:rsidRPr="0068695E" w:rsidRDefault="00E07BB0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</w:rPr>
        <w:t>Canterbury</w:t>
      </w:r>
    </w:p>
    <w:p w14:paraId="5116B2EA" w14:textId="77777777" w:rsidR="009A2D37" w:rsidRPr="0068695E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EDA985E" w14:textId="77777777" w:rsidR="00883204" w:rsidRPr="0068695E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68695E">
        <w:rPr>
          <w:rFonts w:ascii="Arial" w:hAnsi="Arial" w:cs="Arial"/>
          <w:b/>
        </w:rPr>
        <w:t xml:space="preserve">Internationalisation </w:t>
      </w:r>
    </w:p>
    <w:p w14:paraId="492C1130" w14:textId="23755C5D" w:rsidR="00E07BB0" w:rsidRPr="0068695E" w:rsidRDefault="00E07BB0" w:rsidP="0068695E">
      <w:pPr>
        <w:pStyle w:val="ListParagraph"/>
        <w:spacing w:after="120" w:line="240" w:lineRule="auto"/>
        <w:ind w:left="540" w:right="261"/>
        <w:rPr>
          <w:rFonts w:ascii="Arial" w:hAnsi="Arial" w:cs="Arial"/>
        </w:rPr>
      </w:pPr>
      <w:r w:rsidRPr="0068695E">
        <w:rPr>
          <w:rFonts w:ascii="Arial" w:hAnsi="Arial" w:cs="Arial"/>
        </w:rPr>
        <w:t xml:space="preserve">The subject content of the module focuses primarily on UK policy design but the underlying issues considered apply in an international context and relevant comparisons </w:t>
      </w:r>
      <w:proofErr w:type="gramStart"/>
      <w:r w:rsidRPr="0068695E">
        <w:rPr>
          <w:rFonts w:ascii="Arial" w:hAnsi="Arial" w:cs="Arial"/>
        </w:rPr>
        <w:t>will be drawn upon</w:t>
      </w:r>
      <w:proofErr w:type="gramEnd"/>
      <w:r w:rsidRPr="0068695E">
        <w:rPr>
          <w:rFonts w:ascii="Arial" w:hAnsi="Arial" w:cs="Arial"/>
        </w:rPr>
        <w:t xml:space="preserve"> across each topic area</w:t>
      </w:r>
      <w:r w:rsidR="00451910" w:rsidRPr="0068695E">
        <w:rPr>
          <w:rFonts w:ascii="Arial" w:hAnsi="Arial" w:cs="Arial"/>
        </w:rPr>
        <w:t>.</w:t>
      </w:r>
    </w:p>
    <w:p w14:paraId="3A9C453D" w14:textId="77777777" w:rsidR="00922E9E" w:rsidRPr="0068695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8191718" w14:textId="77777777" w:rsidR="00641D6D" w:rsidRPr="0068695E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597B6B5" w14:textId="77777777" w:rsidR="00441E76" w:rsidRPr="0068695E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68695E">
        <w:rPr>
          <w:rFonts w:ascii="Arial" w:hAnsi="Arial" w:cs="Arial"/>
          <w:b/>
          <w:sz w:val="20"/>
        </w:rPr>
        <w:t>FACULTIES SUPPORT OFFICE</w:t>
      </w:r>
      <w:r w:rsidR="00441E76" w:rsidRPr="0068695E">
        <w:rPr>
          <w:rFonts w:ascii="Arial" w:hAnsi="Arial" w:cs="Arial"/>
          <w:b/>
          <w:sz w:val="20"/>
        </w:rPr>
        <w:t xml:space="preserve"> USE ONLY</w:t>
      </w:r>
      <w:r w:rsidR="00C612A8" w:rsidRPr="0068695E">
        <w:rPr>
          <w:rFonts w:ascii="Arial" w:hAnsi="Arial" w:cs="Arial"/>
          <w:b/>
          <w:sz w:val="20"/>
        </w:rPr>
        <w:t xml:space="preserve"> </w:t>
      </w:r>
    </w:p>
    <w:p w14:paraId="78490010" w14:textId="77777777" w:rsidR="00D83563" w:rsidRPr="0068695E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68695E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3945C80" w14:textId="77777777" w:rsidR="00422B69" w:rsidRPr="0068695E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68695E" w14:paraId="58FCEB05" w14:textId="77777777" w:rsidTr="00694309">
        <w:trPr>
          <w:trHeight w:val="317"/>
        </w:trPr>
        <w:tc>
          <w:tcPr>
            <w:tcW w:w="1526" w:type="dxa"/>
          </w:tcPr>
          <w:p w14:paraId="0DAD698E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68695E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0B711E6" w14:textId="77777777" w:rsidR="00422B69" w:rsidRPr="0068695E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68695E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A368FEE" w14:textId="77777777" w:rsidR="00422B69" w:rsidRPr="0068695E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68695E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A3C5C1A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68695E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8A62597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68695E">
              <w:rPr>
                <w:rFonts w:ascii="Arial" w:hAnsi="Arial" w:cs="Arial"/>
                <w:sz w:val="18"/>
              </w:rPr>
              <w:t>Impacts PLOs</w:t>
            </w:r>
            <w:r w:rsidR="00694309" w:rsidRPr="0068695E">
              <w:rPr>
                <w:rFonts w:ascii="Arial" w:hAnsi="Arial" w:cs="Arial"/>
                <w:sz w:val="18"/>
              </w:rPr>
              <w:t xml:space="preserve"> (</w:t>
            </w:r>
            <w:r w:rsidR="001A425B" w:rsidRPr="0068695E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68695E" w14:paraId="53C5EB3D" w14:textId="77777777" w:rsidTr="00694309">
        <w:trPr>
          <w:trHeight w:val="305"/>
        </w:trPr>
        <w:tc>
          <w:tcPr>
            <w:tcW w:w="1526" w:type="dxa"/>
          </w:tcPr>
          <w:p w14:paraId="79D0FE7F" w14:textId="6167AFE7" w:rsidR="00422B69" w:rsidRPr="0068695E" w:rsidRDefault="0068695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20/06/2018</w:t>
            </w:r>
          </w:p>
        </w:tc>
        <w:tc>
          <w:tcPr>
            <w:tcW w:w="1701" w:type="dxa"/>
          </w:tcPr>
          <w:p w14:paraId="61C04C9D" w14:textId="0FE358F1" w:rsidR="00422B69" w:rsidRPr="0068695E" w:rsidRDefault="0068695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29481441" w14:textId="5D456B98" w:rsidR="00422B69" w:rsidRPr="0068695E" w:rsidRDefault="0068695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D3DC6B2" w14:textId="78E53C4B" w:rsidR="00422B69" w:rsidRPr="0068695E" w:rsidRDefault="0068695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7, 8, 9, 14</w:t>
            </w:r>
          </w:p>
        </w:tc>
        <w:tc>
          <w:tcPr>
            <w:tcW w:w="2597" w:type="dxa"/>
          </w:tcPr>
          <w:p w14:paraId="55FC86A2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68695E" w14:paraId="22CA0CAD" w14:textId="77777777" w:rsidTr="00694309">
        <w:trPr>
          <w:trHeight w:val="305"/>
        </w:trPr>
        <w:tc>
          <w:tcPr>
            <w:tcW w:w="1526" w:type="dxa"/>
          </w:tcPr>
          <w:p w14:paraId="6ADE5CB2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971B30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FAEA77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F018B9B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95591E0" w14:textId="77777777" w:rsidR="00422B69" w:rsidRPr="0068695E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C551B92" w14:textId="77777777" w:rsidR="00D83563" w:rsidRPr="0068695E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280F77E6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68695E"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CB83" w14:textId="77777777" w:rsidR="00D7629F" w:rsidRDefault="00D7629F" w:rsidP="009A2D37">
      <w:pPr>
        <w:spacing w:after="0" w:line="240" w:lineRule="auto"/>
      </w:pPr>
      <w:r>
        <w:separator/>
      </w:r>
    </w:p>
  </w:endnote>
  <w:endnote w:type="continuationSeparator" w:id="0">
    <w:p w14:paraId="25EF639B" w14:textId="77777777" w:rsidR="00D7629F" w:rsidRDefault="00D7629F" w:rsidP="009A2D37">
      <w:pPr>
        <w:spacing w:after="0" w:line="240" w:lineRule="auto"/>
      </w:pPr>
      <w:r>
        <w:continuationSeparator/>
      </w:r>
    </w:p>
  </w:endnote>
  <w:endnote w:type="continuationNotice" w:id="1">
    <w:p w14:paraId="30505F29" w14:textId="77777777" w:rsidR="00D7629F" w:rsidRDefault="00D76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7A78398" w14:textId="210AB97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70338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99B8" w14:textId="77777777" w:rsidR="00D7629F" w:rsidRDefault="00D7629F" w:rsidP="009A2D37">
      <w:pPr>
        <w:spacing w:after="0" w:line="240" w:lineRule="auto"/>
      </w:pPr>
      <w:r>
        <w:separator/>
      </w:r>
    </w:p>
  </w:footnote>
  <w:footnote w:type="continuationSeparator" w:id="0">
    <w:p w14:paraId="67B2E491" w14:textId="77777777" w:rsidR="00D7629F" w:rsidRDefault="00D7629F" w:rsidP="009A2D37">
      <w:pPr>
        <w:spacing w:after="0" w:line="240" w:lineRule="auto"/>
      </w:pPr>
      <w:r>
        <w:continuationSeparator/>
      </w:r>
    </w:p>
  </w:footnote>
  <w:footnote w:type="continuationNotice" w:id="1">
    <w:p w14:paraId="35655F9D" w14:textId="77777777" w:rsidR="00D7629F" w:rsidRDefault="00D76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627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F42A870" wp14:editId="3B44E05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6AA6EB6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3662E6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D23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EB1EF" wp14:editId="37DCF93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6A43FB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2E5A75"/>
    <w:multiLevelType w:val="multilevel"/>
    <w:tmpl w:val="E7AE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C8078C"/>
    <w:multiLevelType w:val="hybridMultilevel"/>
    <w:tmpl w:val="5A06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D5D"/>
    <w:multiLevelType w:val="hybridMultilevel"/>
    <w:tmpl w:val="C6D684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4E52CC"/>
    <w:multiLevelType w:val="hybridMultilevel"/>
    <w:tmpl w:val="4DFAF0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5B0158"/>
    <w:multiLevelType w:val="hybridMultilevel"/>
    <w:tmpl w:val="3F8C2726"/>
    <w:lvl w:ilvl="0" w:tplc="58A084B2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8E67A0"/>
    <w:multiLevelType w:val="hybridMultilevel"/>
    <w:tmpl w:val="4DA667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5D7679"/>
    <w:multiLevelType w:val="hybridMultilevel"/>
    <w:tmpl w:val="4836AFB6"/>
    <w:lvl w:ilvl="0" w:tplc="FFF0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C16BE"/>
    <w:multiLevelType w:val="multilevel"/>
    <w:tmpl w:val="64AC8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7"/>
    <w:rsid w:val="00000C8C"/>
    <w:rsid w:val="000017F2"/>
    <w:rsid w:val="00001853"/>
    <w:rsid w:val="0000456B"/>
    <w:rsid w:val="00005661"/>
    <w:rsid w:val="00005B2D"/>
    <w:rsid w:val="00010A16"/>
    <w:rsid w:val="0001243F"/>
    <w:rsid w:val="00021EA0"/>
    <w:rsid w:val="00025992"/>
    <w:rsid w:val="00027937"/>
    <w:rsid w:val="00030C9E"/>
    <w:rsid w:val="00031E67"/>
    <w:rsid w:val="000408CC"/>
    <w:rsid w:val="000450E8"/>
    <w:rsid w:val="00045373"/>
    <w:rsid w:val="00063A2F"/>
    <w:rsid w:val="000678D3"/>
    <w:rsid w:val="00093C95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2323"/>
    <w:rsid w:val="00117577"/>
    <w:rsid w:val="00117793"/>
    <w:rsid w:val="001206D6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3057"/>
    <w:rsid w:val="00173B2A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15C01"/>
    <w:rsid w:val="00227582"/>
    <w:rsid w:val="002308BE"/>
    <w:rsid w:val="002407C0"/>
    <w:rsid w:val="002461AF"/>
    <w:rsid w:val="002465A1"/>
    <w:rsid w:val="00264576"/>
    <w:rsid w:val="0026585A"/>
    <w:rsid w:val="00266735"/>
    <w:rsid w:val="0027334F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1EA0"/>
    <w:rsid w:val="002A219B"/>
    <w:rsid w:val="002A22DB"/>
    <w:rsid w:val="002B20F5"/>
    <w:rsid w:val="002B2A1A"/>
    <w:rsid w:val="002B71F2"/>
    <w:rsid w:val="002D4189"/>
    <w:rsid w:val="002E71C0"/>
    <w:rsid w:val="002F05F4"/>
    <w:rsid w:val="002F0CE4"/>
    <w:rsid w:val="002F23EF"/>
    <w:rsid w:val="002F2626"/>
    <w:rsid w:val="00302082"/>
    <w:rsid w:val="00306620"/>
    <w:rsid w:val="003213FE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77E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0852"/>
    <w:rsid w:val="003B35F4"/>
    <w:rsid w:val="003B4FC5"/>
    <w:rsid w:val="003B7C76"/>
    <w:rsid w:val="003C3E0C"/>
    <w:rsid w:val="003C776B"/>
    <w:rsid w:val="003D063D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70FF"/>
    <w:rsid w:val="004344D4"/>
    <w:rsid w:val="00436BE9"/>
    <w:rsid w:val="00441E76"/>
    <w:rsid w:val="004443DA"/>
    <w:rsid w:val="00446A75"/>
    <w:rsid w:val="004474A2"/>
    <w:rsid w:val="00451706"/>
    <w:rsid w:val="00451910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231A"/>
    <w:rsid w:val="004D035C"/>
    <w:rsid w:val="004F3C18"/>
    <w:rsid w:val="004F4328"/>
    <w:rsid w:val="005005E4"/>
    <w:rsid w:val="00501858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64F7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0BE3"/>
    <w:rsid w:val="0066747B"/>
    <w:rsid w:val="006725EC"/>
    <w:rsid w:val="00674ED0"/>
    <w:rsid w:val="00682650"/>
    <w:rsid w:val="00683609"/>
    <w:rsid w:val="00684851"/>
    <w:rsid w:val="0068695E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461E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2274"/>
    <w:rsid w:val="00724362"/>
    <w:rsid w:val="00727780"/>
    <w:rsid w:val="007344DD"/>
    <w:rsid w:val="0073792C"/>
    <w:rsid w:val="00742177"/>
    <w:rsid w:val="00754069"/>
    <w:rsid w:val="00766077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E46DB"/>
    <w:rsid w:val="007F393D"/>
    <w:rsid w:val="008029AF"/>
    <w:rsid w:val="00802FFA"/>
    <w:rsid w:val="008102E5"/>
    <w:rsid w:val="008111B4"/>
    <w:rsid w:val="008133F0"/>
    <w:rsid w:val="00815880"/>
    <w:rsid w:val="00822C5A"/>
    <w:rsid w:val="0082322C"/>
    <w:rsid w:val="00823942"/>
    <w:rsid w:val="00827FFD"/>
    <w:rsid w:val="0083074C"/>
    <w:rsid w:val="008334CF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49CE"/>
    <w:rsid w:val="00987DB4"/>
    <w:rsid w:val="0099029D"/>
    <w:rsid w:val="00996152"/>
    <w:rsid w:val="00996204"/>
    <w:rsid w:val="009A26CB"/>
    <w:rsid w:val="009A2BC2"/>
    <w:rsid w:val="009A2D37"/>
    <w:rsid w:val="009A5CFD"/>
    <w:rsid w:val="009A7587"/>
    <w:rsid w:val="009B0A69"/>
    <w:rsid w:val="009C2474"/>
    <w:rsid w:val="009C7082"/>
    <w:rsid w:val="009D0006"/>
    <w:rsid w:val="009D068C"/>
    <w:rsid w:val="009D5428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A64F1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E6AFC"/>
    <w:rsid w:val="00BF51AB"/>
    <w:rsid w:val="00BF716B"/>
    <w:rsid w:val="00BF7233"/>
    <w:rsid w:val="00C02AA2"/>
    <w:rsid w:val="00C04407"/>
    <w:rsid w:val="00C04C95"/>
    <w:rsid w:val="00C12613"/>
    <w:rsid w:val="00C16DEF"/>
    <w:rsid w:val="00C2492F"/>
    <w:rsid w:val="00C26B9D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629F"/>
    <w:rsid w:val="00D773CF"/>
    <w:rsid w:val="00D83563"/>
    <w:rsid w:val="00D8448F"/>
    <w:rsid w:val="00D91E05"/>
    <w:rsid w:val="00DA64B6"/>
    <w:rsid w:val="00DB5C9D"/>
    <w:rsid w:val="00DD02E6"/>
    <w:rsid w:val="00DE6CBA"/>
    <w:rsid w:val="00DF1D47"/>
    <w:rsid w:val="00DF665B"/>
    <w:rsid w:val="00E0152A"/>
    <w:rsid w:val="00E03394"/>
    <w:rsid w:val="00E066E5"/>
    <w:rsid w:val="00E07BB0"/>
    <w:rsid w:val="00E15BD1"/>
    <w:rsid w:val="00E22F03"/>
    <w:rsid w:val="00E233C1"/>
    <w:rsid w:val="00E51404"/>
    <w:rsid w:val="00E574C9"/>
    <w:rsid w:val="00E609CF"/>
    <w:rsid w:val="00E610DE"/>
    <w:rsid w:val="00E66167"/>
    <w:rsid w:val="00E71F2F"/>
    <w:rsid w:val="00E73F3D"/>
    <w:rsid w:val="00E77786"/>
    <w:rsid w:val="00E806FB"/>
    <w:rsid w:val="00EB07C9"/>
    <w:rsid w:val="00EB1C2D"/>
    <w:rsid w:val="00EC1810"/>
    <w:rsid w:val="00EC3897"/>
    <w:rsid w:val="00EC3FCC"/>
    <w:rsid w:val="00ED32FF"/>
    <w:rsid w:val="00EE762F"/>
    <w:rsid w:val="00EF039B"/>
    <w:rsid w:val="00EF4933"/>
    <w:rsid w:val="00EF5044"/>
    <w:rsid w:val="00F01956"/>
    <w:rsid w:val="00F116CE"/>
    <w:rsid w:val="00F176DE"/>
    <w:rsid w:val="00F21C47"/>
    <w:rsid w:val="00F244E2"/>
    <w:rsid w:val="00F27383"/>
    <w:rsid w:val="00F340DE"/>
    <w:rsid w:val="00F43542"/>
    <w:rsid w:val="00F44BAB"/>
    <w:rsid w:val="00F527CB"/>
    <w:rsid w:val="00F562AA"/>
    <w:rsid w:val="00F6166C"/>
    <w:rsid w:val="00F663D6"/>
    <w:rsid w:val="00F66975"/>
    <w:rsid w:val="00F704FB"/>
    <w:rsid w:val="00F7105A"/>
    <w:rsid w:val="00F712EB"/>
    <w:rsid w:val="00F7710E"/>
    <w:rsid w:val="00F77676"/>
    <w:rsid w:val="00F8197C"/>
    <w:rsid w:val="00F82B4E"/>
    <w:rsid w:val="00F87559"/>
    <w:rsid w:val="00F94834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8330D"/>
  <w15:docId w15:val="{D046B0FE-F5DD-4927-A05E-BA771948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11">
    <w:name w:val="TxBr_p11"/>
    <w:basedOn w:val="Normal"/>
    <w:rsid w:val="00215C01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0DEC2D3A-81B0-4B38-A865-A55F9AEB8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A9AE4-AC42-46E5-8729-3975D6C4150B}"/>
</file>

<file path=customXml/itemProps3.xml><?xml version="1.0" encoding="utf-8"?>
<ds:datastoreItem xmlns:ds="http://schemas.openxmlformats.org/officeDocument/2006/customXml" ds:itemID="{47DAB830-AA9F-4C72-8D76-7ADFF5D90C4E}"/>
</file>

<file path=customXml/itemProps4.xml><?xml version="1.0" encoding="utf-8"?>
<ds:datastoreItem xmlns:ds="http://schemas.openxmlformats.org/officeDocument/2006/customXml" ds:itemID="{C1FC75E3-3564-4F3A-98E0-EE25641A3E8A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7</cp:revision>
  <cp:lastPrinted>2015-09-09T08:37:00Z</cp:lastPrinted>
  <dcterms:created xsi:type="dcterms:W3CDTF">2019-02-28T10:51:00Z</dcterms:created>
  <dcterms:modified xsi:type="dcterms:W3CDTF">2019-02-28T10:56:00Z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