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66CC3" w:rsidP="00154D48">
      <w:pPr>
        <w:spacing w:after="120" w:line="240" w:lineRule="auto"/>
        <w:ind w:left="567" w:right="260"/>
        <w:jc w:val="both"/>
        <w:rPr>
          <w:rFonts w:ascii="Arial" w:hAnsi="Arial" w:cs="Arial"/>
        </w:rPr>
      </w:pPr>
      <w:r w:rsidRPr="00C66CC3">
        <w:rPr>
          <w:rFonts w:ascii="Arial" w:hAnsi="Arial" w:cs="Arial"/>
        </w:rPr>
        <w:t>CLAS6410/CLAS7390 (CL641/CL739) – Virgil’s ‘Aeneid’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C66CC3">
      <w:pPr>
        <w:spacing w:after="120" w:line="240" w:lineRule="auto"/>
        <w:ind w:left="567" w:right="260"/>
        <w:rPr>
          <w:rFonts w:ascii="Arial" w:hAnsi="Arial" w:cs="Arial"/>
        </w:rPr>
      </w:pPr>
      <w:r>
        <w:rPr>
          <w:rFonts w:ascii="Arial" w:hAnsi="Arial" w:cs="Arial"/>
        </w:rPr>
        <w:t xml:space="preserve">Level </w:t>
      </w:r>
      <w:r w:rsidR="00C66CC3" w:rsidRPr="00C66CC3">
        <w:rPr>
          <w:rFonts w:ascii="Arial" w:hAnsi="Arial" w:cs="Arial"/>
        </w:rPr>
        <w:t>5 (CLAS7390)</w:t>
      </w:r>
      <w:r w:rsidR="00C66CC3">
        <w:rPr>
          <w:rFonts w:ascii="Arial" w:hAnsi="Arial" w:cs="Arial"/>
        </w:rPr>
        <w:t xml:space="preserve"> and </w:t>
      </w:r>
      <w:r w:rsidR="00C66CC3" w:rsidRPr="00C66CC3">
        <w:rPr>
          <w:rFonts w:ascii="Arial" w:hAnsi="Arial" w:cs="Arial"/>
        </w:rPr>
        <w:t>Level 6 (CLAS6410)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66CC3" w:rsidP="00154D48">
      <w:pPr>
        <w:spacing w:after="120" w:line="240" w:lineRule="auto"/>
        <w:ind w:left="567" w:right="260"/>
        <w:rPr>
          <w:rFonts w:ascii="Arial" w:hAnsi="Arial" w:cs="Arial"/>
        </w:rPr>
      </w:pPr>
      <w:r w:rsidRPr="00C66CC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w:t>
      </w:r>
      <w:bookmarkStart w:id="0" w:name="_GoBack"/>
      <w:bookmarkEnd w:id="0"/>
      <w:r w:rsidRPr="00302082">
        <w:rPr>
          <w:rFonts w:ascii="Arial" w:hAnsi="Arial" w:cs="Arial"/>
          <w:b/>
        </w:rPr>
        <w:t>ching pattern)</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 xml:space="preserve">Autumn or </w:t>
      </w:r>
      <w:proofErr w:type="gramStart"/>
      <w:r w:rsidRPr="00C66CC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66CC3" w:rsidRPr="00C66CC3" w:rsidRDefault="00C66CC3" w:rsidP="00C66CC3">
      <w:pPr>
        <w:spacing w:after="120" w:line="240" w:lineRule="auto"/>
        <w:ind w:left="567" w:right="260"/>
        <w:jc w:val="both"/>
        <w:rPr>
          <w:rFonts w:ascii="Arial" w:hAnsi="Arial" w:cs="Arial"/>
          <w:iCs/>
        </w:rPr>
      </w:pPr>
      <w:r w:rsidRPr="00C66CC3">
        <w:rPr>
          <w:rFonts w:ascii="Arial" w:hAnsi="Arial" w:cs="Arial"/>
          <w:iCs/>
        </w:rPr>
        <w:t>Optional for BA Ancient History</w:t>
      </w:r>
      <w:r>
        <w:rPr>
          <w:rFonts w:ascii="Arial" w:hAnsi="Arial" w:cs="Arial"/>
          <w:iCs/>
        </w:rPr>
        <w:t xml:space="preserve"> (Single Honours)</w:t>
      </w:r>
      <w:r w:rsidRPr="00C66CC3">
        <w:rPr>
          <w:rFonts w:ascii="Arial" w:hAnsi="Arial" w:cs="Arial"/>
          <w:iCs/>
        </w:rPr>
        <w:t>; BA Classical Studies</w:t>
      </w:r>
      <w:r>
        <w:rPr>
          <w:rFonts w:ascii="Arial" w:hAnsi="Arial" w:cs="Arial"/>
          <w:iCs/>
        </w:rPr>
        <w:t xml:space="preserve"> (Single Honours)</w:t>
      </w:r>
      <w:r w:rsidRPr="00C66CC3">
        <w:rPr>
          <w:rFonts w:ascii="Arial" w:hAnsi="Arial" w:cs="Arial"/>
          <w:iCs/>
        </w:rPr>
        <w:t>; BA Classical &amp; Archaeological Studies (Single and Joint Honours); BA Ancient, Medieval and Modern History</w:t>
      </w:r>
      <w:r>
        <w:rPr>
          <w:rFonts w:ascii="Arial" w:hAnsi="Arial" w:cs="Arial"/>
          <w:iCs/>
        </w:rPr>
        <w:t xml:space="preserve"> (Joint Honours).</w:t>
      </w:r>
    </w:p>
    <w:p w:rsidR="009A2D37" w:rsidRPr="00154D48" w:rsidRDefault="00C66CC3" w:rsidP="00C66CC3">
      <w:pPr>
        <w:spacing w:after="120" w:line="240" w:lineRule="auto"/>
        <w:ind w:left="567" w:right="260"/>
        <w:rPr>
          <w:rFonts w:ascii="Arial" w:hAnsi="Arial" w:cs="Arial"/>
          <w:iCs/>
        </w:rPr>
      </w:pPr>
      <w:r w:rsidRPr="00C66CC3">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CC3">
        <w:rPr>
          <w:rFonts w:ascii="Arial" w:hAnsi="Arial" w:cs="Arial"/>
          <w:b/>
        </w:rPr>
        <w:t xml:space="preserve">Level 5 </w:t>
      </w:r>
      <w:r w:rsidR="00C729D7" w:rsidRPr="00302082">
        <w:rPr>
          <w:rFonts w:ascii="Arial" w:hAnsi="Arial" w:cs="Arial"/>
          <w:b/>
        </w:rPr>
        <w:t>students will be able to:</w:t>
      </w:r>
    </w:p>
    <w:p w:rsidR="00C66CC3" w:rsidRPr="00C66CC3" w:rsidRDefault="00BE773E" w:rsidP="00C66CC3">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66CC3" w:rsidRPr="00C66CC3">
        <w:rPr>
          <w:rFonts w:ascii="Arial" w:hAnsi="Arial" w:cs="Arial"/>
        </w:rPr>
        <w:t>Articulate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8.2</w:t>
      </w:r>
      <w:r w:rsidRPr="00C66CC3">
        <w:rPr>
          <w:rFonts w:ascii="Arial" w:hAnsi="Arial" w:cs="Arial"/>
        </w:rPr>
        <w:tab/>
        <w:t>Understand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8.3</w:t>
      </w:r>
      <w:r w:rsidRPr="00C66CC3">
        <w:rPr>
          <w:rFonts w:ascii="Arial" w:hAnsi="Arial" w:cs="Arial"/>
        </w:rPr>
        <w:tab/>
        <w:t>Demonstrate critical, specific and in-depth analyses of the variety of voices and themes contained within the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8.4</w:t>
      </w:r>
      <w:r w:rsidRPr="00C66CC3">
        <w:rPr>
          <w:rFonts w:ascii="Arial" w:hAnsi="Arial" w:cs="Arial"/>
        </w:rPr>
        <w:tab/>
        <w:t>Engage reflectively with other people’s analyses and interpretations of primary and secondary sources.</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8.5</w:t>
      </w:r>
      <w:r w:rsidRPr="00C66CC3">
        <w:rPr>
          <w:rFonts w:ascii="Arial" w:hAnsi="Arial" w:cs="Arial"/>
        </w:rPr>
        <w:tab/>
        <w:t>Articulate detailed and nuanced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8.6</w:t>
      </w:r>
      <w:r w:rsidRPr="00C66CC3">
        <w:rPr>
          <w:rFonts w:ascii="Arial" w:hAnsi="Arial" w:cs="Arial"/>
        </w:rPr>
        <w:tab/>
        <w:t>Demonstrate deep understanding of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8.7</w:t>
      </w:r>
      <w:r w:rsidRPr="00C66CC3">
        <w:rPr>
          <w:rFonts w:ascii="Arial" w:hAnsi="Arial" w:cs="Arial"/>
        </w:rPr>
        <w:tab/>
        <w:t xml:space="preserve">Devise sustained, critical and evaluative arguments related to the variety of voices and themes contained within the epic; </w:t>
      </w:r>
    </w:p>
    <w:p w:rsidR="0026253A" w:rsidRPr="00154D48" w:rsidRDefault="00C66CC3" w:rsidP="00C66CC3">
      <w:pPr>
        <w:spacing w:after="120" w:line="240" w:lineRule="auto"/>
        <w:ind w:left="1430" w:right="260" w:hanging="550"/>
        <w:jc w:val="both"/>
        <w:rPr>
          <w:rFonts w:ascii="Arial" w:hAnsi="Arial" w:cs="Arial"/>
        </w:rPr>
      </w:pPr>
      <w:r w:rsidRPr="00C66CC3">
        <w:rPr>
          <w:rFonts w:ascii="Arial" w:hAnsi="Arial" w:cs="Arial"/>
        </w:rPr>
        <w:t>8.8</w:t>
      </w:r>
      <w:r w:rsidRPr="00C66CC3">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66CC3">
        <w:rPr>
          <w:rFonts w:ascii="Arial" w:hAnsi="Arial" w:cs="Arial"/>
          <w:b/>
        </w:rPr>
        <w:t xml:space="preserve"> Level 5</w:t>
      </w:r>
      <w:r w:rsidR="00C729D7" w:rsidRPr="00302082">
        <w:rPr>
          <w:rFonts w:ascii="Arial" w:hAnsi="Arial" w:cs="Arial"/>
          <w:b/>
        </w:rPr>
        <w:t xml:space="preserve"> students will be able to:</w:t>
      </w:r>
    </w:p>
    <w:p w:rsidR="00C66CC3" w:rsidRPr="00C66CC3" w:rsidRDefault="0026253A" w:rsidP="00C66CC3">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66CC3" w:rsidRPr="00C66CC3">
        <w:rPr>
          <w:rFonts w:ascii="Arial" w:hAnsi="Arial" w:cs="Arial"/>
        </w:rPr>
        <w:t>Demonstrate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9.2</w:t>
      </w:r>
      <w:r w:rsidRPr="00C66CC3">
        <w:rPr>
          <w:rFonts w:ascii="Arial" w:hAnsi="Arial" w:cs="Arial"/>
        </w:rPr>
        <w:tab/>
        <w:t>Demonstrate their ability to make complex ideas clearly understandable in their writing;</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9.3</w:t>
      </w:r>
      <w:r w:rsidRPr="00C66CC3">
        <w:rPr>
          <w:rFonts w:ascii="Arial" w:hAnsi="Arial" w:cs="Arial"/>
        </w:rPr>
        <w:tab/>
        <w:t>Demonstrate the ability to work autonomously and to take responsibility for their learning;</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lastRenderedPageBreak/>
        <w:t>9.4</w:t>
      </w:r>
      <w:r w:rsidRPr="00C66CC3">
        <w:rPr>
          <w:rFonts w:ascii="Arial" w:hAnsi="Arial" w:cs="Arial"/>
        </w:rPr>
        <w:tab/>
        <w:t>Demonstrate enhanced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9.5</w:t>
      </w:r>
      <w:r w:rsidRPr="00C66CC3">
        <w:rPr>
          <w:rFonts w:ascii="Arial" w:hAnsi="Arial" w:cs="Arial"/>
        </w:rPr>
        <w:tab/>
        <w:t>Demonstrate a deepened ability to make complex ideas understandable in their writing, and focussed on precision and clarity;</w:t>
      </w:r>
    </w:p>
    <w:p w:rsidR="0026253A" w:rsidRDefault="00C66CC3" w:rsidP="00C66CC3">
      <w:pPr>
        <w:spacing w:after="120" w:line="240" w:lineRule="auto"/>
        <w:ind w:left="1430" w:right="260" w:hanging="550"/>
        <w:jc w:val="both"/>
      </w:pPr>
      <w:r w:rsidRPr="00C66CC3">
        <w:rPr>
          <w:rFonts w:ascii="Arial" w:hAnsi="Arial" w:cs="Arial"/>
        </w:rPr>
        <w:t>9.6</w:t>
      </w:r>
      <w:r w:rsidRPr="00C66CC3">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66CC3" w:rsidP="00C66CC3">
      <w:pPr>
        <w:spacing w:after="120" w:line="240" w:lineRule="auto"/>
        <w:ind w:left="567" w:right="260"/>
        <w:jc w:val="both"/>
        <w:rPr>
          <w:rFonts w:ascii="Arial" w:hAnsi="Arial" w:cs="Arial"/>
          <w:iCs/>
        </w:rPr>
      </w:pPr>
      <w:r w:rsidRPr="00C66CC3">
        <w:rPr>
          <w:rFonts w:ascii="Arial" w:hAnsi="Arial" w:cs="Arial"/>
          <w:iCs/>
        </w:rPr>
        <w:t>Virgil composed the Aeneid in order to provide Rome with an epic equal to any that Homer produced. Commonly regarded as one the greatest epics of the ancient world, the Aeneid is the 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66CC3" w:rsidRDefault="00C66CC3" w:rsidP="00C66CC3">
      <w:pPr>
        <w:spacing w:after="120" w:line="240" w:lineRule="auto"/>
        <w:ind w:left="567" w:right="260"/>
        <w:jc w:val="both"/>
        <w:rPr>
          <w:rFonts w:ascii="Arial" w:hAnsi="Arial" w:cs="Arial"/>
        </w:rPr>
      </w:pPr>
      <w:r w:rsidRPr="00E666A1">
        <w:rPr>
          <w:rFonts w:ascii="Arial" w:hAnsi="Arial" w:cs="Arial"/>
        </w:rPr>
        <w:t>Cairns</w:t>
      </w:r>
      <w:r>
        <w:rPr>
          <w:rFonts w:ascii="Arial" w:hAnsi="Arial" w:cs="Arial"/>
        </w:rPr>
        <w:t>, F.</w:t>
      </w:r>
      <w:r w:rsidRPr="00E666A1">
        <w:rPr>
          <w:rFonts w:ascii="Arial" w:hAnsi="Arial" w:cs="Arial"/>
        </w:rPr>
        <w:t xml:space="preserve"> </w:t>
      </w:r>
      <w:r>
        <w:rPr>
          <w:rFonts w:ascii="Arial" w:hAnsi="Arial" w:cs="Arial"/>
        </w:rPr>
        <w:t xml:space="preserve">(1990). </w:t>
      </w:r>
      <w:r w:rsidRPr="009E0C85">
        <w:rPr>
          <w:rFonts w:ascii="Arial" w:hAnsi="Arial" w:cs="Arial"/>
          <w:i/>
        </w:rPr>
        <w:t>Virgil’s Augustan Epic</w:t>
      </w:r>
      <w:r>
        <w:rPr>
          <w:rFonts w:ascii="Arial" w:hAnsi="Arial" w:cs="Arial"/>
          <w:i/>
        </w:rPr>
        <w:t>.</w:t>
      </w:r>
      <w:r w:rsidRPr="00E666A1">
        <w:rPr>
          <w:rFonts w:ascii="Arial" w:hAnsi="Arial" w:cs="Arial"/>
        </w:rPr>
        <w:t xml:space="preserve"> </w:t>
      </w:r>
      <w:r>
        <w:rPr>
          <w:rFonts w:ascii="Arial" w:hAnsi="Arial" w:cs="Arial"/>
        </w:rPr>
        <w:t>Cambridge: Cambridge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Camps</w:t>
      </w:r>
      <w:r>
        <w:rPr>
          <w:rFonts w:ascii="Arial" w:hAnsi="Arial" w:cs="Arial"/>
        </w:rPr>
        <w:t>, W.A.</w:t>
      </w:r>
      <w:r w:rsidRPr="00E666A1">
        <w:rPr>
          <w:rFonts w:ascii="Arial" w:hAnsi="Arial" w:cs="Arial"/>
        </w:rPr>
        <w:t xml:space="preserve"> </w:t>
      </w:r>
      <w:r>
        <w:rPr>
          <w:rFonts w:ascii="Arial" w:hAnsi="Arial" w:cs="Arial"/>
        </w:rPr>
        <w:t xml:space="preserve">(1969). </w:t>
      </w:r>
      <w:r w:rsidRPr="009E0C85">
        <w:rPr>
          <w:rFonts w:ascii="Arial" w:hAnsi="Arial" w:cs="Arial"/>
          <w:i/>
        </w:rPr>
        <w:t>Introduction to Virgil’s Aeneid</w:t>
      </w:r>
      <w:r>
        <w:rPr>
          <w:rFonts w:ascii="Arial" w:hAnsi="Arial" w:cs="Arial"/>
          <w:i/>
        </w:rPr>
        <w:t>.</w:t>
      </w:r>
      <w:r w:rsidRPr="00E666A1">
        <w:rPr>
          <w:rFonts w:ascii="Arial" w:hAnsi="Arial" w:cs="Arial"/>
        </w:rPr>
        <w:t xml:space="preserve"> </w:t>
      </w:r>
      <w:r>
        <w:rPr>
          <w:rFonts w:ascii="Arial" w:hAnsi="Arial" w:cs="Arial"/>
        </w:rPr>
        <w:t>Oxford: Oxford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Harrison</w:t>
      </w:r>
      <w:r>
        <w:rPr>
          <w:rFonts w:ascii="Arial" w:hAnsi="Arial" w:cs="Arial"/>
        </w:rPr>
        <w:t>, S.</w:t>
      </w:r>
      <w:r w:rsidRPr="00E666A1">
        <w:rPr>
          <w:rFonts w:ascii="Arial" w:hAnsi="Arial" w:cs="Arial"/>
        </w:rPr>
        <w:t xml:space="preserve"> (</w:t>
      </w:r>
      <w:proofErr w:type="gramStart"/>
      <w:r w:rsidRPr="00E666A1">
        <w:rPr>
          <w:rFonts w:ascii="Arial" w:hAnsi="Arial" w:cs="Arial"/>
        </w:rPr>
        <w:t>ed</w:t>
      </w:r>
      <w:proofErr w:type="gramEnd"/>
      <w:r w:rsidRPr="00E666A1">
        <w:rPr>
          <w:rFonts w:ascii="Arial" w:hAnsi="Arial" w:cs="Arial"/>
        </w:rPr>
        <w:t>.)</w:t>
      </w:r>
      <w:r>
        <w:rPr>
          <w:rFonts w:ascii="Arial" w:hAnsi="Arial" w:cs="Arial"/>
        </w:rPr>
        <w:t>.</w:t>
      </w:r>
      <w:r w:rsidRPr="00E666A1">
        <w:rPr>
          <w:rFonts w:ascii="Arial" w:hAnsi="Arial" w:cs="Arial"/>
        </w:rPr>
        <w:t xml:space="preserve"> </w:t>
      </w:r>
      <w:r>
        <w:rPr>
          <w:rFonts w:ascii="Arial" w:hAnsi="Arial" w:cs="Arial"/>
        </w:rPr>
        <w:t xml:space="preserve">(1990). </w:t>
      </w:r>
      <w:r w:rsidRPr="009E0C85">
        <w:rPr>
          <w:rFonts w:ascii="Arial" w:hAnsi="Arial" w:cs="Arial"/>
          <w:i/>
        </w:rPr>
        <w:t>Oxford Readings in Vergil’s Aeneid</w:t>
      </w:r>
      <w:r>
        <w:rPr>
          <w:rFonts w:ascii="Arial" w:hAnsi="Arial" w:cs="Arial"/>
          <w:i/>
        </w:rPr>
        <w:t>.</w:t>
      </w:r>
      <w:r w:rsidRPr="00E666A1">
        <w:rPr>
          <w:rFonts w:ascii="Arial" w:hAnsi="Arial" w:cs="Arial"/>
        </w:rPr>
        <w:t xml:space="preserve"> </w:t>
      </w:r>
      <w:r>
        <w:rPr>
          <w:rFonts w:ascii="Arial" w:hAnsi="Arial" w:cs="Arial"/>
        </w:rPr>
        <w:t>Oxford: Clarendon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Johnson</w:t>
      </w:r>
      <w:r>
        <w:rPr>
          <w:rFonts w:ascii="Arial" w:hAnsi="Arial" w:cs="Arial"/>
        </w:rPr>
        <w:t>, W.R.</w:t>
      </w:r>
      <w:r w:rsidRPr="00E666A1">
        <w:rPr>
          <w:rFonts w:ascii="Arial" w:hAnsi="Arial" w:cs="Arial"/>
        </w:rPr>
        <w:t xml:space="preserve"> </w:t>
      </w:r>
      <w:r>
        <w:rPr>
          <w:rFonts w:ascii="Arial" w:hAnsi="Arial" w:cs="Arial"/>
        </w:rPr>
        <w:t xml:space="preserve">(1976). </w:t>
      </w:r>
      <w:r w:rsidRPr="009E0C85">
        <w:rPr>
          <w:rFonts w:ascii="Arial" w:hAnsi="Arial" w:cs="Arial"/>
          <w:i/>
        </w:rPr>
        <w:t>Darkness Visible: A Study of Vergil’s Aeneid</w:t>
      </w:r>
      <w:r>
        <w:rPr>
          <w:rFonts w:ascii="Arial" w:hAnsi="Arial" w:cs="Arial"/>
          <w:i/>
        </w:rPr>
        <w:t>.</w:t>
      </w:r>
      <w:r w:rsidRPr="00E666A1">
        <w:rPr>
          <w:rFonts w:ascii="Arial" w:hAnsi="Arial" w:cs="Arial"/>
        </w:rPr>
        <w:t xml:space="preserve"> </w:t>
      </w:r>
      <w:r>
        <w:rPr>
          <w:rFonts w:ascii="Arial" w:hAnsi="Arial" w:cs="Arial"/>
        </w:rPr>
        <w:t>Berkeley: University of California.</w:t>
      </w:r>
    </w:p>
    <w:p w:rsidR="00C66CC3" w:rsidRPr="007150C0" w:rsidRDefault="00C66CC3" w:rsidP="00C66CC3">
      <w:pPr>
        <w:spacing w:after="120" w:line="240" w:lineRule="auto"/>
        <w:ind w:left="567" w:right="260"/>
        <w:jc w:val="both"/>
        <w:rPr>
          <w:rFonts w:ascii="Arial" w:hAnsi="Arial" w:cs="Arial"/>
        </w:rPr>
      </w:pPr>
      <w:r w:rsidRPr="007150C0">
        <w:rPr>
          <w:rFonts w:ascii="Arial" w:hAnsi="Arial" w:cs="Arial"/>
        </w:rPr>
        <w:t>Virgil</w:t>
      </w:r>
      <w:r>
        <w:rPr>
          <w:rFonts w:ascii="Arial" w:hAnsi="Arial" w:cs="Arial"/>
        </w:rPr>
        <w:t>. (2003).</w:t>
      </w:r>
      <w:r w:rsidRPr="007150C0">
        <w:rPr>
          <w:rFonts w:ascii="Arial" w:hAnsi="Arial" w:cs="Arial"/>
        </w:rPr>
        <w:t xml:space="preserve"> </w:t>
      </w:r>
      <w:proofErr w:type="gramStart"/>
      <w:r w:rsidRPr="007150C0">
        <w:rPr>
          <w:rFonts w:ascii="Arial" w:hAnsi="Arial" w:cs="Arial"/>
          <w:i/>
        </w:rPr>
        <w:t>The</w:t>
      </w:r>
      <w:proofErr w:type="gramEnd"/>
      <w:r w:rsidRPr="007150C0">
        <w:rPr>
          <w:rFonts w:ascii="Arial" w:hAnsi="Arial" w:cs="Arial"/>
          <w:i/>
        </w:rPr>
        <w:t xml:space="preserve"> Aeneid</w:t>
      </w:r>
      <w:r>
        <w:rPr>
          <w:rFonts w:ascii="Arial" w:hAnsi="Arial" w:cs="Arial"/>
        </w:rPr>
        <w:t>, tr. D. West. London: Penguin.</w:t>
      </w:r>
    </w:p>
    <w:p w:rsidR="00154D48" w:rsidRPr="00154D48" w:rsidRDefault="00C66CC3" w:rsidP="00C66CC3">
      <w:pPr>
        <w:spacing w:after="120" w:line="240" w:lineRule="auto"/>
        <w:ind w:left="567" w:right="260"/>
        <w:jc w:val="both"/>
        <w:rPr>
          <w:rFonts w:ascii="Arial" w:hAnsi="Arial" w:cs="Arial"/>
        </w:rPr>
      </w:pPr>
      <w:proofErr w:type="spellStart"/>
      <w:r w:rsidRPr="007150C0">
        <w:rPr>
          <w:rFonts w:ascii="Arial" w:hAnsi="Arial" w:cs="Arial"/>
        </w:rPr>
        <w:t>Zanker</w:t>
      </w:r>
      <w:proofErr w:type="spellEnd"/>
      <w:r>
        <w:rPr>
          <w:rFonts w:ascii="Arial" w:hAnsi="Arial" w:cs="Arial"/>
        </w:rPr>
        <w:t>, P. (1988).</w:t>
      </w:r>
      <w:r w:rsidRPr="007150C0">
        <w:rPr>
          <w:rFonts w:ascii="Arial" w:hAnsi="Arial" w:cs="Arial"/>
        </w:rPr>
        <w:t xml:space="preserve"> </w:t>
      </w:r>
      <w:r w:rsidRPr="007150C0">
        <w:rPr>
          <w:rFonts w:ascii="Arial" w:hAnsi="Arial" w:cs="Arial"/>
          <w:i/>
        </w:rPr>
        <w:t>The Power of Images in the Age of Augustus</w:t>
      </w:r>
      <w:r>
        <w:rPr>
          <w:rFonts w:ascii="Arial" w:hAnsi="Arial" w:cs="Arial"/>
          <w:i/>
        </w:rPr>
        <w:t>.</w:t>
      </w:r>
      <w:r w:rsidRPr="007150C0">
        <w:rPr>
          <w:rFonts w:ascii="Arial" w:hAnsi="Arial" w:cs="Arial"/>
        </w:rPr>
        <w:t xml:space="preserve"> </w:t>
      </w:r>
      <w:r>
        <w:rPr>
          <w:rFonts w:ascii="Arial" w:hAnsi="Arial" w:cs="Arial"/>
        </w:rPr>
        <w:t xml:space="preserve">Ann </w:t>
      </w:r>
      <w:proofErr w:type="spellStart"/>
      <w:r>
        <w:rPr>
          <w:rFonts w:ascii="Arial" w:hAnsi="Arial" w:cs="Arial"/>
        </w:rPr>
        <w:t>Arbor</w:t>
      </w:r>
      <w:proofErr w:type="spellEnd"/>
      <w:r>
        <w:rPr>
          <w:rFonts w:ascii="Arial" w:hAnsi="Arial" w:cs="Arial"/>
        </w:rPr>
        <w:t>: University of Michigan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66CC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66CC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66CC3">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66CC3" w:rsidRPr="00C66CC3"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1 (2,000 words) – 40%</w:t>
      </w:r>
    </w:p>
    <w:p w:rsidR="00BE773E" w:rsidRPr="00BE773E"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2 (3,000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66CC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C3" w:rsidRPr="00302082" w:rsidTr="00C66CC3">
        <w:trPr>
          <w:cantSplit/>
          <w:trHeight w:val="1134"/>
        </w:trPr>
        <w:tc>
          <w:tcPr>
            <w:tcW w:w="2439" w:type="dxa"/>
            <w:shd w:val="clear" w:color="auto" w:fill="D9D9D9" w:themeFill="background1" w:themeFillShade="D9"/>
          </w:tcPr>
          <w:p w:rsidR="00C66CC3" w:rsidRPr="00302082" w:rsidRDefault="00C66CC3"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8.1</w:t>
            </w:r>
            <w:r>
              <w:rPr>
                <w:rFonts w:ascii="Arial" w:hAnsi="Arial" w:cs="Arial"/>
              </w:rPr>
              <w:t xml:space="preserve"> </w:t>
            </w:r>
            <w:r w:rsidR="008F3C97">
              <w:rPr>
                <w:rFonts w:ascii="Arial" w:hAnsi="Arial" w:cs="Arial"/>
              </w:rPr>
              <w:t>and</w:t>
            </w:r>
            <w:r>
              <w:rPr>
                <w:rFonts w:ascii="Arial" w:hAnsi="Arial" w:cs="Arial"/>
              </w:rPr>
              <w:t xml:space="preserve"> 8.5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8.2</w:t>
            </w:r>
            <w:r>
              <w:rPr>
                <w:rFonts w:ascii="Arial" w:hAnsi="Arial" w:cs="Arial"/>
              </w:rPr>
              <w:t xml:space="preserve"> </w:t>
            </w:r>
            <w:r w:rsidR="008F3C97">
              <w:rPr>
                <w:rFonts w:ascii="Arial" w:hAnsi="Arial" w:cs="Arial"/>
              </w:rPr>
              <w:t>and</w:t>
            </w:r>
            <w:r>
              <w:rPr>
                <w:rFonts w:ascii="Arial" w:hAnsi="Arial" w:cs="Arial"/>
              </w:rPr>
              <w:t xml:space="preserve"> 8.6</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8.3</w:t>
            </w:r>
            <w:r>
              <w:rPr>
                <w:rFonts w:ascii="Arial" w:hAnsi="Arial" w:cs="Arial"/>
              </w:rPr>
              <w:t xml:space="preserve"> </w:t>
            </w:r>
            <w:r w:rsidR="008F3C97">
              <w:rPr>
                <w:rFonts w:ascii="Arial" w:hAnsi="Arial" w:cs="Arial"/>
              </w:rPr>
              <w:t>and</w:t>
            </w:r>
            <w:r>
              <w:rPr>
                <w:rFonts w:ascii="Arial" w:hAnsi="Arial" w:cs="Arial"/>
              </w:rPr>
              <w:t xml:space="preserve"> 8.7</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8.4</w:t>
            </w:r>
            <w:r>
              <w:rPr>
                <w:rFonts w:ascii="Arial" w:hAnsi="Arial" w:cs="Arial"/>
              </w:rPr>
              <w:t xml:space="preserve"> </w:t>
            </w:r>
            <w:r w:rsidR="008F3C97">
              <w:rPr>
                <w:rFonts w:ascii="Arial" w:hAnsi="Arial" w:cs="Arial"/>
              </w:rPr>
              <w:t>and</w:t>
            </w:r>
            <w:r>
              <w:rPr>
                <w:rFonts w:ascii="Arial" w:hAnsi="Arial" w:cs="Arial"/>
              </w:rPr>
              <w:t xml:space="preserve"> 8.8</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9.1</w:t>
            </w:r>
            <w:r>
              <w:rPr>
                <w:rFonts w:ascii="Arial" w:hAnsi="Arial" w:cs="Arial"/>
              </w:rPr>
              <w:t xml:space="preserve"> </w:t>
            </w:r>
            <w:r w:rsidR="008F3C97">
              <w:rPr>
                <w:rFonts w:ascii="Arial" w:hAnsi="Arial" w:cs="Arial"/>
              </w:rPr>
              <w:t>and</w:t>
            </w:r>
            <w:r>
              <w:rPr>
                <w:rFonts w:ascii="Arial" w:hAnsi="Arial" w:cs="Arial"/>
              </w:rPr>
              <w:t xml:space="preserve"> 9.4</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9.2</w:t>
            </w:r>
            <w:r>
              <w:rPr>
                <w:rFonts w:ascii="Arial" w:hAnsi="Arial" w:cs="Arial"/>
              </w:rPr>
              <w:t xml:space="preserve"> </w:t>
            </w:r>
            <w:r w:rsidR="008F3C97">
              <w:rPr>
                <w:rFonts w:ascii="Arial" w:hAnsi="Arial" w:cs="Arial"/>
              </w:rPr>
              <w:t>and</w:t>
            </w:r>
            <w:r>
              <w:rPr>
                <w:rFonts w:ascii="Arial" w:hAnsi="Arial" w:cs="Arial"/>
              </w:rPr>
              <w:t xml:space="preserve"> 9.5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9.3</w:t>
            </w:r>
            <w:r>
              <w:rPr>
                <w:rFonts w:ascii="Arial" w:hAnsi="Arial" w:cs="Arial"/>
              </w:rPr>
              <w:t xml:space="preserve"> </w:t>
            </w:r>
            <w:r w:rsidR="008F3C97">
              <w:rPr>
                <w:rFonts w:ascii="Arial" w:hAnsi="Arial" w:cs="Arial"/>
              </w:rPr>
              <w:t>and</w:t>
            </w:r>
            <w:r>
              <w:rPr>
                <w:rFonts w:ascii="Arial" w:hAnsi="Arial" w:cs="Arial"/>
              </w:rPr>
              <w:t xml:space="preserve"> 9.6</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Learning/ teaching method</w:t>
            </w: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r>
      <w:tr w:rsidR="00C66CC3" w:rsidRPr="00302082" w:rsidTr="00C66CC3">
        <w:tc>
          <w:tcPr>
            <w:tcW w:w="2439" w:type="dxa"/>
          </w:tcPr>
          <w:p w:rsidR="00C66CC3" w:rsidRPr="00BE773E" w:rsidRDefault="00C66CC3" w:rsidP="00302082">
            <w:pPr>
              <w:spacing w:after="120"/>
              <w:rPr>
                <w:rFonts w:ascii="Arial" w:hAnsi="Arial" w:cs="Arial"/>
              </w:rPr>
            </w:pPr>
            <w:r w:rsidRPr="00BE773E">
              <w:rPr>
                <w:rFonts w:ascii="Arial" w:hAnsi="Arial" w:cs="Arial"/>
              </w:rPr>
              <w:lastRenderedPageBreak/>
              <w:t>Private Study</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Lecture</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Seminar</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Assessment method</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Essay 1</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154D48">
            <w:pPr>
              <w:spacing w:after="120"/>
              <w:rPr>
                <w:rFonts w:ascii="Arial" w:hAnsi="Arial" w:cs="Arial"/>
              </w:rPr>
            </w:pPr>
            <w:r>
              <w:rPr>
                <w:rFonts w:ascii="Arial" w:hAnsi="Arial" w:cs="Arial"/>
              </w:rPr>
              <w:t>Essay 2</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66CC3" w:rsidP="00C66CC3">
      <w:pPr>
        <w:spacing w:after="120" w:line="240" w:lineRule="auto"/>
        <w:ind w:left="567" w:right="260"/>
        <w:jc w:val="both"/>
        <w:rPr>
          <w:rFonts w:ascii="Arial" w:hAnsi="Arial" w:cs="Arial"/>
          <w:iCs/>
        </w:rPr>
      </w:pPr>
      <w:r w:rsidRPr="00C66CC3">
        <w:rPr>
          <w:rFonts w:ascii="Arial" w:hAnsi="Arial" w:cs="Arial"/>
          <w:iCs/>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28/01/16</w:t>
            </w:r>
          </w:p>
        </w:tc>
        <w:tc>
          <w:tcPr>
            <w:tcW w:w="170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3, 8-9, 12-13</w:t>
            </w:r>
          </w:p>
        </w:tc>
        <w:tc>
          <w:tcPr>
            <w:tcW w:w="2685"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C66CC3" w:rsidRPr="00F74B16" w:rsidTr="00C66CC3">
        <w:trPr>
          <w:trHeight w:val="305"/>
        </w:trPr>
        <w:tc>
          <w:tcPr>
            <w:tcW w:w="10335" w:type="dxa"/>
            <w:vAlign w:val="center"/>
          </w:tcPr>
          <w:p w:rsidR="00C66CC3" w:rsidRPr="00F74B16" w:rsidRDefault="00C66CC3" w:rsidP="00EA13A9">
            <w:pPr>
              <w:rPr>
                <w:rFonts w:ascii="Arial" w:hAnsi="Arial" w:cs="Arial"/>
                <w:sz w:val="18"/>
                <w:szCs w:val="18"/>
              </w:rPr>
            </w:pPr>
            <w:r w:rsidRPr="00F74B16">
              <w:rPr>
                <w:rFonts w:ascii="Arial" w:hAnsi="Arial" w:cs="Arial"/>
                <w:sz w:val="18"/>
                <w:szCs w:val="18"/>
              </w:rPr>
              <w:t xml:space="preserve">Revised FSO </w:t>
            </w:r>
            <w:r w:rsidR="005D003A">
              <w:rPr>
                <w:rFonts w:ascii="Arial" w:hAnsi="Arial" w:cs="Arial"/>
                <w:sz w:val="18"/>
                <w:szCs w:val="18"/>
              </w:rPr>
              <w:t>Feb 2020</w:t>
            </w:r>
          </w:p>
        </w:tc>
      </w:tr>
    </w:tbl>
    <w:p w:rsidR="00C66CC3" w:rsidRPr="00302082" w:rsidRDefault="00C66CC3" w:rsidP="00302082">
      <w:pPr>
        <w:spacing w:after="120" w:line="240" w:lineRule="auto"/>
        <w:ind w:right="-330"/>
        <w:rPr>
          <w:rFonts w:ascii="Arial" w:hAnsi="Arial" w:cs="Arial"/>
        </w:rPr>
      </w:pPr>
    </w:p>
    <w:sectPr w:rsidR="00C66CC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D003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D003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B9428C6"/>
    <w:lvl w:ilvl="0" w:tplc="7E24A0CC">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3900"/>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003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C97"/>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6CC3"/>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F58"/>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D87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66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6D1E97F-9541-4F49-B3AA-EF07BF4FE554}">
  <ds:schemaRefs>
    <ds:schemaRef ds:uri="http://schemas.openxmlformats.org/officeDocument/2006/bibliography"/>
  </ds:schemaRefs>
</ds:datastoreItem>
</file>

<file path=customXml/itemProps2.xml><?xml version="1.0" encoding="utf-8"?>
<ds:datastoreItem xmlns:ds="http://schemas.openxmlformats.org/officeDocument/2006/customXml" ds:itemID="{693F83E9-5AFB-4E29-A057-C6FEDFB20047}"/>
</file>

<file path=customXml/itemProps3.xml><?xml version="1.0" encoding="utf-8"?>
<ds:datastoreItem xmlns:ds="http://schemas.openxmlformats.org/officeDocument/2006/customXml" ds:itemID="{0D1419CC-CAB3-4007-96C3-F9501AA86F55}"/>
</file>

<file path=customXml/itemProps4.xml><?xml version="1.0" encoding="utf-8"?>
<ds:datastoreItem xmlns:ds="http://schemas.openxmlformats.org/officeDocument/2006/customXml" ds:itemID="{9376D7AB-D28E-452D-B749-F56F65F1C5B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2020-01-14T16:39:00Z</dcterms:created>
  <dcterms:modified xsi:type="dcterms:W3CDTF">2020-02-10T11:33:00Z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