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7F64CC1E" w14:textId="46C1862E" w:rsidR="009A2D37" w:rsidRPr="00302082" w:rsidRDefault="00F4310B" w:rsidP="00CB34E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</w:t>
      </w:r>
      <w:r w:rsidR="00A915E2">
        <w:rPr>
          <w:rFonts w:ascii="Arial" w:hAnsi="Arial" w:cs="Arial"/>
        </w:rPr>
        <w:t>3</w:t>
      </w:r>
      <w:r w:rsidR="00036605">
        <w:rPr>
          <w:rFonts w:ascii="Arial" w:hAnsi="Arial" w:cs="Arial"/>
        </w:rPr>
        <w:t>6</w:t>
      </w:r>
      <w:r w:rsidR="00AE1D69">
        <w:rPr>
          <w:rFonts w:ascii="Arial" w:hAnsi="Arial" w:cs="Arial"/>
        </w:rPr>
        <w:t>5</w:t>
      </w:r>
      <w:r w:rsidR="000B564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(CB</w:t>
      </w:r>
      <w:r w:rsidR="00AE1D69">
        <w:rPr>
          <w:rFonts w:ascii="Arial" w:hAnsi="Arial" w:cs="Arial"/>
        </w:rPr>
        <w:t>3</w:t>
      </w:r>
      <w:r w:rsidR="00036605">
        <w:rPr>
          <w:rFonts w:ascii="Arial" w:hAnsi="Arial" w:cs="Arial"/>
        </w:rPr>
        <w:t>6</w:t>
      </w:r>
      <w:r w:rsidR="00AE1D69">
        <w:rPr>
          <w:rFonts w:ascii="Arial" w:hAnsi="Arial" w:cs="Arial"/>
        </w:rPr>
        <w:t>5</w:t>
      </w:r>
      <w:r w:rsidR="007C05EE">
        <w:rPr>
          <w:rFonts w:ascii="Arial" w:hAnsi="Arial" w:cs="Arial"/>
        </w:rPr>
        <w:t>)</w:t>
      </w:r>
      <w:r w:rsidR="00B35C17">
        <w:rPr>
          <w:rFonts w:ascii="Arial" w:hAnsi="Arial" w:cs="Arial"/>
        </w:rPr>
        <w:t xml:space="preserve"> </w:t>
      </w:r>
      <w:r w:rsidR="00B658DB">
        <w:rPr>
          <w:rFonts w:ascii="Arial" w:hAnsi="Arial" w:cs="Arial"/>
        </w:rPr>
        <w:t>Economics for Business 1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</w:rPr>
        <w:t xml:space="preserve">Level </w:t>
      </w:r>
      <w:proofErr w:type="gramStart"/>
      <w:r w:rsidRPr="00CB34E8">
        <w:rPr>
          <w:rFonts w:ascii="Arial" w:hAnsi="Arial" w:cs="Arial"/>
        </w:rPr>
        <w:t>4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70BFDB09" w:rsidR="009A2D37" w:rsidRPr="00CB34E8" w:rsidRDefault="00B35C17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10F4454" w14:textId="3556AB45" w:rsidR="009A2D37" w:rsidRDefault="0099626B" w:rsidP="00B35C17">
      <w:pPr>
        <w:pStyle w:val="ListParagraph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Spring</w:t>
      </w:r>
    </w:p>
    <w:p w14:paraId="0717D100" w14:textId="77777777" w:rsidR="00B35C17" w:rsidRPr="00B35C17" w:rsidRDefault="00B35C17" w:rsidP="00B35C17">
      <w:pPr>
        <w:pStyle w:val="ListParagraph"/>
        <w:spacing w:after="0"/>
        <w:ind w:left="567"/>
        <w:rPr>
          <w:rFonts w:ascii="Arial" w:hAnsi="Arial" w:cs="Arial"/>
        </w:rPr>
      </w:pPr>
    </w:p>
    <w:p w14:paraId="21BD3DD5" w14:textId="76027FF8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8F438B1" w14:textId="744C64A0" w:rsidR="00D248F6" w:rsidRPr="00D248F6" w:rsidRDefault="00D248F6" w:rsidP="00D248F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248F6">
        <w:rPr>
          <w:rFonts w:ascii="Arial" w:hAnsi="Arial" w:cs="Arial"/>
        </w:rPr>
        <w:t>None</w:t>
      </w:r>
    </w:p>
    <w:p w14:paraId="5396EA26" w14:textId="09FF401E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BAAFAE0" w14:textId="5D2A1E17" w:rsidR="00B658DB" w:rsidRPr="00B658DB" w:rsidRDefault="00B658DB" w:rsidP="00B658DB">
      <w:pPr>
        <w:pStyle w:val="ListParagraph"/>
        <w:spacing w:before="60" w:after="60" w:line="240" w:lineRule="auto"/>
        <w:ind w:left="567" w:right="-330"/>
        <w:rPr>
          <w:rFonts w:ascii="Arial" w:hAnsi="Arial" w:cs="Arial"/>
          <w:iCs/>
          <w:szCs w:val="20"/>
        </w:rPr>
      </w:pPr>
      <w:r w:rsidRPr="00B658DB">
        <w:rPr>
          <w:rFonts w:ascii="Arial" w:hAnsi="Arial" w:cs="Arial"/>
          <w:iCs/>
          <w:szCs w:val="20"/>
        </w:rPr>
        <w:t>BA (Hons) Busin</w:t>
      </w:r>
      <w:r>
        <w:rPr>
          <w:rFonts w:ascii="Arial" w:hAnsi="Arial" w:cs="Arial"/>
          <w:iCs/>
          <w:szCs w:val="20"/>
        </w:rPr>
        <w:t>ess &amp; Management and associated programmes</w:t>
      </w:r>
    </w:p>
    <w:p w14:paraId="204B6FFB" w14:textId="0F3E9A2F" w:rsidR="00B658DB" w:rsidRPr="00730CC6" w:rsidRDefault="00B658DB" w:rsidP="00B658DB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  <w:szCs w:val="20"/>
        </w:rPr>
      </w:pPr>
      <w:r w:rsidRPr="00730CC6">
        <w:rPr>
          <w:rFonts w:ascii="Arial" w:hAnsi="Arial" w:cs="Arial"/>
          <w:iCs/>
          <w:szCs w:val="20"/>
        </w:rPr>
        <w:t>BA (Hons) Accounting &amp; Management and associated programmes</w:t>
      </w:r>
    </w:p>
    <w:p w14:paraId="566EE4D1" w14:textId="3D5FAE60" w:rsidR="00730CC6" w:rsidRPr="00730CC6" w:rsidRDefault="00730CC6" w:rsidP="00B658DB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30CC6">
        <w:rPr>
          <w:rFonts w:ascii="Arial" w:hAnsi="Arial" w:cs="Arial"/>
        </w:rPr>
        <w:t>BSc (Hons) Finance &amp; Investment and associated programmes</w:t>
      </w:r>
    </w:p>
    <w:p w14:paraId="671AB754" w14:textId="7A6259BB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EF9B419" w14:textId="04AE9B88" w:rsidR="00B658DB" w:rsidRPr="00B658DB" w:rsidRDefault="00B658DB" w:rsidP="00B658DB">
      <w:pPr>
        <w:pStyle w:val="WW-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8.1 </w:t>
      </w:r>
      <w:r w:rsidRPr="00B658DB">
        <w:rPr>
          <w:rFonts w:ascii="Arial" w:hAnsi="Arial" w:cs="Arial"/>
          <w:color w:val="auto"/>
          <w:sz w:val="22"/>
          <w:szCs w:val="22"/>
        </w:rPr>
        <w:t>Demonstrate knowledge of the underlying concepts, competing theories and basic principles of microeconomics.</w:t>
      </w:r>
    </w:p>
    <w:p w14:paraId="5C7F0F21" w14:textId="167C8FBA" w:rsidR="00B658DB" w:rsidRPr="00B658DB" w:rsidRDefault="00B658DB" w:rsidP="00B658DB">
      <w:pPr>
        <w:pStyle w:val="WW-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8.2 </w:t>
      </w:r>
      <w:r w:rsidRPr="00B658DB">
        <w:rPr>
          <w:rFonts w:ascii="Arial" w:hAnsi="Arial" w:cs="Arial"/>
          <w:color w:val="auto"/>
          <w:sz w:val="22"/>
          <w:szCs w:val="22"/>
        </w:rPr>
        <w:t xml:space="preserve">Understand the effect of economic forces on business decisions, </w:t>
      </w:r>
      <w:proofErr w:type="spellStart"/>
      <w:r w:rsidRPr="00B658DB">
        <w:rPr>
          <w:rFonts w:ascii="Arial" w:hAnsi="Arial" w:cs="Arial"/>
          <w:color w:val="auto"/>
          <w:sz w:val="22"/>
          <w:szCs w:val="22"/>
        </w:rPr>
        <w:t>behaviour</w:t>
      </w:r>
      <w:proofErr w:type="spellEnd"/>
      <w:r w:rsidRPr="00B658DB">
        <w:rPr>
          <w:rFonts w:ascii="Arial" w:hAnsi="Arial" w:cs="Arial"/>
          <w:color w:val="auto"/>
          <w:sz w:val="22"/>
          <w:szCs w:val="22"/>
        </w:rPr>
        <w:t xml:space="preserve"> and performance.</w:t>
      </w:r>
    </w:p>
    <w:p w14:paraId="11743BFC" w14:textId="3FD48B53" w:rsidR="00B658DB" w:rsidRPr="00B658DB" w:rsidRDefault="00B658DB" w:rsidP="00B658DB">
      <w:pPr>
        <w:pStyle w:val="WW-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8.3 </w:t>
      </w:r>
      <w:r w:rsidRPr="00B658DB">
        <w:rPr>
          <w:rFonts w:ascii="Arial" w:hAnsi="Arial" w:cs="Arial"/>
          <w:color w:val="auto"/>
          <w:sz w:val="22"/>
          <w:szCs w:val="22"/>
        </w:rPr>
        <w:t>Present and evaluate economic data and develop well-structured lines of economic argument, offering critical comment on the arguments of others.</w:t>
      </w:r>
    </w:p>
    <w:p w14:paraId="0D11B061" w14:textId="7827D680" w:rsidR="00D248F6" w:rsidRDefault="00B658DB" w:rsidP="00B658DB">
      <w:pPr>
        <w:pStyle w:val="WW-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8.4 </w:t>
      </w:r>
      <w:r w:rsidRPr="00B658DB">
        <w:rPr>
          <w:rFonts w:ascii="Arial" w:hAnsi="Arial" w:cs="Arial"/>
          <w:color w:val="auto"/>
          <w:sz w:val="22"/>
          <w:szCs w:val="22"/>
        </w:rPr>
        <w:t>Demonstrate a knowledge of the importance of microeconomics in understanding current business issues in the UK, Europe and internationally.</w:t>
      </w:r>
    </w:p>
    <w:p w14:paraId="262CA6E6" w14:textId="77777777" w:rsidR="00B658DB" w:rsidRPr="00D248F6" w:rsidRDefault="00B658DB" w:rsidP="00B658DB">
      <w:pPr>
        <w:pStyle w:val="WW-Default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14:paraId="0F260B2D" w14:textId="706C77A2" w:rsidR="00C729D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4583A03" w14:textId="23FD906C" w:rsidR="00B658DB" w:rsidRPr="00B658DB" w:rsidRDefault="00B658DB" w:rsidP="00B658DB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Pr="00B658DB">
        <w:rPr>
          <w:rFonts w:ascii="Arial" w:hAnsi="Arial" w:cs="Arial"/>
        </w:rPr>
        <w:t>Retrieve information from a variety of sources.</w:t>
      </w:r>
    </w:p>
    <w:p w14:paraId="57B67675" w14:textId="493E8595" w:rsidR="00B658DB" w:rsidRPr="00B658DB" w:rsidRDefault="00B658DB" w:rsidP="00B658DB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9.2 </w:t>
      </w:r>
      <w:r w:rsidRPr="00B658DB">
        <w:rPr>
          <w:rFonts w:ascii="Arial" w:hAnsi="Arial" w:cs="Arial"/>
        </w:rPr>
        <w:t>Undertake independent and self-managed learning.</w:t>
      </w:r>
    </w:p>
    <w:p w14:paraId="0DEB3987" w14:textId="2AF4C600" w:rsidR="00B658DB" w:rsidRPr="00B658DB" w:rsidRDefault="00B658DB" w:rsidP="00B658DB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9.3 </w:t>
      </w:r>
      <w:r w:rsidRPr="00B658DB">
        <w:rPr>
          <w:rFonts w:ascii="Arial" w:hAnsi="Arial" w:cs="Arial"/>
        </w:rPr>
        <w:t>Draw on social science concepts and theories in decision-making situations.</w:t>
      </w:r>
    </w:p>
    <w:p w14:paraId="64DFDCE3" w14:textId="77A0A146" w:rsidR="00D248F6" w:rsidRPr="00D248F6" w:rsidRDefault="00B658DB" w:rsidP="00B658DB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9.4 </w:t>
      </w:r>
      <w:r w:rsidRPr="00B658DB">
        <w:rPr>
          <w:rFonts w:ascii="Arial" w:hAnsi="Arial" w:cs="Arial"/>
        </w:rPr>
        <w:t>Communicate accurately and reliably both orally and in writing and apply other interpersonal skills.</w:t>
      </w:r>
    </w:p>
    <w:p w14:paraId="7499F0A1" w14:textId="148A2A4B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1B7389C" w14:textId="610F72D7" w:rsidR="00B658DB" w:rsidRDefault="00B658DB" w:rsidP="00B658DB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B4790">
        <w:rPr>
          <w:rFonts w:ascii="Arial" w:hAnsi="Arial" w:cs="Arial"/>
          <w:iCs/>
        </w:rPr>
        <w:t xml:space="preserve">This module will cover </w:t>
      </w:r>
      <w:r>
        <w:rPr>
          <w:rFonts w:ascii="Arial" w:hAnsi="Arial" w:cs="Arial"/>
          <w:iCs/>
        </w:rPr>
        <w:t xml:space="preserve">the key concepts of microeconomics and </w:t>
      </w:r>
      <w:r w:rsidRPr="00DB4790">
        <w:rPr>
          <w:rFonts w:ascii="Arial" w:hAnsi="Arial" w:cs="Arial"/>
          <w:iCs/>
        </w:rPr>
        <w:t xml:space="preserve">theories related to the </w:t>
      </w:r>
      <w:r>
        <w:rPr>
          <w:rFonts w:ascii="Arial" w:hAnsi="Arial" w:cs="Arial"/>
          <w:iCs/>
        </w:rPr>
        <w:t>individual, firm and industry</w:t>
      </w:r>
      <w:r w:rsidRPr="00DB4790">
        <w:rPr>
          <w:rFonts w:ascii="Arial" w:hAnsi="Arial" w:cs="Arial"/>
          <w:iCs/>
        </w:rPr>
        <w:t xml:space="preserve"> in the short and long run</w:t>
      </w:r>
      <w:r>
        <w:rPr>
          <w:rFonts w:ascii="Arial" w:hAnsi="Arial" w:cs="Arial"/>
          <w:iCs/>
        </w:rPr>
        <w:t>,</w:t>
      </w:r>
      <w:r w:rsidRPr="00DB479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underpinned by existing evidence on</w:t>
      </w:r>
      <w:r w:rsidRPr="00DB479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past and </w:t>
      </w:r>
      <w:r w:rsidRPr="00DB4790">
        <w:rPr>
          <w:rFonts w:ascii="Arial" w:hAnsi="Arial" w:cs="Arial"/>
          <w:iCs/>
        </w:rPr>
        <w:t xml:space="preserve">current </w:t>
      </w:r>
      <w:r>
        <w:rPr>
          <w:rFonts w:ascii="Arial" w:hAnsi="Arial" w:cs="Arial"/>
          <w:iCs/>
        </w:rPr>
        <w:t>economic trends</w:t>
      </w:r>
      <w:r w:rsidRPr="00DB4790">
        <w:rPr>
          <w:rFonts w:ascii="Arial" w:hAnsi="Arial" w:cs="Arial"/>
          <w:iCs/>
        </w:rPr>
        <w:t xml:space="preserve"> in the UK</w:t>
      </w:r>
      <w:r>
        <w:rPr>
          <w:rFonts w:ascii="Arial" w:hAnsi="Arial" w:cs="Arial"/>
          <w:iCs/>
        </w:rPr>
        <w:t>, Europe</w:t>
      </w:r>
      <w:r w:rsidRPr="00DB4790">
        <w:rPr>
          <w:rFonts w:ascii="Arial" w:hAnsi="Arial" w:cs="Arial"/>
          <w:iCs/>
        </w:rPr>
        <w:t xml:space="preserve"> and the rest of the world.  </w:t>
      </w:r>
    </w:p>
    <w:p w14:paraId="28B59E43" w14:textId="7B1DEAA5" w:rsidR="00B658DB" w:rsidRPr="00DB4790" w:rsidRDefault="00B658DB" w:rsidP="00B658DB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Indicative topics are:</w:t>
      </w:r>
    </w:p>
    <w:p w14:paraId="7D03A863" w14:textId="77777777" w:rsidR="00B658DB" w:rsidRPr="00D90316" w:rsidRDefault="00B658DB" w:rsidP="00B658DB">
      <w:pPr>
        <w:numPr>
          <w:ilvl w:val="0"/>
          <w:numId w:val="27"/>
        </w:numPr>
        <w:tabs>
          <w:tab w:val="clear" w:pos="1800"/>
          <w:tab w:val="num" w:pos="1941"/>
        </w:tabs>
        <w:spacing w:after="0"/>
        <w:ind w:left="1941"/>
        <w:rPr>
          <w:rFonts w:ascii="Arial" w:hAnsi="Arial" w:cs="Arial"/>
        </w:rPr>
      </w:pPr>
      <w:r>
        <w:rPr>
          <w:rFonts w:ascii="Arial" w:hAnsi="Arial" w:cs="Arial"/>
        </w:rPr>
        <w:t>Key microeconomic concepts such as opportunity cost and equity versus efficiency</w:t>
      </w:r>
    </w:p>
    <w:p w14:paraId="105FD780" w14:textId="77777777" w:rsidR="00B658DB" w:rsidRPr="00D90316" w:rsidRDefault="00B658DB" w:rsidP="00B658DB">
      <w:pPr>
        <w:numPr>
          <w:ilvl w:val="0"/>
          <w:numId w:val="27"/>
        </w:numPr>
        <w:tabs>
          <w:tab w:val="clear" w:pos="1800"/>
          <w:tab w:val="num" w:pos="1941"/>
        </w:tabs>
        <w:spacing w:after="0"/>
        <w:ind w:left="1941"/>
        <w:rPr>
          <w:rFonts w:ascii="Arial" w:hAnsi="Arial" w:cs="Arial"/>
        </w:rPr>
      </w:pPr>
      <w:r w:rsidRPr="00D90316">
        <w:rPr>
          <w:rFonts w:ascii="Arial" w:hAnsi="Arial" w:cs="Arial"/>
        </w:rPr>
        <w:t>Supply and demand</w:t>
      </w:r>
      <w:r>
        <w:rPr>
          <w:rFonts w:ascii="Arial" w:hAnsi="Arial" w:cs="Arial"/>
        </w:rPr>
        <w:t>; elasticity</w:t>
      </w:r>
    </w:p>
    <w:p w14:paraId="47DB14F4" w14:textId="77777777" w:rsidR="00B658DB" w:rsidRPr="00D90316" w:rsidRDefault="00B658DB" w:rsidP="00B658DB">
      <w:pPr>
        <w:numPr>
          <w:ilvl w:val="0"/>
          <w:numId w:val="27"/>
        </w:numPr>
        <w:tabs>
          <w:tab w:val="clear" w:pos="1800"/>
          <w:tab w:val="num" w:pos="1941"/>
        </w:tabs>
        <w:spacing w:after="0"/>
        <w:ind w:left="1941"/>
        <w:rPr>
          <w:rFonts w:ascii="Arial" w:hAnsi="Arial" w:cs="Arial"/>
        </w:rPr>
      </w:pPr>
      <w:r>
        <w:rPr>
          <w:rFonts w:ascii="Arial" w:hAnsi="Arial" w:cs="Arial"/>
        </w:rPr>
        <w:t>Cost and revenues</w:t>
      </w:r>
    </w:p>
    <w:p w14:paraId="3ABFAB1C" w14:textId="77777777" w:rsidR="00B658DB" w:rsidRPr="00D90316" w:rsidRDefault="00B658DB" w:rsidP="00B658DB">
      <w:pPr>
        <w:numPr>
          <w:ilvl w:val="0"/>
          <w:numId w:val="27"/>
        </w:numPr>
        <w:tabs>
          <w:tab w:val="clear" w:pos="1800"/>
          <w:tab w:val="num" w:pos="1941"/>
        </w:tabs>
        <w:spacing w:after="0"/>
        <w:ind w:left="1941"/>
        <w:rPr>
          <w:rFonts w:ascii="Arial" w:hAnsi="Arial" w:cs="Arial"/>
        </w:rPr>
      </w:pPr>
      <w:r w:rsidRPr="00D90316">
        <w:rPr>
          <w:rFonts w:ascii="Arial" w:hAnsi="Arial" w:cs="Arial"/>
        </w:rPr>
        <w:t>Profit maximisation</w:t>
      </w:r>
      <w:r>
        <w:rPr>
          <w:rFonts w:ascii="Arial" w:hAnsi="Arial" w:cs="Arial"/>
        </w:rPr>
        <w:t xml:space="preserve"> under different market structures</w:t>
      </w:r>
    </w:p>
    <w:p w14:paraId="66141C2C" w14:textId="77777777" w:rsidR="00B658DB" w:rsidRPr="00D90316" w:rsidRDefault="00B658DB" w:rsidP="00B658DB">
      <w:pPr>
        <w:numPr>
          <w:ilvl w:val="0"/>
          <w:numId w:val="27"/>
        </w:numPr>
        <w:tabs>
          <w:tab w:val="clear" w:pos="1800"/>
          <w:tab w:val="num" w:pos="1941"/>
        </w:tabs>
        <w:spacing w:after="0"/>
        <w:ind w:left="1941"/>
        <w:rPr>
          <w:rFonts w:ascii="Arial" w:hAnsi="Arial" w:cs="Arial"/>
        </w:rPr>
      </w:pPr>
      <w:r w:rsidRPr="00D90316">
        <w:rPr>
          <w:rFonts w:ascii="Arial" w:hAnsi="Arial" w:cs="Arial"/>
        </w:rPr>
        <w:t>Input markets</w:t>
      </w:r>
      <w:r>
        <w:rPr>
          <w:rFonts w:ascii="Arial" w:hAnsi="Arial" w:cs="Arial"/>
        </w:rPr>
        <w:t>; labour and capital</w:t>
      </w:r>
    </w:p>
    <w:p w14:paraId="13852B28" w14:textId="77777777" w:rsidR="00D248F6" w:rsidRDefault="00D248F6" w:rsidP="00B658DB">
      <w:pPr>
        <w:spacing w:after="120" w:line="240" w:lineRule="auto"/>
        <w:ind w:left="708" w:right="260"/>
        <w:jc w:val="both"/>
        <w:rPr>
          <w:rFonts w:ascii="Arial" w:hAnsi="Arial" w:cs="Arial"/>
          <w:b/>
        </w:rPr>
      </w:pPr>
    </w:p>
    <w:p w14:paraId="35EE6B21" w14:textId="71A67FA5" w:rsidR="001A7136" w:rsidRPr="001A7136" w:rsidRDefault="001A7136" w:rsidP="00C11439">
      <w:pPr>
        <w:spacing w:after="0" w:line="240" w:lineRule="auto"/>
        <w:ind w:left="501"/>
        <w:rPr>
          <w:rFonts w:ascii="Arial" w:hAnsi="Arial" w:cs="Arial"/>
        </w:rPr>
      </w:pPr>
    </w:p>
    <w:p w14:paraId="7701B145" w14:textId="0818ACB5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32D1AD82" w14:textId="77777777" w:rsidR="00B658DB" w:rsidRPr="00B658DB" w:rsidRDefault="00B658DB" w:rsidP="00B658DB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proofErr w:type="spellStart"/>
      <w:r w:rsidRPr="00B658DB">
        <w:rPr>
          <w:rFonts w:ascii="Arial" w:hAnsi="Arial" w:cs="Arial"/>
        </w:rPr>
        <w:t>Lipsey</w:t>
      </w:r>
      <w:proofErr w:type="spellEnd"/>
      <w:r w:rsidRPr="00B658DB">
        <w:rPr>
          <w:rFonts w:ascii="Arial" w:hAnsi="Arial" w:cs="Arial"/>
        </w:rPr>
        <w:t xml:space="preserve">, R. and Chrystal, A. (2015) </w:t>
      </w:r>
      <w:r w:rsidRPr="00B658DB">
        <w:rPr>
          <w:rFonts w:ascii="Arial" w:hAnsi="Arial" w:cs="Arial"/>
          <w:i/>
        </w:rPr>
        <w:t xml:space="preserve">Economics. </w:t>
      </w:r>
      <w:proofErr w:type="gramStart"/>
      <w:r w:rsidRPr="00B658DB">
        <w:rPr>
          <w:rFonts w:ascii="Arial" w:hAnsi="Arial" w:cs="Arial"/>
        </w:rPr>
        <w:t>13</w:t>
      </w:r>
      <w:r w:rsidRPr="00B658DB">
        <w:rPr>
          <w:rFonts w:ascii="Arial" w:hAnsi="Arial" w:cs="Arial"/>
          <w:vertAlign w:val="superscript"/>
        </w:rPr>
        <w:t>th</w:t>
      </w:r>
      <w:proofErr w:type="gramEnd"/>
      <w:r w:rsidRPr="00B658DB">
        <w:rPr>
          <w:rFonts w:ascii="Arial" w:hAnsi="Arial" w:cs="Arial"/>
        </w:rPr>
        <w:t xml:space="preserve"> ed. Oxford: OUP</w:t>
      </w:r>
    </w:p>
    <w:p w14:paraId="30FA1232" w14:textId="77777777" w:rsidR="00B658DB" w:rsidRPr="00B658DB" w:rsidRDefault="00B658DB" w:rsidP="00B658DB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proofErr w:type="spellStart"/>
      <w:r w:rsidRPr="00B658DB">
        <w:rPr>
          <w:rFonts w:ascii="Arial" w:hAnsi="Arial" w:cs="Arial"/>
        </w:rPr>
        <w:t>Mankiw</w:t>
      </w:r>
      <w:proofErr w:type="spellEnd"/>
      <w:r w:rsidRPr="00B658DB">
        <w:rPr>
          <w:rFonts w:ascii="Arial" w:hAnsi="Arial" w:cs="Arial"/>
        </w:rPr>
        <w:t xml:space="preserve">, N. G., Taylor, M.P. and </w:t>
      </w:r>
      <w:proofErr w:type="spellStart"/>
      <w:r w:rsidRPr="00B658DB">
        <w:rPr>
          <w:rFonts w:ascii="Arial" w:hAnsi="Arial" w:cs="Arial"/>
        </w:rPr>
        <w:t>Ashwin</w:t>
      </w:r>
      <w:proofErr w:type="spellEnd"/>
      <w:r w:rsidRPr="00B658DB">
        <w:rPr>
          <w:rFonts w:ascii="Arial" w:hAnsi="Arial" w:cs="Arial"/>
        </w:rPr>
        <w:t xml:space="preserve">, A. (2013) </w:t>
      </w:r>
      <w:r w:rsidRPr="00B658DB">
        <w:rPr>
          <w:rFonts w:ascii="Arial" w:hAnsi="Arial" w:cs="Arial"/>
          <w:i/>
        </w:rPr>
        <w:t>Business Economics.</w:t>
      </w:r>
      <w:r w:rsidRPr="00B658DB">
        <w:rPr>
          <w:rFonts w:ascii="Arial" w:hAnsi="Arial" w:cs="Arial"/>
        </w:rPr>
        <w:t xml:space="preserve"> Andover: Cengage Learning </w:t>
      </w:r>
    </w:p>
    <w:p w14:paraId="0498C3F6" w14:textId="77777777" w:rsidR="00B658DB" w:rsidRPr="00B658DB" w:rsidRDefault="00B658DB" w:rsidP="00B658DB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proofErr w:type="spellStart"/>
      <w:r w:rsidRPr="00B658DB">
        <w:rPr>
          <w:rFonts w:ascii="Arial" w:hAnsi="Arial" w:cs="Arial"/>
        </w:rPr>
        <w:t>Mulhearn</w:t>
      </w:r>
      <w:proofErr w:type="spellEnd"/>
      <w:r w:rsidRPr="00B658DB">
        <w:rPr>
          <w:rFonts w:ascii="Arial" w:hAnsi="Arial" w:cs="Arial"/>
        </w:rPr>
        <w:t xml:space="preserve">, C. and Vane, H. R. (2015) </w:t>
      </w:r>
      <w:r w:rsidRPr="00B658DB">
        <w:rPr>
          <w:rFonts w:ascii="Arial" w:hAnsi="Arial" w:cs="Arial"/>
          <w:i/>
        </w:rPr>
        <w:t>Economics for Business</w:t>
      </w:r>
      <w:r w:rsidRPr="00B658DB">
        <w:rPr>
          <w:rFonts w:ascii="Arial" w:hAnsi="Arial" w:cs="Arial"/>
        </w:rPr>
        <w:t>. 3</w:t>
      </w:r>
      <w:r w:rsidRPr="00B658DB">
        <w:rPr>
          <w:rFonts w:ascii="Arial" w:hAnsi="Arial" w:cs="Arial"/>
          <w:vertAlign w:val="superscript"/>
        </w:rPr>
        <w:t>rd</w:t>
      </w:r>
      <w:r w:rsidRPr="00B658DB">
        <w:rPr>
          <w:rFonts w:ascii="Arial" w:hAnsi="Arial" w:cs="Arial"/>
        </w:rPr>
        <w:t xml:space="preserve"> </w:t>
      </w:r>
      <w:proofErr w:type="gramStart"/>
      <w:r w:rsidRPr="00B658DB">
        <w:rPr>
          <w:rFonts w:ascii="Arial" w:hAnsi="Arial" w:cs="Arial"/>
        </w:rPr>
        <w:t>ed</w:t>
      </w:r>
      <w:proofErr w:type="gramEnd"/>
      <w:r w:rsidRPr="00B658DB">
        <w:rPr>
          <w:rFonts w:ascii="Arial" w:hAnsi="Arial" w:cs="Arial"/>
        </w:rPr>
        <w:t>. New York: Palgrave Macmillan</w:t>
      </w:r>
    </w:p>
    <w:p w14:paraId="73A265E4" w14:textId="77777777" w:rsidR="00B658DB" w:rsidRPr="00B658DB" w:rsidRDefault="00B658DB" w:rsidP="00B658DB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proofErr w:type="spellStart"/>
      <w:r w:rsidRPr="00B658DB">
        <w:rPr>
          <w:rFonts w:ascii="Arial" w:hAnsi="Arial" w:cs="Arial"/>
        </w:rPr>
        <w:t>Sloman</w:t>
      </w:r>
      <w:proofErr w:type="spellEnd"/>
      <w:r w:rsidRPr="00B658DB">
        <w:rPr>
          <w:rFonts w:ascii="Arial" w:hAnsi="Arial" w:cs="Arial"/>
        </w:rPr>
        <w:t xml:space="preserve">, J., Garrett, D., Guest, J. and Jones, E. (2016) </w:t>
      </w:r>
      <w:r w:rsidRPr="00B658DB">
        <w:rPr>
          <w:rFonts w:ascii="Arial" w:hAnsi="Arial" w:cs="Arial"/>
          <w:i/>
        </w:rPr>
        <w:t xml:space="preserve">Economics for Business. </w:t>
      </w:r>
      <w:proofErr w:type="gramStart"/>
      <w:r w:rsidRPr="00B658DB">
        <w:rPr>
          <w:rFonts w:ascii="Arial" w:hAnsi="Arial" w:cs="Arial"/>
        </w:rPr>
        <w:t>7</w:t>
      </w:r>
      <w:r w:rsidRPr="00B658DB">
        <w:rPr>
          <w:rFonts w:ascii="Arial" w:hAnsi="Arial" w:cs="Arial"/>
          <w:vertAlign w:val="superscript"/>
        </w:rPr>
        <w:t>th</w:t>
      </w:r>
      <w:proofErr w:type="gramEnd"/>
      <w:r w:rsidRPr="00B658DB">
        <w:rPr>
          <w:rFonts w:ascii="Arial" w:hAnsi="Arial" w:cs="Arial"/>
        </w:rPr>
        <w:t xml:space="preserve"> ed. Harlow: Pearson </w:t>
      </w:r>
    </w:p>
    <w:p w14:paraId="35A64198" w14:textId="77777777" w:rsidR="0099626B" w:rsidRDefault="0099626B" w:rsidP="00351B1D">
      <w:pPr>
        <w:spacing w:after="120" w:line="240" w:lineRule="auto"/>
        <w:ind w:left="414" w:right="260"/>
        <w:jc w:val="both"/>
        <w:rPr>
          <w:rFonts w:ascii="Arial" w:hAnsi="Arial" w:cs="Arial"/>
          <w:b/>
        </w:rPr>
      </w:pP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4B56CAC5" w:rsidR="009A2D37" w:rsidRPr="0087347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contact hours:</w:t>
      </w:r>
      <w:r w:rsidR="00B35C17">
        <w:rPr>
          <w:rFonts w:ascii="Arial" w:hAnsi="Arial" w:cs="Arial"/>
          <w:iCs/>
        </w:rPr>
        <w:t xml:space="preserve"> </w:t>
      </w:r>
      <w:r w:rsidR="000459B4">
        <w:rPr>
          <w:rFonts w:ascii="Arial" w:hAnsi="Arial" w:cs="Arial"/>
          <w:iCs/>
        </w:rPr>
        <w:t>24</w:t>
      </w:r>
    </w:p>
    <w:p w14:paraId="0AB4FB84" w14:textId="19AC5451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Private study hours:</w:t>
      </w:r>
      <w:r w:rsidR="00B35C17">
        <w:rPr>
          <w:rFonts w:ascii="Arial" w:hAnsi="Arial" w:cs="Arial"/>
          <w:iCs/>
        </w:rPr>
        <w:t xml:space="preserve"> </w:t>
      </w:r>
      <w:r w:rsidR="000459B4">
        <w:rPr>
          <w:rFonts w:ascii="Arial" w:hAnsi="Arial" w:cs="Arial"/>
          <w:iCs/>
        </w:rPr>
        <w:t>126</w:t>
      </w:r>
    </w:p>
    <w:p w14:paraId="153D50FC" w14:textId="232183A9" w:rsidR="009A2D37" w:rsidRPr="00692328" w:rsidRDefault="00C57028" w:rsidP="006923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B35C17">
        <w:rPr>
          <w:rFonts w:ascii="Arial" w:hAnsi="Arial" w:cs="Arial"/>
          <w:iCs/>
        </w:rPr>
        <w:t xml:space="preserve"> 150</w:t>
      </w: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B69D6C" w14:textId="1157D77D" w:rsidR="007B32E8" w:rsidRDefault="00696FF5" w:rsidP="007B32E8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71F28B28" w14:textId="77777777" w:rsidR="007B32E8" w:rsidRPr="007B32E8" w:rsidRDefault="007B32E8" w:rsidP="007B32E8">
      <w:pPr>
        <w:pStyle w:val="ListParagraph"/>
        <w:spacing w:after="120"/>
        <w:ind w:left="567"/>
        <w:rPr>
          <w:rFonts w:ascii="Arial" w:hAnsi="Arial" w:cs="Arial"/>
          <w:iCs/>
        </w:rPr>
      </w:pPr>
    </w:p>
    <w:p w14:paraId="0C6A13FA" w14:textId="388AFAD8" w:rsidR="007B32E8" w:rsidRPr="00730CC6" w:rsidRDefault="000459B4" w:rsidP="00784E45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30CC6">
        <w:rPr>
          <w:rFonts w:ascii="Arial" w:hAnsi="Arial" w:cs="Arial"/>
          <w:iCs/>
        </w:rPr>
        <w:t>On-Line Moodle Test 1 (2</w:t>
      </w:r>
      <w:r w:rsidR="00784E45" w:rsidRPr="00730CC6">
        <w:rPr>
          <w:rFonts w:ascii="Arial" w:hAnsi="Arial" w:cs="Arial"/>
          <w:iCs/>
        </w:rPr>
        <w:t>0</w:t>
      </w:r>
      <w:r w:rsidR="007B32E8" w:rsidRPr="00730CC6">
        <w:rPr>
          <w:rFonts w:ascii="Arial" w:hAnsi="Arial" w:cs="Arial"/>
          <w:iCs/>
        </w:rPr>
        <w:t>%)</w:t>
      </w:r>
    </w:p>
    <w:p w14:paraId="3D8A71B1" w14:textId="3D8F470A" w:rsidR="00C837AD" w:rsidRPr="00730CC6" w:rsidRDefault="000459B4" w:rsidP="00784E45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30CC6">
        <w:rPr>
          <w:rFonts w:ascii="Arial" w:hAnsi="Arial" w:cs="Arial"/>
          <w:iCs/>
        </w:rPr>
        <w:t>On-Line Moodle Test 2</w:t>
      </w:r>
      <w:r w:rsidR="00C837AD" w:rsidRPr="00730CC6">
        <w:rPr>
          <w:rFonts w:ascii="Arial" w:hAnsi="Arial" w:cs="Arial"/>
          <w:iCs/>
        </w:rPr>
        <w:t xml:space="preserve"> (20%)</w:t>
      </w:r>
    </w:p>
    <w:p w14:paraId="2163FBCA" w14:textId="5657F5D3" w:rsidR="00444F55" w:rsidRDefault="0001174F" w:rsidP="00F16AB2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30CC6">
        <w:rPr>
          <w:rFonts w:ascii="Arial" w:hAnsi="Arial" w:cs="Arial"/>
          <w:iCs/>
        </w:rPr>
        <w:t>E</w:t>
      </w:r>
      <w:r w:rsidR="000459B4" w:rsidRPr="00730CC6">
        <w:rPr>
          <w:rFonts w:ascii="Arial" w:hAnsi="Arial" w:cs="Arial"/>
          <w:iCs/>
        </w:rPr>
        <w:t>xamination, 2 Hour (6</w:t>
      </w:r>
      <w:r w:rsidR="00F16AB2" w:rsidRPr="00730CC6">
        <w:rPr>
          <w:rFonts w:ascii="Arial" w:hAnsi="Arial" w:cs="Arial"/>
          <w:iCs/>
        </w:rPr>
        <w:t>0%)</w:t>
      </w:r>
    </w:p>
    <w:p w14:paraId="2D22558A" w14:textId="0FF5C904" w:rsidR="006043FC" w:rsidRDefault="006043FC" w:rsidP="001C1D48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3FB42CD9" w14:textId="770C1BD8" w:rsidR="007B32E8" w:rsidRDefault="00696FF5" w:rsidP="00F16AB2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6951B2A" w14:textId="0348EE99" w:rsidR="00F16AB2" w:rsidRPr="00F16AB2" w:rsidRDefault="00F16AB2" w:rsidP="00F16AB2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ab/>
      </w:r>
      <w:r w:rsidR="000459B4" w:rsidRPr="000459B4">
        <w:rPr>
          <w:rFonts w:ascii="Arial" w:hAnsi="Arial" w:cs="Arial"/>
          <w:iCs/>
        </w:rPr>
        <w:t>Reassessment Instrument: 100% exam</w:t>
      </w:r>
    </w:p>
    <w:p w14:paraId="6DE3590E" w14:textId="77777777" w:rsidR="00696FF5" w:rsidRPr="00730CC6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45DC6BF7" w14:textId="77777777" w:rsidR="00274ED7" w:rsidRPr="00730CC6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730CC6">
        <w:rPr>
          <w:rFonts w:ascii="Arial" w:hAnsi="Arial" w:cs="Arial"/>
          <w:b/>
          <w:iCs/>
        </w:rPr>
        <w:t xml:space="preserve">Map of </w:t>
      </w:r>
      <w:r w:rsidR="00883204" w:rsidRPr="00730CC6">
        <w:rPr>
          <w:rFonts w:ascii="Arial" w:hAnsi="Arial" w:cs="Arial"/>
          <w:b/>
          <w:iCs/>
        </w:rPr>
        <w:t xml:space="preserve">module learning outcomes </w:t>
      </w:r>
      <w:r w:rsidR="00B30E07" w:rsidRPr="00730CC6">
        <w:rPr>
          <w:rFonts w:ascii="Arial" w:hAnsi="Arial" w:cs="Arial"/>
          <w:b/>
          <w:iCs/>
        </w:rPr>
        <w:t>(sections 8 &amp; 9)</w:t>
      </w:r>
      <w:r w:rsidR="00883204" w:rsidRPr="00730CC6">
        <w:rPr>
          <w:rFonts w:ascii="Arial" w:hAnsi="Arial" w:cs="Arial"/>
          <w:b/>
          <w:iCs/>
        </w:rPr>
        <w:t xml:space="preserve"> to l</w:t>
      </w:r>
      <w:r w:rsidRPr="00730CC6">
        <w:rPr>
          <w:rFonts w:ascii="Arial" w:hAnsi="Arial" w:cs="Arial"/>
          <w:b/>
          <w:iCs/>
        </w:rPr>
        <w:t>earning</w:t>
      </w:r>
      <w:r w:rsidR="00B30E07" w:rsidRPr="00730CC6">
        <w:rPr>
          <w:rFonts w:ascii="Arial" w:hAnsi="Arial" w:cs="Arial"/>
          <w:b/>
          <w:iCs/>
        </w:rPr>
        <w:t xml:space="preserve"> and </w:t>
      </w:r>
      <w:r w:rsidR="00883204" w:rsidRPr="00730CC6">
        <w:rPr>
          <w:rFonts w:ascii="Arial" w:hAnsi="Arial" w:cs="Arial"/>
          <w:b/>
          <w:iCs/>
        </w:rPr>
        <w:t>teaching m</w:t>
      </w:r>
      <w:r w:rsidR="00B30E07" w:rsidRPr="00730CC6">
        <w:rPr>
          <w:rFonts w:ascii="Arial" w:hAnsi="Arial" w:cs="Arial"/>
          <w:b/>
          <w:iCs/>
        </w:rPr>
        <w:t>ethods (section12</w:t>
      </w:r>
      <w:r w:rsidRPr="00730CC6">
        <w:rPr>
          <w:rFonts w:ascii="Arial" w:hAnsi="Arial" w:cs="Arial"/>
          <w:b/>
          <w:iCs/>
        </w:rPr>
        <w:t>) and m</w:t>
      </w:r>
      <w:r w:rsidR="00883204" w:rsidRPr="00730CC6">
        <w:rPr>
          <w:rFonts w:ascii="Arial" w:hAnsi="Arial" w:cs="Arial"/>
          <w:b/>
          <w:iCs/>
        </w:rPr>
        <w:t>ethods of a</w:t>
      </w:r>
      <w:r w:rsidR="00B30E07" w:rsidRPr="00730CC6">
        <w:rPr>
          <w:rFonts w:ascii="Arial" w:hAnsi="Arial" w:cs="Arial"/>
          <w:b/>
          <w:iCs/>
        </w:rPr>
        <w:t>ssessment (section 13</w:t>
      </w:r>
      <w:r w:rsidR="00EF4933" w:rsidRPr="00730CC6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85"/>
        <w:gridCol w:w="774"/>
        <w:gridCol w:w="772"/>
        <w:gridCol w:w="772"/>
        <w:gridCol w:w="772"/>
        <w:gridCol w:w="772"/>
        <w:gridCol w:w="772"/>
        <w:gridCol w:w="772"/>
        <w:gridCol w:w="765"/>
      </w:tblGrid>
      <w:tr w:rsidR="000459B4" w:rsidRPr="00302082" w14:paraId="03E50D7D" w14:textId="77777777" w:rsidTr="00730CC6">
        <w:tc>
          <w:tcPr>
            <w:tcW w:w="2049" w:type="pct"/>
            <w:shd w:val="clear" w:color="auto" w:fill="D9D9D9" w:themeFill="background1" w:themeFillShade="D9"/>
          </w:tcPr>
          <w:p w14:paraId="311EB564" w14:textId="77777777" w:rsidR="000459B4" w:rsidRPr="00302082" w:rsidRDefault="000459B4" w:rsidP="00B64A6B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70" w:type="pct"/>
          </w:tcPr>
          <w:p w14:paraId="5E327879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69" w:type="pct"/>
          </w:tcPr>
          <w:p w14:paraId="514499B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69" w:type="pct"/>
          </w:tcPr>
          <w:p w14:paraId="4FC9F791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69" w:type="pct"/>
          </w:tcPr>
          <w:p w14:paraId="122B59B5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69" w:type="pct"/>
          </w:tcPr>
          <w:p w14:paraId="241D3B0A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69" w:type="pct"/>
          </w:tcPr>
          <w:p w14:paraId="106EB0A6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69" w:type="pct"/>
          </w:tcPr>
          <w:p w14:paraId="017B84C2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66" w:type="pct"/>
          </w:tcPr>
          <w:p w14:paraId="7AA0BFA5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0459B4" w:rsidRPr="00302082" w14:paraId="4FB90D42" w14:textId="77777777" w:rsidTr="00730CC6">
        <w:tc>
          <w:tcPr>
            <w:tcW w:w="2049" w:type="pct"/>
            <w:shd w:val="clear" w:color="auto" w:fill="D9D9D9" w:themeFill="background1" w:themeFillShade="D9"/>
          </w:tcPr>
          <w:p w14:paraId="05432CAF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70" w:type="pct"/>
          </w:tcPr>
          <w:p w14:paraId="4EF8EE1B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3ED36816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4F4CEB82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54F3BA0F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2535B781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18CD927A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2179182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</w:tcPr>
          <w:p w14:paraId="3DA07519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459B4" w:rsidRPr="00302082" w14:paraId="705C67D7" w14:textId="77777777" w:rsidTr="00730CC6">
        <w:tc>
          <w:tcPr>
            <w:tcW w:w="2049" w:type="pct"/>
          </w:tcPr>
          <w:p w14:paraId="093E7A44" w14:textId="77777777" w:rsidR="000459B4" w:rsidRPr="00A84ED7" w:rsidRDefault="000459B4" w:rsidP="00B64A6B">
            <w:pPr>
              <w:spacing w:after="120"/>
              <w:rPr>
                <w:rFonts w:ascii="Arial" w:hAnsi="Arial" w:cs="Arial"/>
              </w:rPr>
            </w:pPr>
            <w:r w:rsidRPr="00A84ED7">
              <w:rPr>
                <w:rFonts w:ascii="Arial" w:hAnsi="Arial" w:cs="Arial"/>
              </w:rPr>
              <w:t>Large group teaching</w:t>
            </w:r>
          </w:p>
        </w:tc>
        <w:tc>
          <w:tcPr>
            <w:tcW w:w="370" w:type="pct"/>
          </w:tcPr>
          <w:p w14:paraId="412E2AF1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23323F03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59A8194D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20DF7631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37C5F9C3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410B7E03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70EE2090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</w:tcPr>
          <w:p w14:paraId="7A642E9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459B4" w:rsidRPr="00302082" w14:paraId="7268FC11" w14:textId="77777777" w:rsidTr="00730CC6">
        <w:tc>
          <w:tcPr>
            <w:tcW w:w="2049" w:type="pct"/>
          </w:tcPr>
          <w:p w14:paraId="24088F3B" w14:textId="77777777" w:rsidR="000459B4" w:rsidRPr="00A84ED7" w:rsidRDefault="000459B4" w:rsidP="00B64A6B">
            <w:pPr>
              <w:spacing w:after="120"/>
              <w:rPr>
                <w:rFonts w:ascii="Arial" w:hAnsi="Arial" w:cs="Arial"/>
              </w:rPr>
            </w:pPr>
            <w:r w:rsidRPr="00A84ED7">
              <w:rPr>
                <w:rFonts w:ascii="Arial" w:hAnsi="Arial" w:cs="Arial"/>
              </w:rPr>
              <w:t>Small group teaching</w:t>
            </w:r>
          </w:p>
        </w:tc>
        <w:tc>
          <w:tcPr>
            <w:tcW w:w="370" w:type="pct"/>
          </w:tcPr>
          <w:p w14:paraId="726B1E12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126D97D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11670453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381DA93D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64F24EC4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3EC4AB97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19F79966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</w:tcPr>
          <w:p w14:paraId="4AC493DA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459B4" w:rsidRPr="00302082" w14:paraId="18E285A0" w14:textId="77777777" w:rsidTr="00730CC6">
        <w:tc>
          <w:tcPr>
            <w:tcW w:w="2049" w:type="pct"/>
          </w:tcPr>
          <w:p w14:paraId="409B0B44" w14:textId="77777777" w:rsidR="000459B4" w:rsidRPr="00A84ED7" w:rsidRDefault="000459B4" w:rsidP="00B64A6B">
            <w:pPr>
              <w:spacing w:after="120"/>
              <w:rPr>
                <w:rFonts w:ascii="Arial" w:hAnsi="Arial" w:cs="Arial"/>
              </w:rPr>
            </w:pPr>
            <w:r w:rsidRPr="00A84ED7">
              <w:rPr>
                <w:rFonts w:ascii="Arial" w:hAnsi="Arial" w:cs="Arial"/>
              </w:rPr>
              <w:t>Workshops</w:t>
            </w:r>
          </w:p>
        </w:tc>
        <w:tc>
          <w:tcPr>
            <w:tcW w:w="370" w:type="pct"/>
          </w:tcPr>
          <w:p w14:paraId="43D6EB2B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2708AA03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126F0351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47DF062E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51FCDEB0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6CF7E6D1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7D5EDACE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</w:tcPr>
          <w:p w14:paraId="3AFD0CD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459B4" w:rsidRPr="00302082" w14:paraId="3F41ED96" w14:textId="77777777" w:rsidTr="00730CC6">
        <w:tc>
          <w:tcPr>
            <w:tcW w:w="2049" w:type="pct"/>
          </w:tcPr>
          <w:p w14:paraId="452D05B8" w14:textId="77777777" w:rsidR="000459B4" w:rsidRPr="00A84ED7" w:rsidRDefault="000459B4" w:rsidP="00B64A6B">
            <w:pPr>
              <w:spacing w:after="120"/>
              <w:rPr>
                <w:rFonts w:ascii="Arial" w:hAnsi="Arial" w:cs="Arial"/>
              </w:rPr>
            </w:pPr>
            <w:r w:rsidRPr="00A84ED7">
              <w:rPr>
                <w:rFonts w:ascii="Arial" w:hAnsi="Arial" w:cs="Arial"/>
              </w:rPr>
              <w:t>Private Study</w:t>
            </w:r>
          </w:p>
        </w:tc>
        <w:tc>
          <w:tcPr>
            <w:tcW w:w="370" w:type="pct"/>
          </w:tcPr>
          <w:p w14:paraId="41277167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213647DF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3A700C7B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779B95AF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26CA53F6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3B03C1BC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1A2C1A12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</w:tcPr>
          <w:p w14:paraId="28F0F709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459B4" w:rsidRPr="00302082" w14:paraId="3F19DF8A" w14:textId="77777777" w:rsidTr="00730CC6">
        <w:tc>
          <w:tcPr>
            <w:tcW w:w="2049" w:type="pct"/>
            <w:shd w:val="clear" w:color="auto" w:fill="D9D9D9" w:themeFill="background1" w:themeFillShade="D9"/>
          </w:tcPr>
          <w:p w14:paraId="1BB9D830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70" w:type="pct"/>
          </w:tcPr>
          <w:p w14:paraId="06902F97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647E5D5D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5ED0AAC0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06336C2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7DC8FD4A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22A9FA05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6DE94849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</w:tcPr>
          <w:p w14:paraId="29871ABF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459B4" w:rsidRPr="00302082" w14:paraId="10177921" w14:textId="77777777" w:rsidTr="00730CC6">
        <w:tc>
          <w:tcPr>
            <w:tcW w:w="2049" w:type="pct"/>
          </w:tcPr>
          <w:p w14:paraId="5EA175EA" w14:textId="77777777" w:rsidR="000459B4" w:rsidRPr="00CB3724" w:rsidRDefault="000459B4" w:rsidP="00B64A6B">
            <w:pPr>
              <w:spacing w:after="120"/>
              <w:rPr>
                <w:rFonts w:ascii="Arial" w:hAnsi="Arial" w:cs="Arial"/>
              </w:rPr>
            </w:pPr>
            <w:r w:rsidRPr="00CB3724">
              <w:rPr>
                <w:rFonts w:ascii="Arial" w:hAnsi="Arial" w:cs="Arial"/>
              </w:rPr>
              <w:t>MCQ test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70" w:type="pct"/>
          </w:tcPr>
          <w:p w14:paraId="67C14419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7C5E717C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4E348C4B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50F708F7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301FBEE7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4CEB6F3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7F16A63C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</w:tcPr>
          <w:p w14:paraId="22F4456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459B4" w:rsidRPr="00302082" w14:paraId="02C783AF" w14:textId="77777777" w:rsidTr="00730CC6">
        <w:tc>
          <w:tcPr>
            <w:tcW w:w="2049" w:type="pct"/>
          </w:tcPr>
          <w:p w14:paraId="6F8EB25D" w14:textId="77777777" w:rsidR="000459B4" w:rsidRPr="00CB3724" w:rsidRDefault="000459B4" w:rsidP="00B64A6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MCQ test2</w:t>
            </w:r>
          </w:p>
        </w:tc>
        <w:tc>
          <w:tcPr>
            <w:tcW w:w="370" w:type="pct"/>
          </w:tcPr>
          <w:p w14:paraId="305CA281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6CD3087A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69" w:type="pct"/>
          </w:tcPr>
          <w:p w14:paraId="76F91373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4C6C089B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6792F673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0C05994F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4DD72505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</w:tcPr>
          <w:p w14:paraId="51B408EE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459B4" w:rsidRPr="00302082" w14:paraId="68A27D10" w14:textId="77777777" w:rsidTr="00730CC6">
        <w:tc>
          <w:tcPr>
            <w:tcW w:w="2049" w:type="pct"/>
          </w:tcPr>
          <w:p w14:paraId="3B136F4C" w14:textId="77777777" w:rsidR="000459B4" w:rsidRPr="00CB3724" w:rsidRDefault="000459B4" w:rsidP="00B64A6B">
            <w:pPr>
              <w:spacing w:after="120"/>
              <w:rPr>
                <w:rFonts w:ascii="Arial" w:hAnsi="Arial" w:cs="Arial"/>
              </w:rPr>
            </w:pPr>
            <w:r w:rsidRPr="00CB3724">
              <w:rPr>
                <w:rFonts w:ascii="Arial" w:hAnsi="Arial" w:cs="Arial"/>
              </w:rPr>
              <w:t>Examination</w:t>
            </w:r>
          </w:p>
        </w:tc>
        <w:tc>
          <w:tcPr>
            <w:tcW w:w="370" w:type="pct"/>
          </w:tcPr>
          <w:p w14:paraId="15275760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214FA810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07EF2B6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7D60F41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0B81293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7516FD6A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9" w:type="pct"/>
          </w:tcPr>
          <w:p w14:paraId="0E04D4EE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6" w:type="pct"/>
          </w:tcPr>
          <w:p w14:paraId="6A696708" w14:textId="77777777" w:rsidR="000459B4" w:rsidRPr="00302082" w:rsidRDefault="000459B4" w:rsidP="00B64A6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4B9808A1" w14:textId="0ADC8CB2" w:rsidR="007A6245" w:rsidRDefault="007A6245" w:rsidP="00873473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228FDD6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</w:t>
      </w:r>
      <w:r w:rsidRPr="00D50113">
        <w:rPr>
          <w:rFonts w:ascii="Arial" w:hAnsi="Arial" w:cs="Arial"/>
        </w:rPr>
        <w:lastRenderedPageBreak/>
        <w:t xml:space="preserve">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580ECF3" w14:textId="3377A9FD" w:rsidR="00096DA4" w:rsidRPr="00C0267C" w:rsidRDefault="00883204" w:rsidP="00C0267C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750A3550" w:rsidR="009A2D37" w:rsidRPr="00873473" w:rsidRDefault="00784E45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Medway</w:t>
      </w:r>
      <w:r w:rsidR="009A2D37" w:rsidRPr="00873473">
        <w:rPr>
          <w:rFonts w:ascii="Arial" w:hAnsi="Arial" w:cs="Arial"/>
        </w:rPr>
        <w:t xml:space="preserve"> </w:t>
      </w:r>
    </w:p>
    <w:p w14:paraId="24BFBC99" w14:textId="02A72A85" w:rsidR="00883204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C0267C">
        <w:rPr>
          <w:rFonts w:ascii="Arial" w:hAnsi="Arial" w:cs="Arial"/>
          <w:b/>
        </w:rPr>
        <w:t>Internationalisation</w:t>
      </w:r>
      <w:r w:rsidRPr="002A7F48">
        <w:rPr>
          <w:rFonts w:ascii="Arial" w:hAnsi="Arial" w:cs="Arial"/>
          <w:b/>
        </w:rPr>
        <w:t xml:space="preserve"> </w:t>
      </w:r>
    </w:p>
    <w:p w14:paraId="35A7E120" w14:textId="77777777" w:rsidR="000459B4" w:rsidRPr="000459B4" w:rsidRDefault="000459B4" w:rsidP="000459B4">
      <w:pPr>
        <w:pStyle w:val="ListParagraph"/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0459B4">
        <w:rPr>
          <w:rFonts w:ascii="Arial" w:hAnsi="Arial" w:cs="Arial"/>
        </w:rPr>
        <w:t xml:space="preserve">In line with subject learning outcome 8.4, students are encouraged to explore global business issues and consider how institutional arrangements might affect economic outcomes and the functioning of the market. Workshops </w:t>
      </w:r>
      <w:proofErr w:type="gramStart"/>
      <w:r w:rsidRPr="000459B4">
        <w:rPr>
          <w:rFonts w:ascii="Arial" w:hAnsi="Arial" w:cs="Arial"/>
        </w:rPr>
        <w:t>will be used</w:t>
      </w:r>
      <w:proofErr w:type="gramEnd"/>
      <w:r w:rsidRPr="000459B4">
        <w:rPr>
          <w:rFonts w:ascii="Arial" w:hAnsi="Arial" w:cs="Arial"/>
        </w:rPr>
        <w:t xml:space="preserve"> to explore the international dimensions in relation to industrial development and labour and capital markets.    </w:t>
      </w:r>
    </w:p>
    <w:p w14:paraId="6216EB6F" w14:textId="77777777" w:rsidR="00784E45" w:rsidRDefault="00784E45" w:rsidP="00784E45">
      <w:pPr>
        <w:spacing w:after="120" w:line="240" w:lineRule="auto"/>
        <w:ind w:left="414" w:right="261"/>
        <w:jc w:val="both"/>
        <w:rPr>
          <w:rFonts w:ascii="Arial" w:hAnsi="Arial" w:cs="Arial"/>
          <w:b/>
        </w:rPr>
      </w:pPr>
    </w:p>
    <w:p w14:paraId="1BD91928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0459B4" w:rsidRPr="00302082" w14:paraId="07085151" w14:textId="77777777" w:rsidTr="00694309">
        <w:trPr>
          <w:trHeight w:val="305"/>
        </w:trPr>
        <w:tc>
          <w:tcPr>
            <w:tcW w:w="1526" w:type="dxa"/>
          </w:tcPr>
          <w:p w14:paraId="3A16B3FC" w14:textId="1C2425C6" w:rsidR="000459B4" w:rsidRPr="00506EEA" w:rsidRDefault="000459B4" w:rsidP="000459B4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04/01/17</w:t>
            </w:r>
          </w:p>
        </w:tc>
        <w:tc>
          <w:tcPr>
            <w:tcW w:w="1701" w:type="dxa"/>
          </w:tcPr>
          <w:p w14:paraId="1403AEBB" w14:textId="31C9DFFE" w:rsidR="000459B4" w:rsidRPr="00506EEA" w:rsidRDefault="000459B4" w:rsidP="000459B4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6C52E9CA" w14:textId="28A2DC8E" w:rsidR="000459B4" w:rsidRPr="00506EEA" w:rsidRDefault="000459B4" w:rsidP="000459B4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2018</w:t>
            </w:r>
          </w:p>
        </w:tc>
        <w:tc>
          <w:tcPr>
            <w:tcW w:w="2448" w:type="dxa"/>
          </w:tcPr>
          <w:p w14:paraId="43DFCA84" w14:textId="0AF3FFCB" w:rsidR="000459B4" w:rsidRPr="00506EEA" w:rsidRDefault="000459B4" w:rsidP="000459B4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97" w:type="dxa"/>
          </w:tcPr>
          <w:p w14:paraId="7B690596" w14:textId="4DA8B7CE" w:rsidR="000459B4" w:rsidRPr="00506EEA" w:rsidRDefault="000459B4" w:rsidP="000459B4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459B4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0459B4" w:rsidRPr="00302082" w:rsidRDefault="000459B4" w:rsidP="000459B4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0459B4" w:rsidRPr="00302082" w:rsidRDefault="000459B4" w:rsidP="000459B4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0459B4" w:rsidRPr="00302082" w:rsidRDefault="000459B4" w:rsidP="000459B4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0459B4" w:rsidRPr="00302082" w:rsidRDefault="000459B4" w:rsidP="000459B4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0459B4" w:rsidRPr="00302082" w:rsidRDefault="000459B4" w:rsidP="000459B4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B5A2" w14:textId="77777777" w:rsidR="00FE187B" w:rsidRDefault="00FE187B" w:rsidP="009A2D37">
      <w:pPr>
        <w:spacing w:after="0" w:line="240" w:lineRule="auto"/>
      </w:pPr>
      <w:r>
        <w:separator/>
      </w:r>
    </w:p>
  </w:endnote>
  <w:endnote w:type="continuationSeparator" w:id="0">
    <w:p w14:paraId="171990AA" w14:textId="77777777" w:rsidR="00FE187B" w:rsidRDefault="00FE187B" w:rsidP="009A2D37">
      <w:pPr>
        <w:spacing w:after="0" w:line="240" w:lineRule="auto"/>
      </w:pPr>
      <w:r>
        <w:continuationSeparator/>
      </w:r>
    </w:p>
  </w:endnote>
  <w:endnote w:type="continuationNotice" w:id="1">
    <w:p w14:paraId="195CA66C" w14:textId="77777777" w:rsidR="00FE187B" w:rsidRDefault="00FE1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7BF89B94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F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B778" w14:textId="77777777" w:rsidR="00FE187B" w:rsidRDefault="00FE187B" w:rsidP="009A2D37">
      <w:pPr>
        <w:spacing w:after="0" w:line="240" w:lineRule="auto"/>
      </w:pPr>
      <w:r>
        <w:separator/>
      </w:r>
    </w:p>
  </w:footnote>
  <w:footnote w:type="continuationSeparator" w:id="0">
    <w:p w14:paraId="1B7B0696" w14:textId="77777777" w:rsidR="00FE187B" w:rsidRDefault="00FE187B" w:rsidP="009A2D37">
      <w:pPr>
        <w:spacing w:after="0" w:line="240" w:lineRule="auto"/>
      </w:pPr>
      <w:r>
        <w:continuationSeparator/>
      </w:r>
    </w:p>
  </w:footnote>
  <w:footnote w:type="continuationNotice" w:id="1">
    <w:p w14:paraId="117641B7" w14:textId="77777777" w:rsidR="00FE187B" w:rsidRDefault="00FE1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777EE"/>
    <w:multiLevelType w:val="hybridMultilevel"/>
    <w:tmpl w:val="83C0D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397638"/>
    <w:multiLevelType w:val="multilevel"/>
    <w:tmpl w:val="DD8E18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4730FE8"/>
    <w:multiLevelType w:val="hybridMultilevel"/>
    <w:tmpl w:val="D0562982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1E24ACC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42DE"/>
    <w:multiLevelType w:val="hybridMultilevel"/>
    <w:tmpl w:val="EB942E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F3658B7"/>
    <w:multiLevelType w:val="hybridMultilevel"/>
    <w:tmpl w:val="47723F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5C92780"/>
    <w:multiLevelType w:val="hybridMultilevel"/>
    <w:tmpl w:val="D638B0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5F77BB"/>
    <w:multiLevelType w:val="hybridMultilevel"/>
    <w:tmpl w:val="40B01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3D4E3A"/>
    <w:multiLevelType w:val="hybridMultilevel"/>
    <w:tmpl w:val="683C53A0"/>
    <w:lvl w:ilvl="0" w:tplc="E55A317A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2FA3345"/>
    <w:multiLevelType w:val="hybridMultilevel"/>
    <w:tmpl w:val="1D56DC38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11" w:hanging="360"/>
      </w:pPr>
    </w:lvl>
    <w:lvl w:ilvl="2" w:tplc="0809001B" w:tentative="1">
      <w:start w:val="1"/>
      <w:numFmt w:val="lowerRoman"/>
      <w:lvlText w:val="%3."/>
      <w:lvlJc w:val="right"/>
      <w:pPr>
        <w:ind w:left="3231" w:hanging="180"/>
      </w:pPr>
    </w:lvl>
    <w:lvl w:ilvl="3" w:tplc="0809000F" w:tentative="1">
      <w:start w:val="1"/>
      <w:numFmt w:val="decimal"/>
      <w:lvlText w:val="%4."/>
      <w:lvlJc w:val="left"/>
      <w:pPr>
        <w:ind w:left="3951" w:hanging="360"/>
      </w:pPr>
    </w:lvl>
    <w:lvl w:ilvl="4" w:tplc="08090019" w:tentative="1">
      <w:start w:val="1"/>
      <w:numFmt w:val="lowerLetter"/>
      <w:lvlText w:val="%5."/>
      <w:lvlJc w:val="left"/>
      <w:pPr>
        <w:ind w:left="4671" w:hanging="360"/>
      </w:pPr>
    </w:lvl>
    <w:lvl w:ilvl="5" w:tplc="0809001B" w:tentative="1">
      <w:start w:val="1"/>
      <w:numFmt w:val="lowerRoman"/>
      <w:lvlText w:val="%6."/>
      <w:lvlJc w:val="right"/>
      <w:pPr>
        <w:ind w:left="5391" w:hanging="180"/>
      </w:pPr>
    </w:lvl>
    <w:lvl w:ilvl="6" w:tplc="0809000F" w:tentative="1">
      <w:start w:val="1"/>
      <w:numFmt w:val="decimal"/>
      <w:lvlText w:val="%7."/>
      <w:lvlJc w:val="left"/>
      <w:pPr>
        <w:ind w:left="6111" w:hanging="360"/>
      </w:pPr>
    </w:lvl>
    <w:lvl w:ilvl="7" w:tplc="08090019" w:tentative="1">
      <w:start w:val="1"/>
      <w:numFmt w:val="lowerLetter"/>
      <w:lvlText w:val="%8."/>
      <w:lvlJc w:val="left"/>
      <w:pPr>
        <w:ind w:left="6831" w:hanging="360"/>
      </w:pPr>
    </w:lvl>
    <w:lvl w:ilvl="8" w:tplc="08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45727AA3"/>
    <w:multiLevelType w:val="hybridMultilevel"/>
    <w:tmpl w:val="43E4EF32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E24ACC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8733F"/>
    <w:multiLevelType w:val="hybridMultilevel"/>
    <w:tmpl w:val="3540419E"/>
    <w:lvl w:ilvl="0" w:tplc="99062078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B6AC8"/>
    <w:multiLevelType w:val="hybridMultilevel"/>
    <w:tmpl w:val="BB9254B4"/>
    <w:lvl w:ilvl="0" w:tplc="99BEA0E8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B8783A"/>
    <w:multiLevelType w:val="multilevel"/>
    <w:tmpl w:val="EA542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88D56BC"/>
    <w:multiLevelType w:val="hybridMultilevel"/>
    <w:tmpl w:val="5A7C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6AF61D3C"/>
    <w:multiLevelType w:val="hybridMultilevel"/>
    <w:tmpl w:val="97A2C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7024DC"/>
    <w:multiLevelType w:val="hybridMultilevel"/>
    <w:tmpl w:val="AC6AD9A8"/>
    <w:lvl w:ilvl="0" w:tplc="99BEA0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9634E4"/>
    <w:multiLevelType w:val="multilevel"/>
    <w:tmpl w:val="7CA2CD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71801"/>
    <w:multiLevelType w:val="hybridMultilevel"/>
    <w:tmpl w:val="CA6AD40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20"/>
  </w:num>
  <w:num w:numId="6">
    <w:abstractNumId w:val="17"/>
  </w:num>
  <w:num w:numId="7">
    <w:abstractNumId w:val="25"/>
  </w:num>
  <w:num w:numId="8">
    <w:abstractNumId w:val="19"/>
  </w:num>
  <w:num w:numId="9">
    <w:abstractNumId w:val="8"/>
  </w:num>
  <w:num w:numId="10">
    <w:abstractNumId w:val="21"/>
  </w:num>
  <w:num w:numId="11">
    <w:abstractNumId w:val="12"/>
  </w:num>
  <w:num w:numId="12">
    <w:abstractNumId w:val="24"/>
  </w:num>
  <w:num w:numId="13">
    <w:abstractNumId w:val="3"/>
  </w:num>
  <w:num w:numId="14">
    <w:abstractNumId w:val="1"/>
  </w:num>
  <w:num w:numId="15">
    <w:abstractNumId w:val="13"/>
  </w:num>
  <w:num w:numId="16">
    <w:abstractNumId w:val="26"/>
  </w:num>
  <w:num w:numId="17">
    <w:abstractNumId w:val="15"/>
  </w:num>
  <w:num w:numId="18">
    <w:abstractNumId w:val="18"/>
  </w:num>
  <w:num w:numId="19">
    <w:abstractNumId w:val="16"/>
  </w:num>
  <w:num w:numId="20">
    <w:abstractNumId w:val="5"/>
  </w:num>
  <w:num w:numId="21">
    <w:abstractNumId w:val="6"/>
  </w:num>
  <w:num w:numId="22">
    <w:abstractNumId w:val="14"/>
  </w:num>
  <w:num w:numId="23">
    <w:abstractNumId w:val="22"/>
  </w:num>
  <w:num w:numId="24">
    <w:abstractNumId w:val="10"/>
  </w:num>
  <w:num w:numId="25">
    <w:abstractNumId w:val="1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10A16"/>
    <w:rsid w:val="0001174F"/>
    <w:rsid w:val="0001243F"/>
    <w:rsid w:val="00021EA0"/>
    <w:rsid w:val="00025992"/>
    <w:rsid w:val="00027937"/>
    <w:rsid w:val="00030C9E"/>
    <w:rsid w:val="00031E67"/>
    <w:rsid w:val="00036605"/>
    <w:rsid w:val="000405A6"/>
    <w:rsid w:val="000408CC"/>
    <w:rsid w:val="00045373"/>
    <w:rsid w:val="000459B4"/>
    <w:rsid w:val="00063A2F"/>
    <w:rsid w:val="00064256"/>
    <w:rsid w:val="00064820"/>
    <w:rsid w:val="000678D3"/>
    <w:rsid w:val="00094810"/>
    <w:rsid w:val="00096DA4"/>
    <w:rsid w:val="000B5648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136"/>
    <w:rsid w:val="001B1B28"/>
    <w:rsid w:val="001B27FB"/>
    <w:rsid w:val="001C1D48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2C5C"/>
    <w:rsid w:val="0021475C"/>
    <w:rsid w:val="0021578E"/>
    <w:rsid w:val="0022610A"/>
    <w:rsid w:val="00227582"/>
    <w:rsid w:val="002308BE"/>
    <w:rsid w:val="002407C0"/>
    <w:rsid w:val="0024369C"/>
    <w:rsid w:val="002461AF"/>
    <w:rsid w:val="002465A1"/>
    <w:rsid w:val="002524C0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0D91"/>
    <w:rsid w:val="002B20F5"/>
    <w:rsid w:val="002B2A1A"/>
    <w:rsid w:val="002B71F2"/>
    <w:rsid w:val="002D0858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401FC"/>
    <w:rsid w:val="00351B1D"/>
    <w:rsid w:val="00351D4F"/>
    <w:rsid w:val="00352D8E"/>
    <w:rsid w:val="00356B68"/>
    <w:rsid w:val="0035702D"/>
    <w:rsid w:val="003604D4"/>
    <w:rsid w:val="003627B0"/>
    <w:rsid w:val="00374DF6"/>
    <w:rsid w:val="00375597"/>
    <w:rsid w:val="003759B0"/>
    <w:rsid w:val="00375F84"/>
    <w:rsid w:val="00376E34"/>
    <w:rsid w:val="003804E7"/>
    <w:rsid w:val="00384422"/>
    <w:rsid w:val="003934D2"/>
    <w:rsid w:val="003973A1"/>
    <w:rsid w:val="003A5DA0"/>
    <w:rsid w:val="003A5EEB"/>
    <w:rsid w:val="003A6143"/>
    <w:rsid w:val="003B2331"/>
    <w:rsid w:val="003B35F4"/>
    <w:rsid w:val="003B4FC5"/>
    <w:rsid w:val="003B5057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241A"/>
    <w:rsid w:val="004443DA"/>
    <w:rsid w:val="00444F55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2265"/>
    <w:rsid w:val="004B5D03"/>
    <w:rsid w:val="004B7685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3FED"/>
    <w:rsid w:val="005460C2"/>
    <w:rsid w:val="005526FB"/>
    <w:rsid w:val="0055280A"/>
    <w:rsid w:val="00552B03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0FF2"/>
    <w:rsid w:val="00651A82"/>
    <w:rsid w:val="006525E9"/>
    <w:rsid w:val="0066747B"/>
    <w:rsid w:val="006725EC"/>
    <w:rsid w:val="00674ED0"/>
    <w:rsid w:val="00682650"/>
    <w:rsid w:val="00683609"/>
    <w:rsid w:val="00684851"/>
    <w:rsid w:val="00692328"/>
    <w:rsid w:val="00694309"/>
    <w:rsid w:val="00694BC8"/>
    <w:rsid w:val="00695285"/>
    <w:rsid w:val="00696FF5"/>
    <w:rsid w:val="006A2206"/>
    <w:rsid w:val="006A6BB4"/>
    <w:rsid w:val="006A7FB0"/>
    <w:rsid w:val="006B64B9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0CC6"/>
    <w:rsid w:val="0073792C"/>
    <w:rsid w:val="00754069"/>
    <w:rsid w:val="007667DF"/>
    <w:rsid w:val="0077080B"/>
    <w:rsid w:val="00784E45"/>
    <w:rsid w:val="00787070"/>
    <w:rsid w:val="007906FD"/>
    <w:rsid w:val="007950E0"/>
    <w:rsid w:val="00797197"/>
    <w:rsid w:val="007972A7"/>
    <w:rsid w:val="007A2BA2"/>
    <w:rsid w:val="007A6245"/>
    <w:rsid w:val="007B1DB2"/>
    <w:rsid w:val="007B32E8"/>
    <w:rsid w:val="007B375B"/>
    <w:rsid w:val="007B412A"/>
    <w:rsid w:val="007B635E"/>
    <w:rsid w:val="007B7724"/>
    <w:rsid w:val="007B7CDC"/>
    <w:rsid w:val="007C05EE"/>
    <w:rsid w:val="007C74B4"/>
    <w:rsid w:val="007E3412"/>
    <w:rsid w:val="007F393D"/>
    <w:rsid w:val="008029AF"/>
    <w:rsid w:val="00802FFA"/>
    <w:rsid w:val="008102E5"/>
    <w:rsid w:val="008111B4"/>
    <w:rsid w:val="008132F3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F44FA"/>
    <w:rsid w:val="008F64BD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8C"/>
    <w:rsid w:val="0099029D"/>
    <w:rsid w:val="00996204"/>
    <w:rsid w:val="0099626B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1B9A"/>
    <w:rsid w:val="00A629B9"/>
    <w:rsid w:val="00A70C20"/>
    <w:rsid w:val="00A74292"/>
    <w:rsid w:val="00A776DE"/>
    <w:rsid w:val="00A80640"/>
    <w:rsid w:val="00A84ABF"/>
    <w:rsid w:val="00A87FFD"/>
    <w:rsid w:val="00A915E2"/>
    <w:rsid w:val="00A97038"/>
    <w:rsid w:val="00AA3C15"/>
    <w:rsid w:val="00AA6330"/>
    <w:rsid w:val="00AA7A54"/>
    <w:rsid w:val="00AC2778"/>
    <w:rsid w:val="00AC321B"/>
    <w:rsid w:val="00AC55D6"/>
    <w:rsid w:val="00AC7501"/>
    <w:rsid w:val="00AD748B"/>
    <w:rsid w:val="00AE1D69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35C17"/>
    <w:rsid w:val="00B52FF5"/>
    <w:rsid w:val="00B5498B"/>
    <w:rsid w:val="00B57219"/>
    <w:rsid w:val="00B658A3"/>
    <w:rsid w:val="00B658DB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67C"/>
    <w:rsid w:val="00C02AA2"/>
    <w:rsid w:val="00C04C95"/>
    <w:rsid w:val="00C11439"/>
    <w:rsid w:val="00C12613"/>
    <w:rsid w:val="00C16DEF"/>
    <w:rsid w:val="00C2492F"/>
    <w:rsid w:val="00C3744A"/>
    <w:rsid w:val="00C4002A"/>
    <w:rsid w:val="00C46912"/>
    <w:rsid w:val="00C57028"/>
    <w:rsid w:val="00C612A8"/>
    <w:rsid w:val="00C61A40"/>
    <w:rsid w:val="00C67631"/>
    <w:rsid w:val="00C709C6"/>
    <w:rsid w:val="00C729D7"/>
    <w:rsid w:val="00C83354"/>
    <w:rsid w:val="00C837AD"/>
    <w:rsid w:val="00C837BB"/>
    <w:rsid w:val="00C84004"/>
    <w:rsid w:val="00C843F6"/>
    <w:rsid w:val="00C84507"/>
    <w:rsid w:val="00C862C7"/>
    <w:rsid w:val="00CA3254"/>
    <w:rsid w:val="00CB11CE"/>
    <w:rsid w:val="00CB34E8"/>
    <w:rsid w:val="00CC25A2"/>
    <w:rsid w:val="00CD7F07"/>
    <w:rsid w:val="00CE04F3"/>
    <w:rsid w:val="00CE12D8"/>
    <w:rsid w:val="00CE4574"/>
    <w:rsid w:val="00CE70E6"/>
    <w:rsid w:val="00CF2E1E"/>
    <w:rsid w:val="00CF7C41"/>
    <w:rsid w:val="00D02E99"/>
    <w:rsid w:val="00D0724E"/>
    <w:rsid w:val="00D13357"/>
    <w:rsid w:val="00D13A13"/>
    <w:rsid w:val="00D248F6"/>
    <w:rsid w:val="00D2689A"/>
    <w:rsid w:val="00D65506"/>
    <w:rsid w:val="00D70A90"/>
    <w:rsid w:val="00D75308"/>
    <w:rsid w:val="00D773CF"/>
    <w:rsid w:val="00D83563"/>
    <w:rsid w:val="00D8448F"/>
    <w:rsid w:val="00D84F78"/>
    <w:rsid w:val="00DA64B6"/>
    <w:rsid w:val="00DB1B22"/>
    <w:rsid w:val="00DB5C9D"/>
    <w:rsid w:val="00DD02E6"/>
    <w:rsid w:val="00DF665B"/>
    <w:rsid w:val="00E0152A"/>
    <w:rsid w:val="00E03394"/>
    <w:rsid w:val="00E066E5"/>
    <w:rsid w:val="00E22F03"/>
    <w:rsid w:val="00E233C1"/>
    <w:rsid w:val="00E50978"/>
    <w:rsid w:val="00E51404"/>
    <w:rsid w:val="00E5569F"/>
    <w:rsid w:val="00E574C9"/>
    <w:rsid w:val="00E6019B"/>
    <w:rsid w:val="00E610DE"/>
    <w:rsid w:val="00E64F05"/>
    <w:rsid w:val="00E66167"/>
    <w:rsid w:val="00E71F2F"/>
    <w:rsid w:val="00E77786"/>
    <w:rsid w:val="00E806FB"/>
    <w:rsid w:val="00E97852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AB2"/>
    <w:rsid w:val="00F176DE"/>
    <w:rsid w:val="00F21C47"/>
    <w:rsid w:val="00F244E2"/>
    <w:rsid w:val="00F340DE"/>
    <w:rsid w:val="00F36CBB"/>
    <w:rsid w:val="00F4310B"/>
    <w:rsid w:val="00F43542"/>
    <w:rsid w:val="00F44BAB"/>
    <w:rsid w:val="00F527CB"/>
    <w:rsid w:val="00F562AA"/>
    <w:rsid w:val="00F60C8E"/>
    <w:rsid w:val="00F62A6C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552B0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174F"/>
    <w:pPr>
      <w:widowControl w:val="0"/>
      <w:spacing w:after="0" w:line="240" w:lineRule="auto"/>
      <w:ind w:left="720" w:hanging="720"/>
    </w:pPr>
    <w:rPr>
      <w:rFonts w:ascii="Times Roman" w:eastAsia="Times New Roman" w:hAnsi="Times Roman" w:cs="Times New Roman"/>
      <w:snapToGrid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1174F"/>
    <w:rPr>
      <w:rFonts w:ascii="Times Roman" w:eastAsia="Times New Roman" w:hAnsi="Times Roman" w:cs="Times New Roman"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51B1D"/>
    <w:rPr>
      <w:i/>
      <w:iCs/>
    </w:rPr>
  </w:style>
  <w:style w:type="paragraph" w:customStyle="1" w:styleId="WW-Default">
    <w:name w:val="WW-Default"/>
    <w:rsid w:val="00D248F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Calibri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0" ma:contentTypeDescription="Create a new document." ma:contentTypeScope="" ma:versionID="42c3912187eff923c5b9bd070bec09f7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F90A-A50A-4B50-B6A9-601ED140169C}"/>
</file>

<file path=customXml/itemProps2.xml><?xml version="1.0" encoding="utf-8"?>
<ds:datastoreItem xmlns:ds="http://schemas.openxmlformats.org/officeDocument/2006/customXml" ds:itemID="{37AB259B-D387-4B30-AF51-619A51796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C802F-0297-4C72-B7F6-591A87C175F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f2b9e05-657a-4dc1-8c6c-679bdea18f3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79D221-3114-417C-94D3-575A2E5D4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3B1869-C157-42A4-BEC1-5090B1B8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Vicki Murray</cp:lastModifiedBy>
  <cp:revision>2</cp:revision>
  <cp:lastPrinted>2015-09-09T08:37:00Z</cp:lastPrinted>
  <dcterms:created xsi:type="dcterms:W3CDTF">2018-02-26T14:29:00Z</dcterms:created>
  <dcterms:modified xsi:type="dcterms:W3CDTF">2018-02-26T14:29:00Z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49934ae1-589b-41b2-a210-b6b27d058bdf</vt:lpwstr>
  </property>
</Properties>
</file>