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CA5B2F5" w:rsidR="00694B52" w:rsidRPr="009D52D0" w:rsidRDefault="002355AD" w:rsidP="00A05CF7">
      <w:pPr>
        <w:spacing w:after="120" w:line="240" w:lineRule="auto"/>
        <w:ind w:left="567" w:right="543"/>
        <w:jc w:val="both"/>
        <w:rPr>
          <w:rFonts w:ascii="Arial" w:hAnsi="Arial" w:cs="Arial"/>
          <w:sz w:val="24"/>
          <w:szCs w:val="24"/>
        </w:rPr>
      </w:pPr>
      <w:r w:rsidRPr="002355AD">
        <w:rPr>
          <w:rFonts w:ascii="Arial" w:hAnsi="Arial" w:cs="Arial"/>
          <w:sz w:val="24"/>
          <w:szCs w:val="24"/>
        </w:rPr>
        <w:t xml:space="preserve">WOLA3050 (LA305) </w:t>
      </w:r>
      <w:r>
        <w:rPr>
          <w:rFonts w:ascii="Arial" w:hAnsi="Arial" w:cs="Arial"/>
          <w:sz w:val="24"/>
          <w:szCs w:val="24"/>
        </w:rPr>
        <w:t xml:space="preserve">– </w:t>
      </w:r>
      <w:r w:rsidRPr="002355AD">
        <w:rPr>
          <w:rFonts w:ascii="Arial" w:hAnsi="Arial" w:cs="Arial"/>
          <w:sz w:val="24"/>
          <w:szCs w:val="24"/>
        </w:rPr>
        <w:t>Japanese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FA5ACD7"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DAEDB4" w:rsidR="00694B52" w:rsidRPr="00694B52" w:rsidRDefault="002355AD"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B8EA01" w:rsidR="00694B52" w:rsidRPr="00694B52"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Prerequisite: WOLA30</w:t>
      </w:r>
      <w:r>
        <w:rPr>
          <w:rFonts w:ascii="Arial" w:hAnsi="Arial" w:cs="Arial"/>
          <w:iCs/>
          <w:sz w:val="24"/>
          <w:szCs w:val="24"/>
        </w:rPr>
        <w:t>4</w:t>
      </w:r>
      <w:r w:rsidRPr="002355AD">
        <w:rPr>
          <w:rFonts w:ascii="Arial" w:hAnsi="Arial" w:cs="Arial"/>
          <w:iCs/>
          <w:sz w:val="24"/>
          <w:szCs w:val="24"/>
        </w:rPr>
        <w:t>0 (</w:t>
      </w:r>
      <w:r>
        <w:rPr>
          <w:rFonts w:ascii="Arial" w:hAnsi="Arial" w:cs="Arial"/>
          <w:iCs/>
          <w:sz w:val="24"/>
          <w:szCs w:val="24"/>
        </w:rPr>
        <w:t>Japanese</w:t>
      </w:r>
      <w:r w:rsidRPr="002355AD">
        <w:rPr>
          <w:rFonts w:ascii="Arial" w:hAnsi="Arial" w:cs="Arial"/>
          <w:iCs/>
          <w:sz w:val="24"/>
          <w:szCs w:val="24"/>
        </w:rPr>
        <w:t xml:space="preserve"> Beginners); or equivalent </w:t>
      </w:r>
      <w:r w:rsidR="00017A2C">
        <w:rPr>
          <w:rFonts w:ascii="Arial" w:hAnsi="Arial" w:cs="Arial"/>
          <w:iCs/>
          <w:sz w:val="24"/>
          <w:szCs w:val="24"/>
        </w:rPr>
        <w:t>l</w:t>
      </w:r>
      <w:r w:rsidR="00017A2C" w:rsidRPr="002355AD">
        <w:rPr>
          <w:rFonts w:ascii="Arial" w:hAnsi="Arial" w:cs="Arial"/>
          <w:iCs/>
          <w:sz w:val="24"/>
          <w:szCs w:val="24"/>
        </w:rPr>
        <w:t xml:space="preserve">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C7E346"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Compulsory for BA Politics and International Relations with a Year in the Asia-Pacific</w:t>
      </w:r>
    </w:p>
    <w:p w14:paraId="3866D6D0"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Optional for BA Asian Studies (Joint Honours)</w:t>
      </w:r>
    </w:p>
    <w:p w14:paraId="7CF71AFC" w14:textId="5C4BAFFE" w:rsidR="00694B52" w:rsidRPr="00694B52"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FF664" w14:textId="4A8E275A" w:rsidR="002355AD" w:rsidRPr="002355AD" w:rsidRDefault="00CC3B7F" w:rsidP="002355A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355AD">
        <w:rPr>
          <w:rFonts w:ascii="Arial" w:hAnsi="Arial" w:cs="Arial"/>
          <w:sz w:val="24"/>
          <w:szCs w:val="24"/>
        </w:rPr>
        <w:t>R</w:t>
      </w:r>
      <w:r w:rsidR="002355AD" w:rsidRPr="002355AD">
        <w:rPr>
          <w:rFonts w:ascii="Arial" w:hAnsi="Arial" w:cs="Arial"/>
          <w:sz w:val="24"/>
          <w:szCs w:val="24"/>
        </w:rPr>
        <w:t xml:space="preserve">ead and write Japanese characters equivalent to an elementary level; </w:t>
      </w:r>
    </w:p>
    <w:p w14:paraId="5ACC439A" w14:textId="16A7B9B8"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familiarity with Japanese vocabulary equivalent to an elementary level:</w:t>
      </w:r>
    </w:p>
    <w:p w14:paraId="694A4CA6" w14:textId="17162DF5"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8.3.</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basic understanding of sentences and frequently used expressions in the target language related to areas of most immediate environment;</w:t>
      </w:r>
    </w:p>
    <w:p w14:paraId="626B771C" w14:textId="63CD3EBA"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8.4.</w:t>
      </w:r>
      <w:r w:rsidRPr="002355AD">
        <w:rPr>
          <w:rFonts w:ascii="Arial" w:hAnsi="Arial" w:cs="Arial"/>
          <w:sz w:val="24"/>
          <w:szCs w:val="24"/>
        </w:rPr>
        <w:tab/>
      </w:r>
      <w:r>
        <w:rPr>
          <w:rFonts w:ascii="Arial" w:hAnsi="Arial" w:cs="Arial"/>
          <w:sz w:val="24"/>
          <w:szCs w:val="24"/>
        </w:rPr>
        <w:t>E</w:t>
      </w:r>
      <w:r w:rsidRPr="002355AD">
        <w:rPr>
          <w:rFonts w:ascii="Arial" w:hAnsi="Arial" w:cs="Arial"/>
          <w:sz w:val="24"/>
          <w:szCs w:val="24"/>
        </w:rPr>
        <w:t>xpress and exchange basic information in the target language in areas of immediate need or on familiar topics in simple terms;</w:t>
      </w:r>
    </w:p>
    <w:p w14:paraId="7029D727" w14:textId="29ED4972"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8.5.</w:t>
      </w:r>
      <w:r w:rsidRPr="002355AD">
        <w:rPr>
          <w:rFonts w:ascii="Arial" w:hAnsi="Arial" w:cs="Arial"/>
          <w:sz w:val="24"/>
          <w:szCs w:val="24"/>
        </w:rPr>
        <w:tab/>
      </w:r>
      <w:proofErr w:type="gramStart"/>
      <w:r>
        <w:rPr>
          <w:rFonts w:ascii="Arial" w:hAnsi="Arial" w:cs="Arial"/>
          <w:sz w:val="24"/>
          <w:szCs w:val="24"/>
        </w:rPr>
        <w:t>D</w:t>
      </w:r>
      <w:r w:rsidRPr="002355AD">
        <w:rPr>
          <w:rFonts w:ascii="Arial" w:hAnsi="Arial" w:cs="Arial"/>
          <w:sz w:val="24"/>
          <w:szCs w:val="24"/>
        </w:rPr>
        <w:t>emonstrate  a</w:t>
      </w:r>
      <w:proofErr w:type="gramEnd"/>
      <w:r w:rsidRPr="002355AD">
        <w:rPr>
          <w:rFonts w:ascii="Arial" w:hAnsi="Arial" w:cs="Arial"/>
          <w:sz w:val="24"/>
          <w:szCs w:val="24"/>
        </w:rPr>
        <w:t xml:space="preserve"> knowledge and  understanding of the life and culture in Japan within the context of the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EE8BA8" w14:textId="70F62D65" w:rsidR="002355AD" w:rsidRPr="002355AD" w:rsidRDefault="00A60A1D" w:rsidP="002355A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355AD">
        <w:rPr>
          <w:rFonts w:ascii="Arial" w:hAnsi="Arial" w:cs="Arial"/>
          <w:sz w:val="24"/>
          <w:szCs w:val="24"/>
        </w:rPr>
        <w:t>C</w:t>
      </w:r>
      <w:r w:rsidR="002355AD" w:rsidRPr="002355AD">
        <w:rPr>
          <w:rFonts w:ascii="Arial" w:hAnsi="Arial" w:cs="Arial"/>
          <w:sz w:val="24"/>
          <w:szCs w:val="24"/>
        </w:rPr>
        <w:t>ommunicate ideas independently;</w:t>
      </w:r>
    </w:p>
    <w:p w14:paraId="223D5195" w14:textId="22666F6D"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6DDCF29" w14:textId="68C52C69"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lastRenderedPageBreak/>
        <w:t>The curriculum content is intended to give students some familiarity, at a level comparable to lower A2 level on CEFR, with everyday life, activities and the culture in Japan. Topics for listening, speaking, reading and writing will focus on an elementary level of communication skills to explain very simple factual information on personal and very familiar topics such as talking about family, friends, one’s house, hometown and university, and expressing past events and activities. Basic skills useful to people visiting Japan will be taught including ordering food, making very simple enquiries and asking for locations. An introductory level of Japanese culture will be covered such as festivals, geography including major cities and famous places.</w:t>
      </w:r>
    </w:p>
    <w:p w14:paraId="0B365A08" w14:textId="12F1FEB5"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3F28953C"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0E9F096" w14:textId="00C96F25" w:rsidR="002355AD" w:rsidRPr="00B3349C" w:rsidRDefault="002355AD" w:rsidP="002355AD">
      <w:pPr>
        <w:spacing w:after="120" w:line="240" w:lineRule="auto"/>
        <w:ind w:left="567" w:right="543"/>
        <w:jc w:val="both"/>
        <w:rPr>
          <w:rFonts w:ascii="Arial" w:hAnsi="Arial" w:cs="Arial"/>
          <w:bCs/>
          <w:sz w:val="24"/>
          <w:szCs w:val="24"/>
        </w:rPr>
      </w:pPr>
      <w:r w:rsidRPr="002355AD">
        <w:rPr>
          <w:rFonts w:ascii="Arial" w:hAnsi="Arial" w:cs="Arial"/>
          <w:bCs/>
          <w:sz w:val="24"/>
          <w:szCs w:val="24"/>
        </w:rPr>
        <w:t xml:space="preserve">Kano, C., et al. (1989) </w:t>
      </w:r>
      <w:r w:rsidRPr="002355AD">
        <w:rPr>
          <w:rFonts w:ascii="Arial" w:hAnsi="Arial" w:cs="Arial"/>
          <w:bCs/>
          <w:i/>
          <w:iCs/>
          <w:sz w:val="24"/>
          <w:szCs w:val="24"/>
        </w:rPr>
        <w:t>Basic Kanji Book Vol.1</w:t>
      </w:r>
      <w:r w:rsidRPr="002355AD">
        <w:rPr>
          <w:rFonts w:ascii="Arial" w:hAnsi="Arial" w:cs="Arial"/>
          <w:bCs/>
          <w:sz w:val="24"/>
          <w:szCs w:val="24"/>
        </w:rPr>
        <w:t xml:space="preserve">, Tokyo: </w:t>
      </w:r>
      <w:proofErr w:type="spellStart"/>
      <w:r w:rsidRPr="002355AD">
        <w:rPr>
          <w:rFonts w:ascii="Arial" w:hAnsi="Arial" w:cs="Arial"/>
          <w:bCs/>
          <w:sz w:val="24"/>
          <w:szCs w:val="24"/>
        </w:rPr>
        <w:t>Bonjinsha</w:t>
      </w:r>
      <w:proofErr w:type="spellEnd"/>
    </w:p>
    <w:p w14:paraId="19BF67F0" w14:textId="77777777" w:rsidR="002355AD" w:rsidRPr="00B3349C"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F031390" w14:textId="77777777" w:rsidR="002355AD"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1412700E" w14:textId="77777777" w:rsidR="002355AD" w:rsidRPr="00B3349C"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5102DE7A" w14:textId="22617C6A" w:rsidR="008D4447" w:rsidRPr="00A05CF7"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84357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0A8DFD3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C721113" w:rsid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sidR="00017A2C">
        <w:rPr>
          <w:rFonts w:ascii="Arial" w:hAnsi="Arial" w:cs="Arial"/>
          <w:bCs/>
          <w:iCs/>
          <w:sz w:val="24"/>
          <w:szCs w:val="24"/>
        </w:rPr>
        <w:t>:</w:t>
      </w:r>
      <w:r w:rsidRPr="002355AD">
        <w:rPr>
          <w:rFonts w:ascii="Arial" w:hAnsi="Arial" w:cs="Arial"/>
          <w:bCs/>
          <w:iCs/>
          <w:sz w:val="24"/>
          <w:szCs w:val="24"/>
        </w:rPr>
        <w:t xml:space="preserve"> </w:t>
      </w:r>
      <w:r w:rsidR="00E6285C">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 xml:space="preserve">Max. </w:t>
      </w:r>
      <w:r w:rsidRPr="002355AD">
        <w:rPr>
          <w:rFonts w:ascii="Arial" w:hAnsi="Arial" w:cs="Arial"/>
          <w:bCs/>
          <w:iCs/>
          <w:sz w:val="24"/>
          <w:szCs w:val="24"/>
        </w:rPr>
        <w:t xml:space="preserve">3 minutes) </w:t>
      </w:r>
      <w:r>
        <w:rPr>
          <w:rFonts w:ascii="Arial" w:hAnsi="Arial" w:cs="Arial"/>
          <w:bCs/>
          <w:iCs/>
          <w:sz w:val="24"/>
          <w:szCs w:val="24"/>
        </w:rPr>
        <w:t xml:space="preserve">– </w:t>
      </w:r>
      <w:r w:rsidRPr="002355AD">
        <w:rPr>
          <w:rFonts w:ascii="Arial" w:hAnsi="Arial" w:cs="Arial"/>
          <w:bCs/>
          <w:iCs/>
          <w:sz w:val="24"/>
          <w:szCs w:val="24"/>
        </w:rPr>
        <w:t>20%</w:t>
      </w:r>
    </w:p>
    <w:p w14:paraId="4A1360AF" w14:textId="72244828" w:rsidR="00E6285C" w:rsidRPr="002355AD" w:rsidRDefault="00E6285C" w:rsidP="002355A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 (</w:t>
      </w:r>
      <w:r w:rsidR="00017A2C">
        <w:rPr>
          <w:rFonts w:ascii="Arial" w:hAnsi="Arial" w:cs="Arial"/>
          <w:bCs/>
          <w:iCs/>
          <w:sz w:val="24"/>
          <w:szCs w:val="24"/>
        </w:rPr>
        <w:t>Equivalent to 1,100 Japanese characters</w:t>
      </w:r>
      <w:r>
        <w:rPr>
          <w:rFonts w:ascii="Arial" w:hAnsi="Arial" w:cs="Arial"/>
          <w:bCs/>
          <w:iCs/>
          <w:sz w:val="24"/>
          <w:szCs w:val="24"/>
        </w:rPr>
        <w:t>) – 40%</w:t>
      </w:r>
    </w:p>
    <w:p w14:paraId="6D5CD1CC" w14:textId="5326562F" w:rsidR="008D4447" w:rsidRP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 xml:space="preserve">Cultural research and Writing (350 </w:t>
      </w:r>
      <w:r w:rsidR="00017A2C">
        <w:rPr>
          <w:rFonts w:ascii="Arial" w:hAnsi="Arial" w:cs="Arial"/>
          <w:bCs/>
          <w:iCs/>
          <w:sz w:val="24"/>
          <w:szCs w:val="24"/>
        </w:rPr>
        <w:t xml:space="preserve">Japanese </w:t>
      </w:r>
      <w:r w:rsidRPr="002355AD">
        <w:rPr>
          <w:rFonts w:ascii="Arial" w:hAnsi="Arial" w:cs="Arial"/>
          <w:bCs/>
          <w:iCs/>
          <w:sz w:val="24"/>
          <w:szCs w:val="24"/>
        </w:rPr>
        <w:t xml:space="preserve">characters) </w:t>
      </w:r>
      <w:r>
        <w:rPr>
          <w:rFonts w:ascii="Arial" w:hAnsi="Arial" w:cs="Arial"/>
          <w:bCs/>
          <w:iCs/>
          <w:sz w:val="24"/>
          <w:szCs w:val="24"/>
        </w:rPr>
        <w:t xml:space="preserve">– </w:t>
      </w:r>
      <w:r w:rsidR="00E6285C">
        <w:rPr>
          <w:rFonts w:ascii="Arial" w:hAnsi="Arial" w:cs="Arial"/>
          <w:bCs/>
          <w:iCs/>
          <w:sz w:val="24"/>
          <w:szCs w:val="24"/>
        </w:rPr>
        <w:t>40</w:t>
      </w:r>
      <w:r w:rsidRPr="002355A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C51B6D" w:rsidR="008D4447" w:rsidRPr="00CC3B7F" w:rsidRDefault="00E6285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017A2C">
        <w:rPr>
          <w:rFonts w:ascii="Arial" w:hAnsi="Arial" w:cs="Arial"/>
          <w:iCs/>
          <w:sz w:val="24"/>
          <w:szCs w:val="24"/>
        </w:rPr>
        <w:t>Equivalent to 1,450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004E4A46">
        <w:trPr>
          <w:trHeight w:val="550"/>
        </w:trPr>
        <w:tc>
          <w:tcPr>
            <w:tcW w:w="1746" w:type="pct"/>
            <w:shd w:val="clear" w:color="auto" w:fill="D9D9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lastRenderedPageBreak/>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004E4A46">
        <w:trPr>
          <w:trHeight w:val="524"/>
        </w:trPr>
        <w:tc>
          <w:tcPr>
            <w:tcW w:w="1746" w:type="pct"/>
            <w:shd w:val="clear" w:color="auto" w:fill="D9D9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004E4A46">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004E4A46">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004E4A46">
        <w:trPr>
          <w:trHeight w:val="472"/>
        </w:trPr>
        <w:tc>
          <w:tcPr>
            <w:tcW w:w="1746" w:type="pct"/>
            <w:shd w:val="clear" w:color="auto" w:fill="D9D9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004E4A46">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610B1BA0"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004E4A46">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12C4B64F"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2798E4C6" w14:textId="77777777" w:rsidR="00E6285C" w:rsidRPr="002607E3" w:rsidRDefault="00E6285C" w:rsidP="004E4A46">
            <w:pPr>
              <w:spacing w:after="0" w:line="240" w:lineRule="auto"/>
              <w:jc w:val="center"/>
              <w:rPr>
                <w:rFonts w:ascii="Arial" w:hAnsi="Arial" w:cs="Arial"/>
                <w:b/>
                <w:bCs/>
              </w:rPr>
            </w:pP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004E4A46">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5F66F7C" w14:textId="77777777" w:rsidR="002355AD" w:rsidRPr="002607E3" w:rsidRDefault="002355AD" w:rsidP="004E4A46">
            <w:pPr>
              <w:spacing w:after="0" w:line="240" w:lineRule="auto"/>
              <w:jc w:val="center"/>
              <w:rPr>
                <w:rFonts w:ascii="Arial" w:hAnsi="Arial" w:cs="Arial"/>
                <w:b/>
                <w:bCs/>
              </w:rPr>
            </w:pP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09FABC59" w:rsidR="00E6285C" w:rsidRPr="009D52D0" w:rsidRDefault="00BC7DDE" w:rsidP="00E6285C">
            <w:pPr>
              <w:spacing w:after="120"/>
              <w:ind w:right="70"/>
              <w:rPr>
                <w:rFonts w:ascii="Arial" w:hAnsi="Arial" w:cs="Arial"/>
                <w:sz w:val="20"/>
                <w:szCs w:val="20"/>
              </w:rPr>
            </w:pPr>
            <w:r>
              <w:rPr>
                <w:rFonts w:ascii="Arial" w:hAnsi="Arial" w:cs="Arial"/>
                <w:sz w:val="20"/>
                <w:szCs w:val="20"/>
              </w:rPr>
              <w:t>20/01/21</w:t>
            </w:r>
          </w:p>
        </w:tc>
        <w:tc>
          <w:tcPr>
            <w:tcW w:w="1815" w:type="dxa"/>
          </w:tcPr>
          <w:p w14:paraId="1480357F" w14:textId="6220F452" w:rsidR="00E6285C" w:rsidRPr="009D52D0" w:rsidRDefault="00BC7DDE"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29F70EEA" w:rsidR="00E6285C" w:rsidRPr="009D52D0" w:rsidRDefault="00BC7DDE" w:rsidP="00E6285C">
            <w:pPr>
              <w:spacing w:after="120"/>
              <w:ind w:right="35"/>
              <w:rPr>
                <w:rFonts w:ascii="Arial" w:hAnsi="Arial" w:cs="Arial"/>
                <w:sz w:val="20"/>
                <w:szCs w:val="20"/>
              </w:rPr>
            </w:pPr>
            <w:r>
              <w:rPr>
                <w:rFonts w:ascii="Arial" w:hAnsi="Arial" w:cs="Arial"/>
                <w:sz w:val="20"/>
                <w:szCs w:val="20"/>
              </w:rPr>
              <w:t>January 2022</w:t>
            </w:r>
          </w:p>
        </w:tc>
        <w:tc>
          <w:tcPr>
            <w:tcW w:w="2359" w:type="dxa"/>
          </w:tcPr>
          <w:p w14:paraId="7A00991F" w14:textId="38865CE0" w:rsidR="00E6285C" w:rsidRPr="009D52D0" w:rsidRDefault="00BC7DDE" w:rsidP="00E6285C">
            <w:pPr>
              <w:spacing w:after="120"/>
              <w:rPr>
                <w:rFonts w:ascii="Arial" w:hAnsi="Arial" w:cs="Arial"/>
                <w:sz w:val="20"/>
                <w:szCs w:val="20"/>
              </w:rPr>
            </w:pPr>
            <w:r>
              <w:rPr>
                <w:rFonts w:ascii="Arial" w:hAnsi="Arial" w:cs="Arial"/>
                <w:sz w:val="20"/>
                <w:szCs w:val="20"/>
              </w:rPr>
              <w:t>8, 12-14</w:t>
            </w:r>
          </w:p>
        </w:tc>
        <w:tc>
          <w:tcPr>
            <w:tcW w:w="2744" w:type="dxa"/>
          </w:tcPr>
          <w:p w14:paraId="03FF324D" w14:textId="1726C673" w:rsidR="00E6285C" w:rsidRPr="009D52D0" w:rsidRDefault="00BC7DDE"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1F2A36">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64EA" w14:textId="77777777" w:rsidR="00663A07" w:rsidRDefault="00663A07" w:rsidP="009A2D37">
      <w:pPr>
        <w:spacing w:after="0" w:line="240" w:lineRule="auto"/>
      </w:pPr>
      <w:r>
        <w:separator/>
      </w:r>
    </w:p>
  </w:endnote>
  <w:endnote w:type="continuationSeparator" w:id="0">
    <w:p w14:paraId="590C7F38" w14:textId="77777777" w:rsidR="00663A07" w:rsidRDefault="00663A07" w:rsidP="009A2D37">
      <w:pPr>
        <w:spacing w:after="0" w:line="240" w:lineRule="auto"/>
      </w:pPr>
      <w:r>
        <w:continuationSeparator/>
      </w:r>
    </w:p>
  </w:endnote>
  <w:endnote w:type="continuationNotice" w:id="1">
    <w:p w14:paraId="7FFC4973" w14:textId="77777777" w:rsidR="00663A07" w:rsidRDefault="0066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3711164" w:rsidR="008B2543" w:rsidRDefault="0019787E" w:rsidP="009A2D37">
        <w:pPr>
          <w:pStyle w:val="Footer"/>
          <w:jc w:val="center"/>
        </w:pPr>
        <w:r>
          <w:fldChar w:fldCharType="begin"/>
        </w:r>
        <w:r>
          <w:instrText xml:space="preserve"> PAGE   \* MERGEFORMAT </w:instrText>
        </w:r>
        <w:r>
          <w:fldChar w:fldCharType="separate"/>
        </w:r>
        <w:r w:rsidR="001F2A36">
          <w:rPr>
            <w:noProof/>
          </w:rPr>
          <w:t>4</w:t>
        </w:r>
        <w:r>
          <w:rPr>
            <w:noProof/>
          </w:rPr>
          <w:fldChar w:fldCharType="end"/>
        </w:r>
      </w:p>
    </w:sdtContent>
  </w:sdt>
  <w:p w14:paraId="11FB1536" w14:textId="77777777" w:rsidR="00D47436" w:rsidRPr="00D47436" w:rsidRDefault="00D47436" w:rsidP="00D47436">
    <w:pPr>
      <w:spacing w:after="120" w:line="240" w:lineRule="auto"/>
      <w:ind w:left="567" w:right="543"/>
      <w:jc w:val="center"/>
      <w:rPr>
        <w:rFonts w:ascii="Arial" w:hAnsi="Arial" w:cs="Arial"/>
        <w:sz w:val="18"/>
        <w:szCs w:val="18"/>
      </w:rPr>
    </w:pPr>
    <w:r w:rsidRPr="00D47436">
      <w:rPr>
        <w:rFonts w:ascii="Arial" w:hAnsi="Arial" w:cs="Arial"/>
        <w:sz w:val="18"/>
        <w:szCs w:val="18"/>
      </w:rPr>
      <w:t>Japanese Elementary</w:t>
    </w:r>
  </w:p>
  <w:p w14:paraId="62EFA718" w14:textId="72967B0A" w:rsidR="008B2543" w:rsidRPr="007B7724" w:rsidRDefault="008B2543" w:rsidP="00D4743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E6E193" w:rsidR="00EB41D1" w:rsidRDefault="00EB41D1" w:rsidP="00EB41D1">
        <w:pPr>
          <w:pStyle w:val="Footer"/>
          <w:jc w:val="center"/>
        </w:pPr>
        <w:r>
          <w:fldChar w:fldCharType="begin"/>
        </w:r>
        <w:r>
          <w:instrText xml:space="preserve"> PAGE   \* MERGEFORMAT </w:instrText>
        </w:r>
        <w:r>
          <w:fldChar w:fldCharType="separate"/>
        </w:r>
        <w:r w:rsidR="001F2A36">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E454" w14:textId="77777777" w:rsidR="00663A07" w:rsidRDefault="00663A07" w:rsidP="009A2D37">
      <w:pPr>
        <w:spacing w:after="0" w:line="240" w:lineRule="auto"/>
      </w:pPr>
      <w:r>
        <w:separator/>
      </w:r>
    </w:p>
  </w:footnote>
  <w:footnote w:type="continuationSeparator" w:id="0">
    <w:p w14:paraId="18577BBA" w14:textId="77777777" w:rsidR="00663A07" w:rsidRDefault="00663A07" w:rsidP="009A2D37">
      <w:pPr>
        <w:spacing w:after="0" w:line="240" w:lineRule="auto"/>
      </w:pPr>
      <w:r>
        <w:continuationSeparator/>
      </w:r>
    </w:p>
  </w:footnote>
  <w:footnote w:type="continuationNotice" w:id="1">
    <w:p w14:paraId="799D6FAE" w14:textId="77777777" w:rsidR="00663A07" w:rsidRDefault="0066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A36"/>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26"/>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260"/>
    <w:rsid w:val="00663A0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D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743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952A0-E3F0-4490-BF30-4B2A7C18A05A}">
  <ds:schemaRefs>
    <ds:schemaRef ds:uri="http://schemas.openxmlformats.org/officeDocument/2006/bibliography"/>
  </ds:schemaRefs>
</ds:datastoreItem>
</file>

<file path=customXml/itemProps2.xml><?xml version="1.0" encoding="utf-8"?>
<ds:datastoreItem xmlns:ds="http://schemas.openxmlformats.org/officeDocument/2006/customXml" ds:itemID="{3542D368-4233-49C4-A02B-4C528EA50B49}"/>
</file>

<file path=customXml/itemProps3.xml><?xml version="1.0" encoding="utf-8"?>
<ds:datastoreItem xmlns:ds="http://schemas.openxmlformats.org/officeDocument/2006/customXml" ds:itemID="{71D07B2D-3F10-4CC7-BE06-1E74D2E5A223}"/>
</file>

<file path=customXml/itemProps4.xml><?xml version="1.0" encoding="utf-8"?>
<ds:datastoreItem xmlns:ds="http://schemas.openxmlformats.org/officeDocument/2006/customXml" ds:itemID="{373E732C-1464-44B4-BCBC-87669B373D80}"/>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2021-01-23T20:47:00Z</dcterms:created>
  <dcterms:modified xsi:type="dcterms:W3CDTF">2021-01-23T20:48:00Z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_dlc_DocIdItemGuid">
    <vt:lpwstr>c1a962bf-23a4-412a-834d-ee95d001c78e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