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25F5" w14:textId="02625901" w:rsidR="00C16DEF" w:rsidRPr="00302082" w:rsidRDefault="00C16DEF" w:rsidP="00C16DEF">
      <w:pPr>
        <w:spacing w:line="240" w:lineRule="auto"/>
        <w:rPr>
          <w:rFonts w:ascii="Arial" w:hAnsi="Arial" w:cs="Arial"/>
          <w:b/>
          <w:i/>
        </w:rPr>
      </w:pPr>
    </w:p>
    <w:p w14:paraId="57A99D1F"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FD921B" w14:textId="77777777" w:rsidR="009F2AB7" w:rsidRPr="00302082" w:rsidRDefault="009F2AB7" w:rsidP="009F2AB7">
      <w:pPr>
        <w:spacing w:after="120" w:line="240" w:lineRule="auto"/>
        <w:ind w:left="426" w:right="260"/>
        <w:jc w:val="both"/>
        <w:rPr>
          <w:rFonts w:ascii="Arial" w:hAnsi="Arial" w:cs="Arial"/>
        </w:rPr>
      </w:pPr>
      <w:r w:rsidRPr="0069409E">
        <w:rPr>
          <w:rFonts w:ascii="Arial" w:hAnsi="Arial" w:cs="Arial"/>
          <w:lang w:val="en-US"/>
        </w:rPr>
        <w:t>PSYC6360</w:t>
      </w:r>
      <w:r>
        <w:rPr>
          <w:rFonts w:ascii="Arial" w:hAnsi="Arial" w:cs="Arial"/>
          <w:lang w:val="en-US"/>
        </w:rPr>
        <w:t xml:space="preserve"> (SP636): </w:t>
      </w:r>
      <w:r w:rsidRPr="0004419E">
        <w:rPr>
          <w:rFonts w:ascii="Arial" w:hAnsi="Arial" w:cs="Arial"/>
          <w:lang w:val="en-US"/>
        </w:rPr>
        <w:t>Evaluating Evidence: Becoming a Smart Research Consumer</w:t>
      </w:r>
    </w:p>
    <w:p w14:paraId="3ADADDE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97F43A0"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 xml:space="preserve">School of Psychology </w:t>
      </w:r>
    </w:p>
    <w:p w14:paraId="22523C2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7D959C9"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Level 6</w:t>
      </w:r>
    </w:p>
    <w:p w14:paraId="78565CC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431C8DC" w14:textId="77777777" w:rsidR="009F2AB7" w:rsidRPr="007A7376" w:rsidRDefault="009F2AB7" w:rsidP="009F2AB7">
      <w:pPr>
        <w:spacing w:after="120" w:line="240" w:lineRule="auto"/>
        <w:ind w:left="426" w:right="260"/>
        <w:rPr>
          <w:rFonts w:ascii="Arial" w:hAnsi="Arial" w:cs="Arial"/>
        </w:rPr>
      </w:pPr>
      <w:r>
        <w:rPr>
          <w:rFonts w:ascii="Arial" w:hAnsi="Arial" w:cs="Arial"/>
        </w:rPr>
        <w:t>15 Credits (7.5 ECTS)</w:t>
      </w:r>
    </w:p>
    <w:p w14:paraId="24F36AED" w14:textId="77777777" w:rsidR="009F2AB7"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959D91F" w14:textId="77777777" w:rsidR="009F2AB7" w:rsidRPr="00C75FD6" w:rsidRDefault="009F2AB7" w:rsidP="009F2AB7">
      <w:pPr>
        <w:spacing w:after="120" w:line="240" w:lineRule="auto"/>
        <w:ind w:left="426"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76EB37A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8C1EC43" w14:textId="77777777" w:rsidR="009F2AB7" w:rsidRPr="007A7376" w:rsidRDefault="009F2AB7" w:rsidP="009F2AB7">
      <w:pPr>
        <w:spacing w:after="120" w:line="240" w:lineRule="auto"/>
        <w:ind w:right="260" w:firstLine="426"/>
        <w:rPr>
          <w:rFonts w:ascii="Arial" w:hAnsi="Arial" w:cs="Arial"/>
          <w:iCs/>
        </w:rPr>
      </w:pPr>
      <w:r>
        <w:rPr>
          <w:rFonts w:ascii="Arial" w:hAnsi="Arial" w:cs="Arial"/>
          <w:iCs/>
        </w:rPr>
        <w:t xml:space="preserve">None. </w:t>
      </w:r>
    </w:p>
    <w:p w14:paraId="029198FD"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3323868" w14:textId="159BE36B" w:rsidR="009F2AB7" w:rsidRDefault="00AD3722" w:rsidP="00AD3722">
      <w:pPr>
        <w:spacing w:after="120" w:line="240" w:lineRule="auto"/>
        <w:ind w:left="426" w:right="260"/>
        <w:rPr>
          <w:rFonts w:ascii="Arial" w:hAnsi="Arial" w:cs="Arial"/>
          <w:iCs/>
        </w:rPr>
      </w:pPr>
      <w:bookmarkStart w:id="0" w:name="_GoBack"/>
      <w:r w:rsidRPr="00AD3722">
        <w:rPr>
          <w:rFonts w:ascii="Arial" w:hAnsi="Arial" w:cs="Arial"/>
          <w:iCs/>
        </w:rPr>
        <w:t xml:space="preserve">Compulsory to Business Psychology BSc and Business Psychology with a Placement Year BSc Optional to other Psychology undergraduate programmes. </w:t>
      </w:r>
      <w:bookmarkEnd w:id="0"/>
      <w:r w:rsidR="009F2AB7" w:rsidRPr="00AD3722">
        <w:rPr>
          <w:rFonts w:ascii="Arial" w:hAnsi="Arial" w:cs="Arial"/>
          <w:iCs/>
        </w:rPr>
        <w:t xml:space="preserve">Available as a wild module. Available to Short Term Credit students, subject to school and/or module convenor approval.  </w:t>
      </w:r>
    </w:p>
    <w:p w14:paraId="18AADFD3"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5966A9"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 xml:space="preserve">Acquire essential skills required by consumers of psychological or </w:t>
      </w:r>
      <w:r w:rsidRPr="00C75FD6">
        <w:rPr>
          <w:rFonts w:ascii="Arial" w:hAnsi="Arial" w:cs="Arial"/>
        </w:rPr>
        <w:tab/>
        <w:t xml:space="preserve">behavioural research </w:t>
      </w:r>
    </w:p>
    <w:p w14:paraId="76C4466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w:t>
      </w:r>
      <w:r w:rsidRPr="00C75FD6">
        <w:rPr>
          <w:rFonts w:ascii="Arial" w:hAnsi="Arial" w:cs="Arial"/>
        </w:rPr>
        <w:t xml:space="preserve"> common threats to internal validity of experimental studies</w:t>
      </w:r>
    </w:p>
    <w:p w14:paraId="62CD8B33"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skill in recognis</w:t>
      </w:r>
      <w:r w:rsidRPr="00C75FD6">
        <w:rPr>
          <w:rFonts w:ascii="Arial" w:hAnsi="Arial" w:cs="Arial"/>
        </w:rPr>
        <w:t>ing when sufficient information has been provided to establish predictive and causal relationships</w:t>
      </w:r>
    </w:p>
    <w:p w14:paraId="0261FCC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 and critically evaluate</w:t>
      </w:r>
      <w:r w:rsidRPr="00C75FD6">
        <w:rPr>
          <w:rFonts w:ascii="Arial" w:hAnsi="Arial" w:cs="Arial"/>
        </w:rPr>
        <w:t xml:space="preserve"> common ways of using statistics and graphs to inform and to misinform</w:t>
      </w:r>
    </w:p>
    <w:p w14:paraId="042AD1DC"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f</w:t>
      </w:r>
      <w:r w:rsidRPr="00C75FD6">
        <w:rPr>
          <w:rFonts w:ascii="Arial" w:hAnsi="Arial" w:cs="Arial"/>
        </w:rPr>
        <w:t>amiliarity with typical flaws in non-experimental research (including survey, evaluation research, quasi-experimental designs)</w:t>
      </w:r>
    </w:p>
    <w:p w14:paraId="79C1928D"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Develop</w:t>
      </w:r>
      <w:r w:rsidRPr="00C75FD6">
        <w:rPr>
          <w:rFonts w:ascii="Arial" w:hAnsi="Arial" w:cs="Arial"/>
        </w:rPr>
        <w:t xml:space="preserve"> skills in the critical analysis of psychological research claims.</w:t>
      </w:r>
    </w:p>
    <w:p w14:paraId="122033D0"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awareness of how evidence can relate to society</w:t>
      </w:r>
    </w:p>
    <w:p w14:paraId="78705BD8" w14:textId="77777777" w:rsidR="009F2AB7" w:rsidRPr="00C75FD6"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understanding of the range of approaches available for evaluating evidence for applying psychology</w:t>
      </w:r>
    </w:p>
    <w:p w14:paraId="098070E6"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77CBBF" w14:textId="77777777" w:rsidR="009F2AB7" w:rsidRPr="00C75FD6" w:rsidRDefault="009F2AB7" w:rsidP="009F2AB7">
      <w:pPr>
        <w:pStyle w:val="ListParagraph"/>
        <w:numPr>
          <w:ilvl w:val="1"/>
          <w:numId w:val="33"/>
        </w:numPr>
        <w:spacing w:after="0" w:line="240" w:lineRule="auto"/>
        <w:rPr>
          <w:rFonts w:ascii="Arial" w:hAnsi="Arial" w:cs="Arial"/>
        </w:rPr>
      </w:pPr>
      <w:r>
        <w:rPr>
          <w:rFonts w:ascii="Arial" w:hAnsi="Arial" w:cs="Arial"/>
        </w:rPr>
        <w:t>Demonstrate s</w:t>
      </w:r>
      <w:r w:rsidRPr="00C75FD6">
        <w:rPr>
          <w:rFonts w:ascii="Arial" w:hAnsi="Arial" w:cs="Arial"/>
        </w:rPr>
        <w:t>kill in distinguishing between questions that can and cannot be addressed empirically and scientifically</w:t>
      </w:r>
    </w:p>
    <w:p w14:paraId="51D02DF6" w14:textId="77777777" w:rsidR="009F2AB7" w:rsidRPr="00C75FD6" w:rsidRDefault="009F2AB7" w:rsidP="009F2AB7">
      <w:pPr>
        <w:pStyle w:val="ListParagraph"/>
        <w:numPr>
          <w:ilvl w:val="1"/>
          <w:numId w:val="33"/>
        </w:numPr>
        <w:spacing w:after="0" w:line="240" w:lineRule="auto"/>
        <w:rPr>
          <w:rFonts w:ascii="Arial" w:hAnsi="Arial" w:cs="Arial"/>
        </w:rPr>
      </w:pPr>
      <w:r w:rsidRPr="00C75FD6">
        <w:rPr>
          <w:rFonts w:ascii="Arial" w:hAnsi="Arial" w:cs="Arial"/>
        </w:rPr>
        <w:t>Develop skills in the critical analysis of any empirical research claim</w:t>
      </w:r>
    </w:p>
    <w:p w14:paraId="3A800C76"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Show a</w:t>
      </w:r>
      <w:r w:rsidRPr="0004419E">
        <w:rPr>
          <w:rFonts w:ascii="Arial" w:hAnsi="Arial" w:cs="Arial"/>
        </w:rPr>
        <w:t>ppreciation and understanding of the variety of empirical and methodological approaches used in psychology</w:t>
      </w:r>
    </w:p>
    <w:p w14:paraId="5D6AD96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Self-reflect on constructive feedback from </w:t>
      </w:r>
      <w:r w:rsidRPr="0004419E">
        <w:rPr>
          <w:rFonts w:ascii="Arial" w:hAnsi="Arial" w:cs="Arial"/>
        </w:rPr>
        <w:t>staff in order to improve understanding and academic performance</w:t>
      </w:r>
    </w:p>
    <w:p w14:paraId="6722B8F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Develop </w:t>
      </w:r>
      <w:r w:rsidRPr="0004419E">
        <w:rPr>
          <w:rFonts w:ascii="Arial" w:hAnsi="Arial" w:cs="Arial"/>
        </w:rPr>
        <w:t>independent learning and research skills required to support academic learning and development</w:t>
      </w:r>
    </w:p>
    <w:p w14:paraId="3A1E4A7F"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Develop</w:t>
      </w:r>
      <w:r w:rsidRPr="0004419E">
        <w:rPr>
          <w:rFonts w:ascii="Arial" w:hAnsi="Arial" w:cs="Arial"/>
        </w:rPr>
        <w:t xml:space="preserve"> self-regulation skills in the form of study planning and overall time management</w:t>
      </w:r>
    </w:p>
    <w:p w14:paraId="371CCC85" w14:textId="77777777" w:rsidR="009F2AB7" w:rsidRPr="0004419E" w:rsidRDefault="009F2AB7" w:rsidP="009F2AB7">
      <w:pPr>
        <w:numPr>
          <w:ilvl w:val="1"/>
          <w:numId w:val="33"/>
        </w:numPr>
        <w:spacing w:after="0" w:line="240" w:lineRule="auto"/>
        <w:rPr>
          <w:rFonts w:ascii="Arial" w:hAnsi="Arial" w:cs="Arial"/>
        </w:rPr>
      </w:pPr>
      <w:r w:rsidRPr="0004419E">
        <w:rPr>
          <w:rFonts w:ascii="Arial" w:hAnsi="Arial" w:cs="Arial"/>
        </w:rPr>
        <w:t>Develop information technology skills required to</w:t>
      </w:r>
      <w:r>
        <w:rPr>
          <w:rFonts w:ascii="Arial" w:hAnsi="Arial" w:cs="Arial"/>
        </w:rPr>
        <w:t xml:space="preserve"> obtain key learning resources </w:t>
      </w:r>
      <w:r w:rsidRPr="0004419E">
        <w:rPr>
          <w:rFonts w:ascii="Arial" w:hAnsi="Arial" w:cs="Arial"/>
        </w:rPr>
        <w:t>(e.g., use of online journals and learning resources as directed by lecturer).</w:t>
      </w:r>
    </w:p>
    <w:p w14:paraId="66DED0BF" w14:textId="77777777" w:rsidR="009F2AB7" w:rsidRPr="00302082" w:rsidRDefault="009F2AB7" w:rsidP="009F2AB7">
      <w:pPr>
        <w:pStyle w:val="Default"/>
        <w:spacing w:after="120"/>
        <w:ind w:left="720" w:right="260"/>
        <w:rPr>
          <w:color w:val="auto"/>
          <w:sz w:val="22"/>
          <w:szCs w:val="22"/>
        </w:rPr>
      </w:pPr>
    </w:p>
    <w:p w14:paraId="0CFB25B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19E2169A" w14:textId="77777777" w:rsidR="009F2AB7" w:rsidRPr="00C75FD6" w:rsidRDefault="009F2AB7" w:rsidP="009F2AB7">
      <w:pPr>
        <w:ind w:left="450"/>
        <w:rPr>
          <w:rFonts w:ascii="Arial" w:hAnsi="Arial" w:cs="Arial"/>
        </w:rPr>
      </w:pPr>
      <w:r w:rsidRPr="0004419E">
        <w:rPr>
          <w:rFonts w:ascii="Arial" w:hAnsi="Arial" w:cs="Arial"/>
        </w:rPr>
        <w:t xml:space="preserve">The module will systematically explore common logical and psychological barriers to understanding and critically analysing empirical research. Major topics to be considered include common fallacies of deductive and inductive reasoning, judgmental heuristics relevant to evaluating empirical research claims, essentials of a scientific method, misleading statistical and graphical techniques, establishing genuine associations, the role of inferential statistics for identifying illusory associations, essentials of causal inference, threats to the validity of experimental and </w:t>
      </w:r>
      <w:proofErr w:type="spellStart"/>
      <w:r w:rsidRPr="0004419E">
        <w:rPr>
          <w:rFonts w:ascii="Arial" w:hAnsi="Arial" w:cs="Arial"/>
        </w:rPr>
        <w:t>non experimental</w:t>
      </w:r>
      <w:proofErr w:type="spellEnd"/>
      <w:r w:rsidRPr="0004419E">
        <w:rPr>
          <w:rFonts w:ascii="Arial" w:hAnsi="Arial" w:cs="Arial"/>
        </w:rPr>
        <w:t xml:space="preserve"> research. </w:t>
      </w:r>
    </w:p>
    <w:p w14:paraId="1189CBDE"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6E5EC6C8"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David A. Levy. (1997). </w:t>
      </w:r>
      <w:r w:rsidRPr="00C75FD6">
        <w:rPr>
          <w:rFonts w:ascii="Arial" w:hAnsi="Arial" w:cs="Arial"/>
          <w:i/>
          <w:iCs/>
        </w:rPr>
        <w:t>Tools of Critical Thinking</w:t>
      </w:r>
      <w:r w:rsidRPr="00C75FD6">
        <w:rPr>
          <w:rFonts w:ascii="Arial" w:hAnsi="Arial" w:cs="Arial"/>
        </w:rPr>
        <w:t xml:space="preserve">. Needham, MA: </w:t>
      </w:r>
      <w:proofErr w:type="spellStart"/>
      <w:r w:rsidRPr="00C75FD6">
        <w:rPr>
          <w:rFonts w:ascii="Arial" w:hAnsi="Arial" w:cs="Arial"/>
        </w:rPr>
        <w:t>Allyn</w:t>
      </w:r>
      <w:proofErr w:type="spellEnd"/>
      <w:r w:rsidRPr="00C75FD6">
        <w:rPr>
          <w:rFonts w:ascii="Arial" w:hAnsi="Arial" w:cs="Arial"/>
        </w:rPr>
        <w:t xml:space="preserve"> &amp; Bacon. </w:t>
      </w:r>
    </w:p>
    <w:p w14:paraId="44FCDD45"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Theodore Schick, Jr. &amp; Lewis Vaughn (2004). </w:t>
      </w:r>
      <w:r w:rsidRPr="00C75FD6">
        <w:rPr>
          <w:rFonts w:ascii="Arial" w:hAnsi="Arial" w:cs="Arial"/>
          <w:i/>
        </w:rPr>
        <w:t xml:space="preserve">How to think about weird things: Critical thinking for a new age </w:t>
      </w:r>
      <w:r w:rsidRPr="00C75FD6">
        <w:rPr>
          <w:rFonts w:ascii="Arial" w:hAnsi="Arial" w:cs="Arial"/>
        </w:rPr>
        <w:t>(4</w:t>
      </w:r>
      <w:r w:rsidRPr="00C75FD6">
        <w:rPr>
          <w:rFonts w:ascii="Arial" w:hAnsi="Arial" w:cs="Arial"/>
          <w:vertAlign w:val="superscript"/>
        </w:rPr>
        <w:t>th</w:t>
      </w:r>
      <w:r w:rsidRPr="00C75FD6">
        <w:rPr>
          <w:rFonts w:ascii="Arial" w:hAnsi="Arial" w:cs="Arial"/>
        </w:rPr>
        <w:t xml:space="preserve"> edition). Boston: McGraw-Hill. </w:t>
      </w:r>
    </w:p>
    <w:p w14:paraId="33C16839"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Darrell Huff (1954). </w:t>
      </w:r>
      <w:r w:rsidRPr="00C75FD6">
        <w:rPr>
          <w:rFonts w:ascii="Arial" w:hAnsi="Arial" w:cs="Arial"/>
          <w:i/>
          <w:iCs/>
        </w:rPr>
        <w:t>How to Lie with Statistics</w:t>
      </w:r>
      <w:r w:rsidRPr="00C75FD6">
        <w:rPr>
          <w:rFonts w:ascii="Arial" w:hAnsi="Arial" w:cs="Arial"/>
        </w:rPr>
        <w:t xml:space="preserve">. New York: Norton. </w:t>
      </w:r>
    </w:p>
    <w:p w14:paraId="1DC8297A"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Keith E. </w:t>
      </w:r>
      <w:proofErr w:type="spellStart"/>
      <w:r w:rsidRPr="00C75FD6">
        <w:rPr>
          <w:rFonts w:ascii="Arial" w:hAnsi="Arial" w:cs="Arial"/>
        </w:rPr>
        <w:t>Stanovich</w:t>
      </w:r>
      <w:proofErr w:type="spellEnd"/>
      <w:r w:rsidRPr="00C75FD6">
        <w:rPr>
          <w:rFonts w:ascii="Arial" w:hAnsi="Arial" w:cs="Arial"/>
        </w:rPr>
        <w:t xml:space="preserve"> (2004). </w:t>
      </w:r>
      <w:r w:rsidRPr="00C75FD6">
        <w:rPr>
          <w:rFonts w:ascii="Arial" w:hAnsi="Arial" w:cs="Arial"/>
          <w:i/>
          <w:iCs/>
        </w:rPr>
        <w:t>How to Think Straight about Psychology</w:t>
      </w:r>
      <w:r w:rsidRPr="00C75FD6">
        <w:rPr>
          <w:rFonts w:ascii="Arial" w:hAnsi="Arial" w:cs="Arial"/>
        </w:rPr>
        <w:t xml:space="preserve"> (7th edition). Boston: </w:t>
      </w:r>
      <w:proofErr w:type="spellStart"/>
      <w:r w:rsidRPr="00C75FD6">
        <w:rPr>
          <w:rFonts w:ascii="Arial" w:hAnsi="Arial" w:cs="Arial"/>
        </w:rPr>
        <w:t>Allyn</w:t>
      </w:r>
      <w:proofErr w:type="spellEnd"/>
      <w:r w:rsidRPr="00C75FD6">
        <w:rPr>
          <w:rFonts w:ascii="Arial" w:hAnsi="Arial" w:cs="Arial"/>
        </w:rPr>
        <w:t>-Bacon.</w:t>
      </w:r>
    </w:p>
    <w:p w14:paraId="22EBEDD6" w14:textId="77777777" w:rsidR="009F2AB7" w:rsidRPr="00342E94" w:rsidRDefault="009F2AB7" w:rsidP="009F2AB7">
      <w:pPr>
        <w:numPr>
          <w:ilvl w:val="0"/>
          <w:numId w:val="1"/>
        </w:numPr>
        <w:spacing w:after="120" w:line="240" w:lineRule="auto"/>
        <w:ind w:left="502" w:right="260"/>
        <w:rPr>
          <w:rFonts w:ascii="Arial" w:hAnsi="Arial" w:cs="Arial"/>
          <w:iCs/>
        </w:rPr>
      </w:pPr>
      <w:r w:rsidRPr="00021D89">
        <w:rPr>
          <w:rFonts w:ascii="Arial" w:hAnsi="Arial" w:cs="Arial"/>
          <w:b/>
        </w:rPr>
        <w:t>Learning and Teaching methods</w:t>
      </w:r>
      <w:r w:rsidRPr="00021D89">
        <w:rPr>
          <w:rFonts w:ascii="Arial" w:hAnsi="Arial" w:cs="Arial"/>
          <w:b/>
        </w:rPr>
        <w:br/>
      </w:r>
      <w:proofErr w:type="gramStart"/>
      <w:r w:rsidRPr="00342E94">
        <w:rPr>
          <w:rFonts w:ascii="Arial" w:hAnsi="Arial" w:cs="Arial"/>
          <w:iCs/>
        </w:rPr>
        <w:t>The</w:t>
      </w:r>
      <w:proofErr w:type="gramEnd"/>
      <w:r w:rsidRPr="00342E94">
        <w:rPr>
          <w:rFonts w:ascii="Arial" w:hAnsi="Arial" w:cs="Arial"/>
          <w:iCs/>
        </w:rPr>
        <w:t xml:space="preserve"> m</w:t>
      </w:r>
      <w:r>
        <w:rPr>
          <w:rFonts w:ascii="Arial" w:hAnsi="Arial" w:cs="Arial"/>
          <w:iCs/>
        </w:rPr>
        <w:t>odule will be taught by lecture/</w:t>
      </w:r>
      <w:r w:rsidRPr="00342E94">
        <w:rPr>
          <w:rFonts w:ascii="Arial" w:hAnsi="Arial" w:cs="Arial"/>
          <w:iCs/>
        </w:rPr>
        <w:t>seminars and private study.</w:t>
      </w:r>
    </w:p>
    <w:p w14:paraId="500FED47" w14:textId="77777777" w:rsidR="009F2AB7" w:rsidRPr="00342E94" w:rsidRDefault="009F2AB7" w:rsidP="009F2AB7">
      <w:pPr>
        <w:spacing w:after="120" w:line="240" w:lineRule="auto"/>
        <w:ind w:left="502" w:right="260"/>
        <w:rPr>
          <w:rFonts w:ascii="Arial" w:hAnsi="Arial" w:cs="Arial"/>
          <w:iCs/>
        </w:rPr>
      </w:pPr>
      <w:r w:rsidRPr="00342E94">
        <w:rPr>
          <w:rFonts w:ascii="Arial" w:hAnsi="Arial" w:cs="Arial"/>
          <w:iCs/>
        </w:rPr>
        <w:t xml:space="preserve">Total Contact Hours: </w:t>
      </w:r>
      <w:r>
        <w:rPr>
          <w:rFonts w:ascii="Arial" w:hAnsi="Arial" w:cs="Arial"/>
          <w:iCs/>
        </w:rPr>
        <w:t>22</w:t>
      </w:r>
    </w:p>
    <w:p w14:paraId="0E0EA206" w14:textId="77777777" w:rsidR="009F2AB7" w:rsidRPr="00E446D6" w:rsidRDefault="009F2AB7" w:rsidP="009F2AB7">
      <w:pPr>
        <w:spacing w:after="120" w:line="240" w:lineRule="auto"/>
        <w:ind w:left="502" w:right="260"/>
        <w:rPr>
          <w:rFonts w:ascii="Arial" w:hAnsi="Arial" w:cs="Arial"/>
          <w:iCs/>
        </w:rPr>
      </w:pPr>
      <w:r w:rsidRPr="00342E94">
        <w:rPr>
          <w:rFonts w:ascii="Arial" w:hAnsi="Arial" w:cs="Arial"/>
          <w:iCs/>
        </w:rPr>
        <w:t>Private Study Hours</w:t>
      </w:r>
      <w:r>
        <w:rPr>
          <w:rFonts w:ascii="Arial" w:hAnsi="Arial" w:cs="Arial"/>
          <w:iCs/>
        </w:rPr>
        <w:t>: 128</w:t>
      </w:r>
    </w:p>
    <w:p w14:paraId="626A82DD" w14:textId="77777777" w:rsidR="009F2AB7" w:rsidRPr="00342E94" w:rsidRDefault="009F2AB7" w:rsidP="009F2AB7">
      <w:pPr>
        <w:spacing w:after="120" w:line="240" w:lineRule="auto"/>
        <w:ind w:left="426" w:right="260"/>
        <w:rPr>
          <w:rFonts w:ascii="Arial" w:hAnsi="Arial" w:cs="Arial"/>
          <w:i/>
          <w:iCs/>
        </w:rPr>
      </w:pPr>
    </w:p>
    <w:p w14:paraId="2B2B4B74" w14:textId="77777777" w:rsidR="009F2AB7" w:rsidRPr="0036174D" w:rsidRDefault="009F2AB7" w:rsidP="009F2AB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37BCD6A"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842FCD" w14:textId="12480835" w:rsidR="009F2AB7" w:rsidRDefault="009F2AB7" w:rsidP="009F2AB7">
      <w:pPr>
        <w:pStyle w:val="ListParagraph"/>
        <w:spacing w:after="120"/>
        <w:ind w:left="562"/>
        <w:contextualSpacing w:val="0"/>
        <w:rPr>
          <w:rFonts w:ascii="Arial" w:hAnsi="Arial" w:cs="Arial"/>
          <w:iCs/>
        </w:rPr>
      </w:pPr>
      <w:r>
        <w:rPr>
          <w:rFonts w:ascii="Arial" w:hAnsi="Arial" w:cs="Arial"/>
          <w:iCs/>
        </w:rPr>
        <w:t xml:space="preserve">Essay </w:t>
      </w:r>
      <w:r w:rsidR="00A04278">
        <w:rPr>
          <w:rFonts w:ascii="Arial" w:hAnsi="Arial" w:cs="Arial"/>
          <w:iCs/>
        </w:rPr>
        <w:tab/>
      </w:r>
      <w:r w:rsidR="00A04278">
        <w:rPr>
          <w:rFonts w:ascii="Arial" w:hAnsi="Arial" w:cs="Arial"/>
          <w:iCs/>
        </w:rPr>
        <w:tab/>
      </w:r>
      <w:r w:rsidR="00A04278">
        <w:rPr>
          <w:rFonts w:ascii="Arial" w:hAnsi="Arial" w:cs="Arial"/>
          <w:iCs/>
        </w:rPr>
        <w:tab/>
        <w:t>2</w:t>
      </w:r>
      <w:r>
        <w:rPr>
          <w:rFonts w:ascii="Arial" w:hAnsi="Arial" w:cs="Arial"/>
          <w:iCs/>
        </w:rPr>
        <w:t>,000 words</w:t>
      </w:r>
      <w:r>
        <w:rPr>
          <w:rFonts w:ascii="Arial" w:hAnsi="Arial" w:cs="Arial"/>
          <w:iCs/>
        </w:rPr>
        <w:tab/>
      </w:r>
      <w:r w:rsidR="00A04278">
        <w:rPr>
          <w:rFonts w:ascii="Arial" w:hAnsi="Arial" w:cs="Arial"/>
          <w:iCs/>
        </w:rPr>
        <w:tab/>
      </w:r>
      <w:r w:rsidR="00A04278">
        <w:rPr>
          <w:rFonts w:ascii="Arial" w:hAnsi="Arial" w:cs="Arial"/>
          <w:iCs/>
        </w:rPr>
        <w:tab/>
        <w:t>4</w:t>
      </w:r>
      <w:r>
        <w:rPr>
          <w:rFonts w:ascii="Arial" w:hAnsi="Arial" w:cs="Arial"/>
          <w:iCs/>
        </w:rPr>
        <w:t>0%</w:t>
      </w:r>
    </w:p>
    <w:p w14:paraId="0A1188D9" w14:textId="5F673A86" w:rsidR="009F2AB7" w:rsidRDefault="009F2AB7" w:rsidP="009F2AB7">
      <w:pPr>
        <w:pStyle w:val="ListParagraph"/>
        <w:spacing w:after="120"/>
        <w:ind w:left="562"/>
        <w:contextualSpacing w:val="0"/>
        <w:rPr>
          <w:rFonts w:ascii="Arial" w:hAnsi="Arial" w:cs="Arial"/>
          <w:iCs/>
        </w:rPr>
      </w:pPr>
      <w:r>
        <w:rPr>
          <w:rFonts w:ascii="Arial" w:hAnsi="Arial" w:cs="Arial"/>
          <w:iCs/>
        </w:rPr>
        <w:t>Exam</w:t>
      </w:r>
      <w:r>
        <w:rPr>
          <w:rFonts w:ascii="Arial" w:hAnsi="Arial" w:cs="Arial"/>
          <w:iCs/>
        </w:rPr>
        <w:tab/>
      </w:r>
      <w:r w:rsidR="00A04278">
        <w:rPr>
          <w:rFonts w:ascii="Arial" w:hAnsi="Arial" w:cs="Arial"/>
          <w:iCs/>
        </w:rPr>
        <w:tab/>
      </w:r>
      <w:r w:rsidR="00A04278">
        <w:rPr>
          <w:rFonts w:ascii="Arial" w:hAnsi="Arial" w:cs="Arial"/>
          <w:iCs/>
        </w:rPr>
        <w:tab/>
      </w:r>
      <w:r>
        <w:rPr>
          <w:rFonts w:ascii="Arial" w:hAnsi="Arial" w:cs="Arial"/>
          <w:iCs/>
        </w:rPr>
        <w:t>2 hours</w:t>
      </w:r>
      <w:r>
        <w:rPr>
          <w:rFonts w:ascii="Arial" w:hAnsi="Arial" w:cs="Arial"/>
          <w:iCs/>
        </w:rPr>
        <w:tab/>
      </w:r>
      <w:r w:rsidR="00A04278">
        <w:rPr>
          <w:rFonts w:ascii="Arial" w:hAnsi="Arial" w:cs="Arial"/>
          <w:iCs/>
        </w:rPr>
        <w:tab/>
      </w:r>
      <w:r w:rsidR="00A04278">
        <w:rPr>
          <w:rFonts w:ascii="Arial" w:hAnsi="Arial" w:cs="Arial"/>
          <w:iCs/>
        </w:rPr>
        <w:tab/>
        <w:t>6</w:t>
      </w:r>
      <w:r>
        <w:rPr>
          <w:rFonts w:ascii="Arial" w:hAnsi="Arial" w:cs="Arial"/>
          <w:iCs/>
        </w:rPr>
        <w:t>0%</w:t>
      </w:r>
    </w:p>
    <w:p w14:paraId="5DBB9F55"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1DC6A0E" w14:textId="163D076A" w:rsidR="009F2AB7" w:rsidRDefault="009F2AB7" w:rsidP="009F2AB7">
      <w:pPr>
        <w:pStyle w:val="ListParagraph"/>
        <w:spacing w:after="120"/>
        <w:ind w:left="562"/>
        <w:contextualSpacing w:val="0"/>
        <w:outlineLvl w:val="0"/>
        <w:rPr>
          <w:rFonts w:ascii="Arial" w:hAnsi="Arial" w:cs="Arial"/>
          <w:iCs/>
        </w:rPr>
      </w:pPr>
      <w:r>
        <w:rPr>
          <w:rFonts w:ascii="Arial" w:hAnsi="Arial" w:cs="Arial"/>
          <w:iCs/>
        </w:rPr>
        <w:t xml:space="preserve">Like for Like. </w:t>
      </w:r>
    </w:p>
    <w:p w14:paraId="07CAA195" w14:textId="77777777" w:rsidR="009F2AB7" w:rsidRDefault="009F2AB7" w:rsidP="009F2AB7">
      <w:pPr>
        <w:pStyle w:val="ListParagraph"/>
        <w:spacing w:after="120"/>
        <w:ind w:left="562"/>
        <w:contextualSpacing w:val="0"/>
        <w:outlineLvl w:val="0"/>
        <w:rPr>
          <w:rFonts w:ascii="Arial" w:hAnsi="Arial" w:cs="Arial"/>
          <w:iCs/>
        </w:rPr>
      </w:pPr>
    </w:p>
    <w:p w14:paraId="03A57A0B" w14:textId="77777777" w:rsidR="009F2AB7" w:rsidRDefault="009F2AB7" w:rsidP="009F2AB7">
      <w:pPr>
        <w:rPr>
          <w:rFonts w:ascii="Arial" w:hAnsi="Arial" w:cs="Arial"/>
          <w:iCs/>
        </w:rPr>
      </w:pPr>
      <w:r>
        <w:rPr>
          <w:rFonts w:ascii="Arial" w:hAnsi="Arial" w:cs="Arial"/>
          <w:iCs/>
        </w:rPr>
        <w:br w:type="page"/>
      </w:r>
    </w:p>
    <w:p w14:paraId="7E47B236" w14:textId="77777777" w:rsidR="009F2AB7" w:rsidRPr="00D50113" w:rsidRDefault="009F2AB7" w:rsidP="009F2AB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10642" w:type="dxa"/>
        <w:tblInd w:w="108" w:type="dxa"/>
        <w:tblLayout w:type="fixed"/>
        <w:tblLook w:val="04A0" w:firstRow="1" w:lastRow="0" w:firstColumn="1" w:lastColumn="0" w:noHBand="0" w:noVBand="1"/>
      </w:tblPr>
      <w:tblGrid>
        <w:gridCol w:w="2142"/>
        <w:gridCol w:w="738"/>
        <w:gridCol w:w="517"/>
        <w:gridCol w:w="517"/>
        <w:gridCol w:w="518"/>
        <w:gridCol w:w="517"/>
        <w:gridCol w:w="518"/>
        <w:gridCol w:w="517"/>
        <w:gridCol w:w="518"/>
        <w:gridCol w:w="517"/>
        <w:gridCol w:w="518"/>
        <w:gridCol w:w="517"/>
        <w:gridCol w:w="518"/>
        <w:gridCol w:w="517"/>
        <w:gridCol w:w="518"/>
        <w:gridCol w:w="517"/>
        <w:gridCol w:w="518"/>
      </w:tblGrid>
      <w:tr w:rsidR="009F2AB7" w:rsidRPr="007B69A3" w14:paraId="47231B6F" w14:textId="77777777" w:rsidTr="00A95F23">
        <w:trPr>
          <w:cantSplit/>
          <w:trHeight w:val="539"/>
        </w:trPr>
        <w:tc>
          <w:tcPr>
            <w:tcW w:w="2880" w:type="dxa"/>
            <w:gridSpan w:val="2"/>
            <w:shd w:val="clear" w:color="auto" w:fill="D9D9D9" w:themeFill="background1" w:themeFillShade="D9"/>
          </w:tcPr>
          <w:p w14:paraId="1F8CC6FE" w14:textId="77777777" w:rsidR="009F2AB7" w:rsidRPr="007B69A3" w:rsidRDefault="009F2AB7" w:rsidP="00A95F23">
            <w:pPr>
              <w:spacing w:after="120"/>
              <w:rPr>
                <w:rFonts w:ascii="Arial" w:hAnsi="Arial" w:cs="Arial"/>
                <w:i/>
              </w:rPr>
            </w:pPr>
            <w:r w:rsidRPr="007B69A3">
              <w:rPr>
                <w:rFonts w:ascii="Arial" w:hAnsi="Arial" w:cs="Arial"/>
                <w:b/>
              </w:rPr>
              <w:t>Module learning outcome</w:t>
            </w:r>
          </w:p>
        </w:tc>
        <w:tc>
          <w:tcPr>
            <w:tcW w:w="517" w:type="dxa"/>
            <w:textDirection w:val="tbRl"/>
            <w:vAlign w:val="center"/>
          </w:tcPr>
          <w:p w14:paraId="76BABE09"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8.1</w:t>
            </w:r>
          </w:p>
        </w:tc>
        <w:tc>
          <w:tcPr>
            <w:tcW w:w="517" w:type="dxa"/>
            <w:textDirection w:val="tbRl"/>
            <w:vAlign w:val="center"/>
          </w:tcPr>
          <w:p w14:paraId="75194F36"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8.2</w:t>
            </w:r>
          </w:p>
        </w:tc>
        <w:tc>
          <w:tcPr>
            <w:tcW w:w="518" w:type="dxa"/>
            <w:textDirection w:val="tbRl"/>
            <w:vAlign w:val="center"/>
          </w:tcPr>
          <w:p w14:paraId="6700B2D7"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8.3</w:t>
            </w:r>
          </w:p>
        </w:tc>
        <w:tc>
          <w:tcPr>
            <w:tcW w:w="517" w:type="dxa"/>
            <w:textDirection w:val="tbRl"/>
            <w:vAlign w:val="center"/>
          </w:tcPr>
          <w:p w14:paraId="20D9D56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8.4</w:t>
            </w:r>
          </w:p>
        </w:tc>
        <w:tc>
          <w:tcPr>
            <w:tcW w:w="518" w:type="dxa"/>
            <w:textDirection w:val="tbRl"/>
            <w:vAlign w:val="center"/>
          </w:tcPr>
          <w:p w14:paraId="5FDD589D" w14:textId="77777777" w:rsidR="009F2AB7" w:rsidRPr="007B69A3" w:rsidRDefault="009F2AB7" w:rsidP="00A95F23">
            <w:pPr>
              <w:spacing w:after="120"/>
              <w:ind w:left="113" w:right="113"/>
              <w:jc w:val="center"/>
              <w:rPr>
                <w:rFonts w:ascii="Arial" w:hAnsi="Arial" w:cs="Arial"/>
                <w:b/>
                <w:i/>
              </w:rPr>
            </w:pPr>
            <w:r>
              <w:rPr>
                <w:rFonts w:ascii="Arial" w:hAnsi="Arial" w:cs="Arial"/>
                <w:b/>
                <w:i/>
              </w:rPr>
              <w:t>8.5</w:t>
            </w:r>
          </w:p>
        </w:tc>
        <w:tc>
          <w:tcPr>
            <w:tcW w:w="517" w:type="dxa"/>
            <w:textDirection w:val="tbRl"/>
            <w:vAlign w:val="center"/>
          </w:tcPr>
          <w:p w14:paraId="499D6AB5" w14:textId="77777777" w:rsidR="009F2AB7" w:rsidRPr="007B69A3" w:rsidRDefault="009F2AB7" w:rsidP="00A95F23">
            <w:pPr>
              <w:spacing w:after="120"/>
              <w:ind w:left="113" w:right="113"/>
              <w:jc w:val="center"/>
              <w:rPr>
                <w:rFonts w:ascii="Arial" w:hAnsi="Arial" w:cs="Arial"/>
                <w:b/>
                <w:i/>
              </w:rPr>
            </w:pPr>
            <w:r>
              <w:rPr>
                <w:rFonts w:ascii="Arial" w:hAnsi="Arial" w:cs="Arial"/>
                <w:b/>
                <w:i/>
              </w:rPr>
              <w:t>8.6</w:t>
            </w:r>
          </w:p>
        </w:tc>
        <w:tc>
          <w:tcPr>
            <w:tcW w:w="518" w:type="dxa"/>
            <w:textDirection w:val="tbRl"/>
            <w:vAlign w:val="center"/>
          </w:tcPr>
          <w:p w14:paraId="37137C45" w14:textId="77777777" w:rsidR="009F2AB7" w:rsidRPr="007B69A3" w:rsidRDefault="009F2AB7" w:rsidP="00A95F23">
            <w:pPr>
              <w:spacing w:after="120"/>
              <w:ind w:left="113" w:right="113"/>
              <w:jc w:val="center"/>
              <w:rPr>
                <w:rFonts w:ascii="Arial" w:hAnsi="Arial" w:cs="Arial"/>
                <w:b/>
                <w:i/>
              </w:rPr>
            </w:pPr>
            <w:r>
              <w:rPr>
                <w:rFonts w:ascii="Arial" w:hAnsi="Arial" w:cs="Arial"/>
                <w:b/>
                <w:i/>
              </w:rPr>
              <w:t>8.7</w:t>
            </w:r>
          </w:p>
        </w:tc>
        <w:tc>
          <w:tcPr>
            <w:tcW w:w="517" w:type="dxa"/>
            <w:textDirection w:val="tbRl"/>
            <w:vAlign w:val="center"/>
          </w:tcPr>
          <w:p w14:paraId="019326BB" w14:textId="77777777" w:rsidR="009F2AB7" w:rsidRPr="007B69A3" w:rsidRDefault="009F2AB7" w:rsidP="00A95F23">
            <w:pPr>
              <w:spacing w:after="120"/>
              <w:ind w:left="113" w:right="113"/>
              <w:jc w:val="center"/>
              <w:rPr>
                <w:rFonts w:ascii="Arial" w:hAnsi="Arial" w:cs="Arial"/>
                <w:b/>
                <w:i/>
              </w:rPr>
            </w:pPr>
            <w:r>
              <w:rPr>
                <w:rFonts w:ascii="Arial" w:hAnsi="Arial" w:cs="Arial"/>
                <w:b/>
                <w:i/>
              </w:rPr>
              <w:t>8.8</w:t>
            </w:r>
          </w:p>
        </w:tc>
        <w:tc>
          <w:tcPr>
            <w:tcW w:w="518" w:type="dxa"/>
            <w:textDirection w:val="tbRl"/>
            <w:vAlign w:val="center"/>
          </w:tcPr>
          <w:p w14:paraId="0541883D"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9.1</w:t>
            </w:r>
          </w:p>
        </w:tc>
        <w:tc>
          <w:tcPr>
            <w:tcW w:w="517" w:type="dxa"/>
            <w:textDirection w:val="tbRl"/>
            <w:vAlign w:val="center"/>
          </w:tcPr>
          <w:p w14:paraId="3E143765"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9.2</w:t>
            </w:r>
          </w:p>
        </w:tc>
        <w:tc>
          <w:tcPr>
            <w:tcW w:w="518" w:type="dxa"/>
            <w:textDirection w:val="tbRl"/>
            <w:vAlign w:val="center"/>
          </w:tcPr>
          <w:p w14:paraId="289DFB9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9.3</w:t>
            </w:r>
          </w:p>
        </w:tc>
        <w:tc>
          <w:tcPr>
            <w:tcW w:w="517" w:type="dxa"/>
            <w:textDirection w:val="tbRl"/>
            <w:vAlign w:val="center"/>
          </w:tcPr>
          <w:p w14:paraId="4FCA6910"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9.4</w:t>
            </w:r>
          </w:p>
        </w:tc>
        <w:tc>
          <w:tcPr>
            <w:tcW w:w="518" w:type="dxa"/>
            <w:textDirection w:val="tbRl"/>
            <w:vAlign w:val="center"/>
          </w:tcPr>
          <w:p w14:paraId="232D590A"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9.5</w:t>
            </w:r>
          </w:p>
        </w:tc>
        <w:tc>
          <w:tcPr>
            <w:tcW w:w="517" w:type="dxa"/>
            <w:textDirection w:val="tbRl"/>
            <w:vAlign w:val="center"/>
          </w:tcPr>
          <w:p w14:paraId="1DBDA063" w14:textId="77777777" w:rsidR="009F2AB7" w:rsidRPr="007B69A3" w:rsidRDefault="009F2AB7" w:rsidP="00A95F23">
            <w:pPr>
              <w:spacing w:after="120"/>
              <w:ind w:left="113" w:right="113"/>
              <w:jc w:val="center"/>
              <w:rPr>
                <w:rFonts w:ascii="Arial" w:hAnsi="Arial" w:cs="Arial"/>
                <w:b/>
                <w:i/>
              </w:rPr>
            </w:pPr>
            <w:r>
              <w:rPr>
                <w:rFonts w:ascii="Arial" w:hAnsi="Arial" w:cs="Arial"/>
                <w:b/>
                <w:i/>
              </w:rPr>
              <w:t>9.6</w:t>
            </w:r>
          </w:p>
        </w:tc>
        <w:tc>
          <w:tcPr>
            <w:tcW w:w="518" w:type="dxa"/>
            <w:textDirection w:val="tbRl"/>
            <w:vAlign w:val="center"/>
          </w:tcPr>
          <w:p w14:paraId="0EBEC1F2" w14:textId="77777777" w:rsidR="009F2AB7" w:rsidRPr="007B69A3" w:rsidRDefault="009F2AB7" w:rsidP="00A95F23">
            <w:pPr>
              <w:spacing w:after="120"/>
              <w:ind w:left="113" w:right="113"/>
              <w:jc w:val="center"/>
              <w:rPr>
                <w:rFonts w:ascii="Arial" w:hAnsi="Arial" w:cs="Arial"/>
                <w:b/>
                <w:i/>
              </w:rPr>
            </w:pPr>
            <w:r>
              <w:rPr>
                <w:rFonts w:ascii="Arial" w:hAnsi="Arial" w:cs="Arial"/>
                <w:b/>
                <w:i/>
              </w:rPr>
              <w:t>9.7</w:t>
            </w:r>
          </w:p>
        </w:tc>
      </w:tr>
      <w:tr w:rsidR="009F2AB7" w:rsidRPr="007B69A3" w14:paraId="19816574" w14:textId="77777777" w:rsidTr="00A95F23">
        <w:trPr>
          <w:cantSplit/>
          <w:trHeight w:val="989"/>
        </w:trPr>
        <w:tc>
          <w:tcPr>
            <w:tcW w:w="2142" w:type="dxa"/>
            <w:shd w:val="clear" w:color="auto" w:fill="D9D9D9" w:themeFill="background1" w:themeFillShade="D9"/>
          </w:tcPr>
          <w:p w14:paraId="28E045D8" w14:textId="77777777" w:rsidR="009F2AB7" w:rsidRPr="007B69A3" w:rsidRDefault="009F2AB7" w:rsidP="00A95F23">
            <w:pPr>
              <w:spacing w:after="120"/>
              <w:rPr>
                <w:rFonts w:ascii="Arial" w:hAnsi="Arial" w:cs="Arial"/>
                <w:b/>
              </w:rPr>
            </w:pPr>
            <w:r w:rsidRPr="007B69A3">
              <w:rPr>
                <w:rFonts w:ascii="Arial" w:hAnsi="Arial" w:cs="Arial"/>
                <w:b/>
              </w:rPr>
              <w:t>Learning / teaching method</w:t>
            </w:r>
          </w:p>
        </w:tc>
        <w:tc>
          <w:tcPr>
            <w:tcW w:w="738" w:type="dxa"/>
            <w:shd w:val="clear" w:color="auto" w:fill="D9D9D9" w:themeFill="background1" w:themeFillShade="D9"/>
            <w:textDirection w:val="tbRl"/>
          </w:tcPr>
          <w:p w14:paraId="3EE4451D" w14:textId="77777777" w:rsidR="009F2AB7" w:rsidRPr="00021D89" w:rsidRDefault="009F2AB7" w:rsidP="00A95F23">
            <w:pPr>
              <w:spacing w:after="120"/>
              <w:ind w:left="113" w:right="113"/>
              <w:rPr>
                <w:rFonts w:ascii="Arial" w:hAnsi="Arial" w:cs="Arial"/>
                <w:sz w:val="16"/>
                <w:szCs w:val="16"/>
              </w:rPr>
            </w:pPr>
          </w:p>
        </w:tc>
        <w:tc>
          <w:tcPr>
            <w:tcW w:w="517" w:type="dxa"/>
            <w:shd w:val="clear" w:color="auto" w:fill="D9D9D9" w:themeFill="background1" w:themeFillShade="D9"/>
            <w:vAlign w:val="center"/>
          </w:tcPr>
          <w:p w14:paraId="563C349D"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EBB4506"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153D6CA"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1863D488"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8DD346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692F584F"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85BBE3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29C426E"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FAD4DA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687E0E5"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65CB8F0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D39DCB9"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3FD58A5C"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7E29CD80"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24BD9ECA" w14:textId="77777777" w:rsidR="009F2AB7" w:rsidRPr="007B69A3" w:rsidRDefault="009F2AB7" w:rsidP="00A95F23">
            <w:pPr>
              <w:spacing w:after="120"/>
              <w:jc w:val="center"/>
              <w:rPr>
                <w:rFonts w:ascii="Arial" w:hAnsi="Arial" w:cs="Arial"/>
                <w:b/>
              </w:rPr>
            </w:pPr>
          </w:p>
        </w:tc>
      </w:tr>
      <w:tr w:rsidR="009F2AB7" w:rsidRPr="007B69A3" w14:paraId="30926002" w14:textId="77777777" w:rsidTr="00A95F23">
        <w:tc>
          <w:tcPr>
            <w:tcW w:w="2142" w:type="dxa"/>
          </w:tcPr>
          <w:p w14:paraId="141DE437" w14:textId="77777777" w:rsidR="009F2AB7" w:rsidRPr="007B69A3" w:rsidRDefault="009F2AB7" w:rsidP="00A95F23">
            <w:pPr>
              <w:spacing w:after="120"/>
              <w:rPr>
                <w:rFonts w:ascii="Arial" w:hAnsi="Arial" w:cs="Arial"/>
              </w:rPr>
            </w:pPr>
            <w:r w:rsidRPr="007B69A3">
              <w:rPr>
                <w:rFonts w:ascii="Arial" w:hAnsi="Arial" w:cs="Arial"/>
              </w:rPr>
              <w:t>Lectures</w:t>
            </w:r>
          </w:p>
        </w:tc>
        <w:tc>
          <w:tcPr>
            <w:tcW w:w="738" w:type="dxa"/>
          </w:tcPr>
          <w:p w14:paraId="59C8D9FC" w14:textId="77777777" w:rsidR="009F2AB7" w:rsidRPr="007B69A3" w:rsidRDefault="009F2AB7" w:rsidP="00A95F23">
            <w:pPr>
              <w:spacing w:after="120"/>
              <w:rPr>
                <w:rFonts w:ascii="Arial" w:hAnsi="Arial" w:cs="Arial"/>
                <w:i/>
              </w:rPr>
            </w:pPr>
          </w:p>
        </w:tc>
        <w:tc>
          <w:tcPr>
            <w:tcW w:w="517" w:type="dxa"/>
            <w:vAlign w:val="center"/>
          </w:tcPr>
          <w:p w14:paraId="095F87B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0E74CC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79567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DF619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5364AA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EDC0AFF"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A9E8FEE"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30049F9D"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C6C112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8DA7A6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095AF1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6A9C4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9FA6652" w14:textId="77777777" w:rsidR="009F2AB7" w:rsidRPr="007B69A3" w:rsidRDefault="009F2AB7" w:rsidP="00A95F23">
            <w:pPr>
              <w:spacing w:after="120"/>
              <w:jc w:val="center"/>
              <w:rPr>
                <w:rFonts w:ascii="Arial" w:hAnsi="Arial" w:cs="Arial"/>
                <w:b/>
              </w:rPr>
            </w:pPr>
          </w:p>
        </w:tc>
        <w:tc>
          <w:tcPr>
            <w:tcW w:w="517" w:type="dxa"/>
            <w:vAlign w:val="center"/>
          </w:tcPr>
          <w:p w14:paraId="463454C5" w14:textId="77777777" w:rsidR="009F2AB7" w:rsidRDefault="009F2AB7" w:rsidP="00A95F23">
            <w:pPr>
              <w:spacing w:after="120"/>
              <w:jc w:val="center"/>
              <w:rPr>
                <w:rFonts w:ascii="Arial" w:hAnsi="Arial" w:cs="Arial"/>
                <w:b/>
              </w:rPr>
            </w:pPr>
          </w:p>
        </w:tc>
        <w:tc>
          <w:tcPr>
            <w:tcW w:w="518" w:type="dxa"/>
            <w:vAlign w:val="center"/>
          </w:tcPr>
          <w:p w14:paraId="60A4E281"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1C7EC1A8" w14:textId="77777777" w:rsidTr="00A95F23">
        <w:tc>
          <w:tcPr>
            <w:tcW w:w="2142" w:type="dxa"/>
          </w:tcPr>
          <w:p w14:paraId="7A79EAD7" w14:textId="77777777" w:rsidR="009F2AB7" w:rsidRPr="007B69A3" w:rsidRDefault="009F2AB7" w:rsidP="00A95F23">
            <w:pPr>
              <w:spacing w:after="120"/>
              <w:rPr>
                <w:rFonts w:ascii="Arial" w:hAnsi="Arial" w:cs="Arial"/>
              </w:rPr>
            </w:pPr>
            <w:r w:rsidRPr="007B69A3">
              <w:rPr>
                <w:rFonts w:ascii="Arial" w:hAnsi="Arial" w:cs="Arial"/>
              </w:rPr>
              <w:t>Private study</w:t>
            </w:r>
          </w:p>
        </w:tc>
        <w:tc>
          <w:tcPr>
            <w:tcW w:w="738" w:type="dxa"/>
          </w:tcPr>
          <w:p w14:paraId="32332A33" w14:textId="77777777" w:rsidR="009F2AB7" w:rsidRPr="007B69A3" w:rsidRDefault="009F2AB7" w:rsidP="00A95F23">
            <w:pPr>
              <w:spacing w:after="120"/>
              <w:rPr>
                <w:rFonts w:ascii="Arial" w:hAnsi="Arial" w:cs="Arial"/>
                <w:i/>
              </w:rPr>
            </w:pPr>
          </w:p>
        </w:tc>
        <w:tc>
          <w:tcPr>
            <w:tcW w:w="517" w:type="dxa"/>
            <w:vAlign w:val="center"/>
          </w:tcPr>
          <w:p w14:paraId="6FE6B62C"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7B96A"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4C0BBB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D919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F7A281"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B21F56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00CF1FEF"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2508CA9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5D4FB10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46EB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CB525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C5C1654"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3D178D9"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615D8B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7F2729E2" w14:textId="77777777" w:rsidR="009F2AB7" w:rsidRPr="007B69A3" w:rsidRDefault="009F2AB7" w:rsidP="00A95F23">
            <w:pPr>
              <w:spacing w:after="120"/>
              <w:jc w:val="center"/>
              <w:rPr>
                <w:rFonts w:ascii="Arial" w:hAnsi="Arial" w:cs="Arial"/>
                <w:b/>
              </w:rPr>
            </w:pPr>
            <w:r>
              <w:rPr>
                <w:rFonts w:ascii="Arial" w:hAnsi="Arial" w:cs="Arial"/>
                <w:b/>
              </w:rPr>
              <w:t>X</w:t>
            </w:r>
          </w:p>
        </w:tc>
      </w:tr>
      <w:tr w:rsidR="009F2AB7" w:rsidRPr="007B69A3" w14:paraId="0EB44165" w14:textId="77777777" w:rsidTr="00A95F23">
        <w:tc>
          <w:tcPr>
            <w:tcW w:w="10642" w:type="dxa"/>
            <w:gridSpan w:val="17"/>
            <w:shd w:val="clear" w:color="auto" w:fill="D9D9D9" w:themeFill="background1" w:themeFillShade="D9"/>
            <w:vAlign w:val="center"/>
          </w:tcPr>
          <w:p w14:paraId="45D81BEE" w14:textId="77777777" w:rsidR="009F2AB7" w:rsidRPr="007B69A3" w:rsidRDefault="009F2AB7" w:rsidP="00A95F23">
            <w:pPr>
              <w:spacing w:after="120"/>
              <w:rPr>
                <w:rFonts w:ascii="Arial" w:hAnsi="Arial" w:cs="Arial"/>
                <w:b/>
              </w:rPr>
            </w:pPr>
            <w:r w:rsidRPr="007B69A3">
              <w:rPr>
                <w:rFonts w:ascii="Arial" w:hAnsi="Arial" w:cs="Arial"/>
                <w:b/>
              </w:rPr>
              <w:t>Assessment method</w:t>
            </w:r>
          </w:p>
        </w:tc>
      </w:tr>
      <w:tr w:rsidR="009F2AB7" w:rsidRPr="007B69A3" w14:paraId="3AEFDF26" w14:textId="77777777" w:rsidTr="00A95F23">
        <w:tc>
          <w:tcPr>
            <w:tcW w:w="2142" w:type="dxa"/>
          </w:tcPr>
          <w:p w14:paraId="46717A98" w14:textId="77777777" w:rsidR="009F2AB7" w:rsidRPr="007B69A3" w:rsidRDefault="009F2AB7" w:rsidP="00A95F23">
            <w:pPr>
              <w:spacing w:after="120"/>
              <w:rPr>
                <w:rFonts w:ascii="Arial" w:hAnsi="Arial" w:cs="Arial"/>
                <w:i/>
              </w:rPr>
            </w:pPr>
            <w:r>
              <w:rPr>
                <w:rFonts w:ascii="Arial" w:hAnsi="Arial" w:cs="Arial"/>
                <w:iCs/>
              </w:rPr>
              <w:t>Examination (2 hours)</w:t>
            </w:r>
          </w:p>
        </w:tc>
        <w:tc>
          <w:tcPr>
            <w:tcW w:w="738" w:type="dxa"/>
          </w:tcPr>
          <w:p w14:paraId="0A78FC6D" w14:textId="3E523417" w:rsidR="009F2AB7" w:rsidRPr="007B69A3" w:rsidRDefault="00A04278" w:rsidP="00A95F23">
            <w:pPr>
              <w:spacing w:after="120"/>
              <w:rPr>
                <w:rFonts w:ascii="Arial" w:hAnsi="Arial" w:cs="Arial"/>
                <w:i/>
              </w:rPr>
            </w:pPr>
            <w:r>
              <w:rPr>
                <w:rFonts w:ascii="Arial" w:hAnsi="Arial" w:cs="Arial"/>
                <w:i/>
              </w:rPr>
              <w:t>6</w:t>
            </w:r>
            <w:r w:rsidR="009F2AB7">
              <w:rPr>
                <w:rFonts w:ascii="Arial" w:hAnsi="Arial" w:cs="Arial"/>
                <w:i/>
              </w:rPr>
              <w:t>0</w:t>
            </w:r>
            <w:r w:rsidR="009F2AB7" w:rsidRPr="007B69A3">
              <w:rPr>
                <w:rFonts w:ascii="Arial" w:hAnsi="Arial" w:cs="Arial"/>
                <w:i/>
              </w:rPr>
              <w:t>%</w:t>
            </w:r>
          </w:p>
        </w:tc>
        <w:tc>
          <w:tcPr>
            <w:tcW w:w="517" w:type="dxa"/>
            <w:vAlign w:val="center"/>
          </w:tcPr>
          <w:p w14:paraId="5E78A7F4"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D02AFC"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E0DDC3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4C6F01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EF4A93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4B0BC804"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1E052E07"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47C37D96"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1B5C26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4F0AEC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406D162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3F8A40D"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4BA492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966E55"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B13A00C"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28E2BAAE" w14:textId="77777777" w:rsidTr="00A95F23">
        <w:tc>
          <w:tcPr>
            <w:tcW w:w="2142" w:type="dxa"/>
          </w:tcPr>
          <w:p w14:paraId="412D0C4C" w14:textId="77777777" w:rsidR="009F2AB7" w:rsidRPr="007B69A3" w:rsidRDefault="009F2AB7" w:rsidP="00A95F23">
            <w:pPr>
              <w:spacing w:after="120"/>
              <w:rPr>
                <w:rFonts w:ascii="Arial" w:hAnsi="Arial" w:cs="Arial"/>
                <w:i/>
              </w:rPr>
            </w:pPr>
            <w:r>
              <w:rPr>
                <w:rFonts w:ascii="Arial" w:hAnsi="Arial" w:cs="Arial"/>
                <w:iCs/>
              </w:rPr>
              <w:t>Essay</w:t>
            </w:r>
          </w:p>
        </w:tc>
        <w:tc>
          <w:tcPr>
            <w:tcW w:w="738" w:type="dxa"/>
          </w:tcPr>
          <w:p w14:paraId="783D8A03" w14:textId="72A5343D" w:rsidR="009F2AB7" w:rsidRPr="007B69A3" w:rsidRDefault="00A04278" w:rsidP="00A95F23">
            <w:pPr>
              <w:spacing w:after="120"/>
              <w:rPr>
                <w:rFonts w:ascii="Arial" w:hAnsi="Arial" w:cs="Arial"/>
                <w:i/>
              </w:rPr>
            </w:pPr>
            <w:r>
              <w:rPr>
                <w:rFonts w:ascii="Arial" w:hAnsi="Arial" w:cs="Arial"/>
                <w:i/>
              </w:rPr>
              <w:t>4</w:t>
            </w:r>
            <w:r w:rsidR="009F2AB7">
              <w:rPr>
                <w:rFonts w:ascii="Arial" w:hAnsi="Arial" w:cs="Arial"/>
                <w:i/>
              </w:rPr>
              <w:t>0</w:t>
            </w:r>
            <w:r w:rsidR="009F2AB7" w:rsidRPr="007B69A3">
              <w:rPr>
                <w:rFonts w:ascii="Arial" w:hAnsi="Arial" w:cs="Arial"/>
                <w:i/>
              </w:rPr>
              <w:t>%</w:t>
            </w:r>
          </w:p>
        </w:tc>
        <w:tc>
          <w:tcPr>
            <w:tcW w:w="517" w:type="dxa"/>
          </w:tcPr>
          <w:p w14:paraId="6BE47D17"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79FB9B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5A38928"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DD16C7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163A0BA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4BDD24EF"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7DDED1EB"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828103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640210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E3928E7"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31E2FD3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C18CB8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E4585EA"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1C2F239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57746F68" w14:textId="77777777" w:rsidR="009F2AB7" w:rsidRPr="007B69A3" w:rsidRDefault="009F2AB7" w:rsidP="00A95F23">
            <w:pPr>
              <w:spacing w:after="120"/>
              <w:jc w:val="center"/>
              <w:rPr>
                <w:rFonts w:ascii="Arial" w:hAnsi="Arial" w:cs="Arial"/>
                <w:b/>
              </w:rPr>
            </w:pPr>
            <w:r>
              <w:rPr>
                <w:rFonts w:ascii="Arial" w:hAnsi="Arial" w:cs="Arial"/>
                <w:b/>
              </w:rPr>
              <w:t>X</w:t>
            </w:r>
          </w:p>
        </w:tc>
      </w:tr>
    </w:tbl>
    <w:p w14:paraId="56804741" w14:textId="77777777" w:rsidR="009F2AB7" w:rsidRDefault="009F2AB7" w:rsidP="009F2AB7">
      <w:pPr>
        <w:spacing w:after="120" w:line="240" w:lineRule="auto"/>
        <w:ind w:left="426" w:right="260"/>
        <w:rPr>
          <w:rFonts w:ascii="Arial" w:hAnsi="Arial" w:cs="Arial"/>
          <w:b/>
          <w:iCs/>
        </w:rPr>
      </w:pPr>
    </w:p>
    <w:p w14:paraId="123A72F1" w14:textId="77777777" w:rsidR="009F2AB7" w:rsidRPr="00D50113" w:rsidRDefault="009F2AB7" w:rsidP="009F2AB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58315C"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D6A7DE6"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B47A" w14:textId="77777777" w:rsidR="009F2AB7" w:rsidRPr="00D50113" w:rsidRDefault="009F2AB7" w:rsidP="009F2AB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547095" w14:textId="77777777" w:rsidR="009F2AB7" w:rsidRPr="00D50113" w:rsidRDefault="009F2AB7" w:rsidP="009F2AB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46FC9D0" w14:textId="77777777" w:rsidR="009F2AB7" w:rsidRDefault="009F2AB7" w:rsidP="009F2AB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F9E078E" w14:textId="77777777" w:rsidR="009F2AB7" w:rsidRPr="00130406" w:rsidRDefault="009F2AB7" w:rsidP="009F2AB7">
      <w:pPr>
        <w:spacing w:after="120" w:line="240" w:lineRule="auto"/>
        <w:ind w:left="1134" w:right="260" w:hanging="567"/>
        <w:jc w:val="both"/>
        <w:outlineLvl w:val="0"/>
        <w:rPr>
          <w:rFonts w:ascii="Arial" w:hAnsi="Arial" w:cs="Arial"/>
        </w:rPr>
      </w:pPr>
      <w:r w:rsidRPr="00130406">
        <w:rPr>
          <w:rFonts w:ascii="Arial" w:hAnsi="Arial" w:cs="Arial"/>
        </w:rPr>
        <w:t>Canterbury</w:t>
      </w:r>
    </w:p>
    <w:p w14:paraId="2C94A801" w14:textId="77777777" w:rsidR="009F2AB7" w:rsidRPr="002A7F48" w:rsidRDefault="009F2AB7" w:rsidP="009F2AB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DFE0AE6" w14:textId="77777777" w:rsidR="009F2AB7" w:rsidRPr="002A7F48" w:rsidRDefault="009F2AB7" w:rsidP="009F2AB7">
      <w:pPr>
        <w:autoSpaceDE w:val="0"/>
        <w:autoSpaceDN w:val="0"/>
        <w:adjustRightInd w:val="0"/>
        <w:spacing w:after="120" w:line="240" w:lineRule="auto"/>
        <w:ind w:left="567" w:right="261"/>
        <w:jc w:val="both"/>
        <w:rPr>
          <w:rFonts w:ascii="Arial" w:hAnsi="Arial" w:cs="Arial"/>
        </w:rPr>
      </w:pPr>
      <w:r>
        <w:rPr>
          <w:rFonts w:ascii="Arial" w:hAnsi="Arial" w:cs="Arial"/>
        </w:rPr>
        <w:t>This module takes a global approach to review how research is undertaken, and the reading list reflects the various sources of theory that form the module content.</w:t>
      </w:r>
      <w:r w:rsidRPr="002A7F48">
        <w:rPr>
          <w:rFonts w:ascii="Arial" w:hAnsi="Arial" w:cs="Arial"/>
        </w:rPr>
        <w:t xml:space="preserve"> </w:t>
      </w:r>
    </w:p>
    <w:p w14:paraId="75F4FFE7" w14:textId="77777777" w:rsidR="009F2AB7" w:rsidRPr="00302082" w:rsidRDefault="009F2AB7" w:rsidP="009F2AB7">
      <w:pPr>
        <w:pBdr>
          <w:bottom w:val="single" w:sz="6" w:space="1" w:color="auto"/>
        </w:pBdr>
        <w:spacing w:after="120" w:line="240" w:lineRule="auto"/>
        <w:ind w:right="261"/>
        <w:rPr>
          <w:rFonts w:ascii="Arial" w:hAnsi="Arial" w:cs="Arial"/>
        </w:rPr>
      </w:pPr>
    </w:p>
    <w:p w14:paraId="530A45C4" w14:textId="77777777" w:rsidR="009F2AB7" w:rsidRPr="00BA453C" w:rsidRDefault="009F2AB7" w:rsidP="009F2AB7">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4C234BFD" w14:textId="77777777" w:rsidR="009F2AB7" w:rsidRPr="00BA453C" w:rsidRDefault="009F2AB7" w:rsidP="009F2AB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27164F" w14:textId="77777777" w:rsidR="009F2AB7" w:rsidRPr="00302082" w:rsidRDefault="009F2AB7" w:rsidP="009F2AB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9F2AB7" w:rsidRPr="00BA453C" w14:paraId="5D650434" w14:textId="77777777" w:rsidTr="00A95F23">
        <w:trPr>
          <w:trHeight w:val="317"/>
        </w:trPr>
        <w:tc>
          <w:tcPr>
            <w:tcW w:w="1526" w:type="dxa"/>
          </w:tcPr>
          <w:p w14:paraId="538F8FAB" w14:textId="77777777" w:rsidR="009F2AB7" w:rsidRPr="00BA453C" w:rsidRDefault="009F2AB7" w:rsidP="00A95F23">
            <w:pPr>
              <w:spacing w:after="120"/>
              <w:ind w:right="-330"/>
              <w:rPr>
                <w:rFonts w:ascii="Arial" w:hAnsi="Arial" w:cs="Arial"/>
                <w:sz w:val="18"/>
              </w:rPr>
            </w:pPr>
            <w:r w:rsidRPr="00BA453C">
              <w:rPr>
                <w:rFonts w:ascii="Arial" w:hAnsi="Arial" w:cs="Arial"/>
                <w:sz w:val="18"/>
              </w:rPr>
              <w:t>Date approved</w:t>
            </w:r>
          </w:p>
        </w:tc>
        <w:tc>
          <w:tcPr>
            <w:tcW w:w="1701" w:type="dxa"/>
          </w:tcPr>
          <w:p w14:paraId="45876B17" w14:textId="77777777" w:rsidR="009F2AB7" w:rsidRPr="00BA453C" w:rsidRDefault="009F2AB7" w:rsidP="00A95F23">
            <w:pPr>
              <w:spacing w:after="120"/>
              <w:rPr>
                <w:rFonts w:ascii="Arial" w:hAnsi="Arial" w:cs="Arial"/>
                <w:sz w:val="18"/>
              </w:rPr>
            </w:pPr>
            <w:r w:rsidRPr="00BA453C">
              <w:rPr>
                <w:rFonts w:ascii="Arial" w:hAnsi="Arial" w:cs="Arial"/>
                <w:sz w:val="18"/>
              </w:rPr>
              <w:t>Major/minor revision</w:t>
            </w:r>
          </w:p>
        </w:tc>
        <w:tc>
          <w:tcPr>
            <w:tcW w:w="2410" w:type="dxa"/>
          </w:tcPr>
          <w:p w14:paraId="772419BC" w14:textId="77777777" w:rsidR="009F2AB7" w:rsidRPr="00BA453C" w:rsidRDefault="009F2AB7" w:rsidP="00A95F2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EFC2CF8" w14:textId="77777777" w:rsidR="009F2AB7" w:rsidRPr="00BA453C" w:rsidRDefault="009F2AB7" w:rsidP="00A95F23">
            <w:pPr>
              <w:spacing w:after="120"/>
              <w:ind w:right="-330"/>
              <w:rPr>
                <w:rFonts w:ascii="Arial" w:hAnsi="Arial" w:cs="Arial"/>
                <w:sz w:val="18"/>
              </w:rPr>
            </w:pPr>
            <w:r w:rsidRPr="00BA453C">
              <w:rPr>
                <w:rFonts w:ascii="Arial" w:hAnsi="Arial" w:cs="Arial"/>
                <w:sz w:val="18"/>
              </w:rPr>
              <w:t>Section revised</w:t>
            </w:r>
          </w:p>
        </w:tc>
        <w:tc>
          <w:tcPr>
            <w:tcW w:w="2400" w:type="dxa"/>
          </w:tcPr>
          <w:p w14:paraId="6B5600AE" w14:textId="77777777" w:rsidR="009F2AB7" w:rsidRPr="00BA453C" w:rsidRDefault="009F2AB7" w:rsidP="00A95F2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F2AB7" w:rsidRPr="00342E94" w14:paraId="5F15AE3E" w14:textId="77777777" w:rsidTr="00A95F23">
        <w:trPr>
          <w:trHeight w:val="305"/>
        </w:trPr>
        <w:tc>
          <w:tcPr>
            <w:tcW w:w="1526" w:type="dxa"/>
          </w:tcPr>
          <w:p w14:paraId="075F1570"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18/05/16</w:t>
            </w:r>
          </w:p>
        </w:tc>
        <w:tc>
          <w:tcPr>
            <w:tcW w:w="1701" w:type="dxa"/>
          </w:tcPr>
          <w:p w14:paraId="65C6154B"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Major</w:t>
            </w:r>
          </w:p>
        </w:tc>
        <w:tc>
          <w:tcPr>
            <w:tcW w:w="2410" w:type="dxa"/>
          </w:tcPr>
          <w:p w14:paraId="7B2BD38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September 2016</w:t>
            </w:r>
          </w:p>
        </w:tc>
        <w:tc>
          <w:tcPr>
            <w:tcW w:w="2448" w:type="dxa"/>
          </w:tcPr>
          <w:p w14:paraId="5B5E0654"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13,</w:t>
            </w:r>
            <w:r>
              <w:rPr>
                <w:rFonts w:ascii="Arial" w:hAnsi="Arial" w:cs="Arial"/>
                <w:sz w:val="18"/>
                <w:szCs w:val="18"/>
              </w:rPr>
              <w:t xml:space="preserve"> </w:t>
            </w:r>
            <w:r w:rsidRPr="00342E94">
              <w:rPr>
                <w:rFonts w:ascii="Arial" w:hAnsi="Arial" w:cs="Arial"/>
                <w:sz w:val="18"/>
                <w:szCs w:val="18"/>
              </w:rPr>
              <w:t>14</w:t>
            </w:r>
          </w:p>
        </w:tc>
        <w:tc>
          <w:tcPr>
            <w:tcW w:w="2400" w:type="dxa"/>
          </w:tcPr>
          <w:p w14:paraId="4125B82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No</w:t>
            </w:r>
          </w:p>
        </w:tc>
      </w:tr>
      <w:tr w:rsidR="009F2AB7" w:rsidRPr="00342E94" w14:paraId="6B749D6A" w14:textId="77777777" w:rsidTr="00A95F23">
        <w:trPr>
          <w:trHeight w:val="305"/>
        </w:trPr>
        <w:tc>
          <w:tcPr>
            <w:tcW w:w="1526" w:type="dxa"/>
          </w:tcPr>
          <w:p w14:paraId="5DCA5BB6"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December 2017</w:t>
            </w:r>
          </w:p>
        </w:tc>
        <w:tc>
          <w:tcPr>
            <w:tcW w:w="1701" w:type="dxa"/>
          </w:tcPr>
          <w:p w14:paraId="372D312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Minor</w:t>
            </w:r>
          </w:p>
        </w:tc>
        <w:tc>
          <w:tcPr>
            <w:tcW w:w="2410" w:type="dxa"/>
          </w:tcPr>
          <w:p w14:paraId="5BC29AED"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September 2017</w:t>
            </w:r>
          </w:p>
        </w:tc>
        <w:tc>
          <w:tcPr>
            <w:tcW w:w="2448" w:type="dxa"/>
          </w:tcPr>
          <w:p w14:paraId="53BE4B1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13, 17</w:t>
            </w:r>
          </w:p>
        </w:tc>
        <w:tc>
          <w:tcPr>
            <w:tcW w:w="2400" w:type="dxa"/>
          </w:tcPr>
          <w:p w14:paraId="4652A444"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No</w:t>
            </w:r>
          </w:p>
        </w:tc>
      </w:tr>
    </w:tbl>
    <w:p w14:paraId="73C7EE1B" w14:textId="77777777" w:rsidR="009F2AB7" w:rsidRPr="00302082" w:rsidRDefault="009F2AB7" w:rsidP="009F2AB7">
      <w:pPr>
        <w:spacing w:after="120" w:line="240" w:lineRule="auto"/>
        <w:ind w:right="-330"/>
        <w:rPr>
          <w:rFonts w:ascii="Arial" w:hAnsi="Arial" w:cs="Arial"/>
        </w:rPr>
      </w:pPr>
    </w:p>
    <w:p w14:paraId="49C3434A" w14:textId="77777777" w:rsidR="00D83563" w:rsidRPr="00302082" w:rsidRDefault="00D83563" w:rsidP="009F2AB7">
      <w:pPr>
        <w:numPr>
          <w:ilvl w:val="0"/>
          <w:numId w:val="1"/>
        </w:numPr>
        <w:spacing w:after="120" w:line="240" w:lineRule="auto"/>
        <w:ind w:left="426" w:right="260" w:hanging="426"/>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E8C3" w14:textId="77777777" w:rsidR="00F447DB" w:rsidRDefault="00F447DB" w:rsidP="009A2D37">
      <w:pPr>
        <w:spacing w:after="0" w:line="240" w:lineRule="auto"/>
      </w:pPr>
      <w:r>
        <w:separator/>
      </w:r>
    </w:p>
  </w:endnote>
  <w:endnote w:type="continuationSeparator" w:id="0">
    <w:p w14:paraId="6A96E9D8" w14:textId="77777777" w:rsidR="00F447DB" w:rsidRDefault="00F447DB" w:rsidP="009A2D37">
      <w:pPr>
        <w:spacing w:after="0" w:line="240" w:lineRule="auto"/>
      </w:pPr>
      <w:r>
        <w:continuationSeparator/>
      </w:r>
    </w:p>
  </w:endnote>
  <w:endnote w:type="continuationNotice" w:id="1">
    <w:p w14:paraId="28260E83" w14:textId="77777777" w:rsidR="00F447DB" w:rsidRDefault="00F44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2BC85AC6" w:rsidR="008B2543" w:rsidRDefault="0019787E" w:rsidP="009A2D37">
        <w:pPr>
          <w:pStyle w:val="Footer"/>
          <w:jc w:val="center"/>
        </w:pPr>
        <w:r>
          <w:fldChar w:fldCharType="begin"/>
        </w:r>
        <w:r>
          <w:instrText xml:space="preserve"> PAGE   \* MERGEFORMAT </w:instrText>
        </w:r>
        <w:r>
          <w:fldChar w:fldCharType="separate"/>
        </w:r>
        <w:r w:rsidR="00EB4E6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0C56BB3E" w:rsidR="00DB36AB" w:rsidRDefault="00DB36AB" w:rsidP="00DB36AB">
        <w:pPr>
          <w:pStyle w:val="Footer"/>
          <w:jc w:val="center"/>
        </w:pPr>
        <w:r>
          <w:fldChar w:fldCharType="begin"/>
        </w:r>
        <w:r>
          <w:instrText xml:space="preserve"> PAGE   \* MERGEFORMAT </w:instrText>
        </w:r>
        <w:r>
          <w:fldChar w:fldCharType="separate"/>
        </w:r>
        <w:r w:rsidR="00EB4E6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32B3" w14:textId="77777777" w:rsidR="00F447DB" w:rsidRDefault="00F447DB" w:rsidP="009A2D37">
      <w:pPr>
        <w:spacing w:after="0" w:line="240" w:lineRule="auto"/>
      </w:pPr>
      <w:r>
        <w:separator/>
      </w:r>
    </w:p>
  </w:footnote>
  <w:footnote w:type="continuationSeparator" w:id="0">
    <w:p w14:paraId="1B7CDFB4" w14:textId="77777777" w:rsidR="00F447DB" w:rsidRDefault="00F447DB" w:rsidP="009A2D37">
      <w:pPr>
        <w:spacing w:after="0" w:line="240" w:lineRule="auto"/>
      </w:pPr>
      <w:r>
        <w:continuationSeparator/>
      </w:r>
    </w:p>
  </w:footnote>
  <w:footnote w:type="continuationNotice" w:id="1">
    <w:p w14:paraId="05574C19" w14:textId="77777777" w:rsidR="00F447DB" w:rsidRDefault="00F44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46D1F8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2AE0C22"/>
    <w:multiLevelType w:val="hybridMultilevel"/>
    <w:tmpl w:val="352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1B6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97EC8"/>
    <w:multiLevelType w:val="multilevel"/>
    <w:tmpl w:val="194031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0B14EA"/>
    <w:multiLevelType w:val="multilevel"/>
    <w:tmpl w:val="184211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7462DE"/>
    <w:multiLevelType w:val="multilevel"/>
    <w:tmpl w:val="41F4B5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5D3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934C07"/>
    <w:multiLevelType w:val="multilevel"/>
    <w:tmpl w:val="BC1E50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1897623"/>
    <w:multiLevelType w:val="hybridMultilevel"/>
    <w:tmpl w:val="35C41768"/>
    <w:lvl w:ilvl="0" w:tplc="811A3082">
      <w:start w:val="15"/>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2E325D"/>
    <w:multiLevelType w:val="hybridMultilevel"/>
    <w:tmpl w:val="C6E6DC5C"/>
    <w:lvl w:ilvl="0" w:tplc="04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92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24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2B74B9"/>
    <w:multiLevelType w:val="multilevel"/>
    <w:tmpl w:val="63C88A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9D3F56"/>
    <w:multiLevelType w:val="multilevel"/>
    <w:tmpl w:val="18746A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7767C2"/>
    <w:multiLevelType w:val="hybridMultilevel"/>
    <w:tmpl w:val="D2ACA3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8571D41"/>
    <w:multiLevelType w:val="multilevel"/>
    <w:tmpl w:val="02FCD6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E780E"/>
    <w:multiLevelType w:val="hybridMultilevel"/>
    <w:tmpl w:val="039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02552"/>
    <w:multiLevelType w:val="multilevel"/>
    <w:tmpl w:val="D3A854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1"/>
  </w:num>
  <w:num w:numId="4">
    <w:abstractNumId w:val="4"/>
  </w:num>
  <w:num w:numId="5">
    <w:abstractNumId w:val="27"/>
  </w:num>
  <w:num w:numId="6">
    <w:abstractNumId w:val="23"/>
  </w:num>
  <w:num w:numId="7">
    <w:abstractNumId w:val="32"/>
  </w:num>
  <w:num w:numId="8">
    <w:abstractNumId w:val="25"/>
  </w:num>
  <w:num w:numId="9">
    <w:abstractNumId w:val="12"/>
  </w:num>
  <w:num w:numId="10">
    <w:abstractNumId w:val="1"/>
  </w:num>
  <w:num w:numId="11">
    <w:abstractNumId w:val="2"/>
  </w:num>
  <w:num w:numId="12">
    <w:abstractNumId w:val="26"/>
  </w:num>
  <w:num w:numId="13">
    <w:abstractNumId w:val="21"/>
  </w:num>
  <w:num w:numId="14">
    <w:abstractNumId w:val="14"/>
  </w:num>
  <w:num w:numId="15">
    <w:abstractNumId w:val="30"/>
  </w:num>
  <w:num w:numId="16">
    <w:abstractNumId w:val="31"/>
  </w:num>
  <w:num w:numId="17">
    <w:abstractNumId w:val="13"/>
  </w:num>
  <w:num w:numId="18">
    <w:abstractNumId w:val="20"/>
  </w:num>
  <w:num w:numId="19">
    <w:abstractNumId w:val="5"/>
  </w:num>
  <w:num w:numId="20">
    <w:abstractNumId w:val="18"/>
  </w:num>
  <w:num w:numId="21">
    <w:abstractNumId w:val="16"/>
  </w:num>
  <w:num w:numId="22">
    <w:abstractNumId w:val="15"/>
  </w:num>
  <w:num w:numId="23">
    <w:abstractNumId w:val="34"/>
  </w:num>
  <w:num w:numId="24">
    <w:abstractNumId w:val="19"/>
  </w:num>
  <w:num w:numId="25">
    <w:abstractNumId w:val="8"/>
  </w:num>
  <w:num w:numId="26">
    <w:abstractNumId w:val="29"/>
  </w:num>
  <w:num w:numId="27">
    <w:abstractNumId w:val="3"/>
  </w:num>
  <w:num w:numId="28">
    <w:abstractNumId w:val="28"/>
  </w:num>
  <w:num w:numId="29">
    <w:abstractNumId w:val="9"/>
  </w:num>
  <w:num w:numId="30">
    <w:abstractNumId w:val="7"/>
  </w:num>
  <w:num w:numId="31">
    <w:abstractNumId w:val="24"/>
  </w:num>
  <w:num w:numId="32">
    <w:abstractNumId w:val="6"/>
  </w:num>
  <w:num w:numId="33">
    <w:abstractNumId w:val="22"/>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275"/>
    <w:rsid w:val="00063A2F"/>
    <w:rsid w:val="000678D3"/>
    <w:rsid w:val="00094810"/>
    <w:rsid w:val="00096DA4"/>
    <w:rsid w:val="000C0294"/>
    <w:rsid w:val="000C3A7E"/>
    <w:rsid w:val="000C7A1C"/>
    <w:rsid w:val="000D2A8A"/>
    <w:rsid w:val="000D325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166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1A68"/>
    <w:rsid w:val="003627B0"/>
    <w:rsid w:val="00374DF6"/>
    <w:rsid w:val="003759B0"/>
    <w:rsid w:val="00375F84"/>
    <w:rsid w:val="00376E34"/>
    <w:rsid w:val="003804E7"/>
    <w:rsid w:val="003845B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87662"/>
    <w:rsid w:val="00492DA4"/>
    <w:rsid w:val="00496AA3"/>
    <w:rsid w:val="00497C98"/>
    <w:rsid w:val="004A39D7"/>
    <w:rsid w:val="004A55FA"/>
    <w:rsid w:val="004B5D03"/>
    <w:rsid w:val="004C1EC4"/>
    <w:rsid w:val="004D035C"/>
    <w:rsid w:val="004D2F3D"/>
    <w:rsid w:val="004F27B3"/>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67"/>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5E"/>
    <w:rsid w:val="00703404"/>
    <w:rsid w:val="00703854"/>
    <w:rsid w:val="00703F92"/>
    <w:rsid w:val="00704637"/>
    <w:rsid w:val="007078D1"/>
    <w:rsid w:val="007105E4"/>
    <w:rsid w:val="00714EE5"/>
    <w:rsid w:val="00720270"/>
    <w:rsid w:val="00724362"/>
    <w:rsid w:val="00727780"/>
    <w:rsid w:val="0073792C"/>
    <w:rsid w:val="00754069"/>
    <w:rsid w:val="00755C94"/>
    <w:rsid w:val="007623C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68B"/>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21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AEC"/>
    <w:rsid w:val="009F2AB7"/>
    <w:rsid w:val="009F3A2A"/>
    <w:rsid w:val="009F731F"/>
    <w:rsid w:val="009F7D33"/>
    <w:rsid w:val="00A021FE"/>
    <w:rsid w:val="00A0427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3722"/>
    <w:rsid w:val="00AD748B"/>
    <w:rsid w:val="00AE04D0"/>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4189"/>
    <w:rsid w:val="00BC19F7"/>
    <w:rsid w:val="00BC41ED"/>
    <w:rsid w:val="00BD009E"/>
    <w:rsid w:val="00BD0EF8"/>
    <w:rsid w:val="00BD7A8C"/>
    <w:rsid w:val="00BE2126"/>
    <w:rsid w:val="00BE3B17"/>
    <w:rsid w:val="00BF51AB"/>
    <w:rsid w:val="00BF6778"/>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DD1"/>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B4E6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3A45"/>
    <w:rsid w:val="00F447DB"/>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0D48"/>
    <w:rsid w:val="00FA20DE"/>
    <w:rsid w:val="00FA4EE8"/>
    <w:rsid w:val="00FA5112"/>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 w:type="paragraph" w:styleId="Revision">
    <w:name w:val="Revision"/>
    <w:hidden/>
    <w:uiPriority w:val="99"/>
    <w:semiHidden/>
    <w:rsid w:val="0048766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8DAEC-7B6E-43D2-9193-372366EF6AC3}">
  <ds:schemaRefs>
    <ds:schemaRef ds:uri="http://schemas.openxmlformats.org/officeDocument/2006/bibliography"/>
  </ds:schemaRefs>
</ds:datastoreItem>
</file>

<file path=customXml/itemProps2.xml><?xml version="1.0" encoding="utf-8"?>
<ds:datastoreItem xmlns:ds="http://schemas.openxmlformats.org/officeDocument/2006/customXml" ds:itemID="{93D7197A-F3E3-4584-9518-500E5E416AEF}"/>
</file>

<file path=customXml/itemProps3.xml><?xml version="1.0" encoding="utf-8"?>
<ds:datastoreItem xmlns:ds="http://schemas.openxmlformats.org/officeDocument/2006/customXml" ds:itemID="{EA1565D1-CA88-4FBD-92A8-5BBBD46CE535}"/>
</file>

<file path=customXml/itemProps4.xml><?xml version="1.0" encoding="utf-8"?>
<ds:datastoreItem xmlns:ds="http://schemas.openxmlformats.org/officeDocument/2006/customXml" ds:itemID="{891026D9-95B9-4E31-9543-D5D54BD12DE9}"/>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2019-12-11T11:46:00Z</dcterms:created>
  <dcterms:modified xsi:type="dcterms:W3CDTF">2020-03-06T12:49:00Z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