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after="0" w:line="240" w:lineRule="auto"/>
        <w:rPr>
          <w:rFonts w:ascii="Arial" w:hAnsi="Arial" w:cs="Arial"/>
        </w:rPr>
      </w:pPr>
      <w:bookmarkStart w:id="0" w:name="_GoBack"/>
      <w:bookmarkEnd w:id="0"/>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Default="00B92346" w:rsidP="00BA1EFC">
      <w:pPr>
        <w:spacing w:after="120" w:line="240" w:lineRule="auto"/>
        <w:ind w:left="426" w:right="260"/>
        <w:jc w:val="both"/>
        <w:rPr>
          <w:rFonts w:ascii="Arial" w:hAnsi="Arial" w:cs="Arial"/>
        </w:rPr>
      </w:pPr>
      <w:r>
        <w:rPr>
          <w:rFonts w:ascii="Arial" w:hAnsi="Arial" w:cs="Arial"/>
        </w:rPr>
        <w:t xml:space="preserve">MAST6390 (MA639) </w:t>
      </w:r>
      <w:r w:rsidR="004D5A6A">
        <w:rPr>
          <w:rFonts w:ascii="Arial" w:hAnsi="Arial" w:cs="Arial"/>
        </w:rPr>
        <w:t>Time Series Modelling and Simulation</w:t>
      </w:r>
    </w:p>
    <w:p w:rsidR="00A220D1" w:rsidRPr="00302082" w:rsidRDefault="00A220D1" w:rsidP="00BA1EFC">
      <w:pPr>
        <w:spacing w:after="120" w:line="240" w:lineRule="auto"/>
        <w:ind w:left="426" w:right="260"/>
        <w:jc w:val="both"/>
        <w:rPr>
          <w:rFonts w:ascii="Arial" w:hAnsi="Arial" w:cs="Arial"/>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rsidR="00A220D1" w:rsidRPr="007A7376" w:rsidRDefault="00A220D1" w:rsidP="00BA1EFC">
      <w:pPr>
        <w:spacing w:after="120" w:line="240" w:lineRule="auto"/>
        <w:ind w:left="426" w:right="260"/>
        <w:jc w:val="both"/>
        <w:rPr>
          <w:rFonts w:ascii="Arial" w:hAnsi="Arial" w:cs="Arial"/>
          <w:iCs/>
        </w:rPr>
      </w:pPr>
    </w:p>
    <w:p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Default="007D1AD3" w:rsidP="00BA1EFC">
      <w:pPr>
        <w:spacing w:after="120" w:line="240" w:lineRule="auto"/>
        <w:ind w:left="426" w:right="260"/>
        <w:jc w:val="both"/>
        <w:rPr>
          <w:rFonts w:ascii="Arial" w:hAnsi="Arial" w:cs="Arial"/>
          <w:iCs/>
        </w:rPr>
      </w:pPr>
      <w:r>
        <w:rPr>
          <w:rFonts w:ascii="Arial" w:hAnsi="Arial" w:cs="Arial"/>
          <w:iCs/>
        </w:rPr>
        <w:t>Level 6</w:t>
      </w:r>
    </w:p>
    <w:p w:rsidR="006F6297" w:rsidRPr="007A7376" w:rsidRDefault="006F6297" w:rsidP="00BA1EFC">
      <w:pPr>
        <w:spacing w:after="120" w:line="240" w:lineRule="auto"/>
        <w:ind w:left="426" w:right="260"/>
        <w:jc w:val="both"/>
        <w:rPr>
          <w:rFonts w:ascii="Arial" w:hAnsi="Arial" w:cs="Arial"/>
          <w:iCs/>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rsidR="00BA1EFC" w:rsidRPr="007A7376" w:rsidRDefault="00BA1EFC" w:rsidP="00BA1EFC">
      <w:pPr>
        <w:spacing w:after="120" w:line="240" w:lineRule="auto"/>
        <w:ind w:left="426" w:right="260"/>
        <w:jc w:val="both"/>
        <w:rPr>
          <w:rFonts w:ascii="Arial" w:hAnsi="Arial" w:cs="Arial"/>
        </w:rPr>
      </w:pPr>
    </w:p>
    <w:p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Default="004D5A6A" w:rsidP="00BA1EFC">
      <w:pPr>
        <w:spacing w:after="120" w:line="240" w:lineRule="auto"/>
        <w:ind w:left="426"/>
        <w:jc w:val="both"/>
        <w:rPr>
          <w:rFonts w:ascii="Arial" w:hAnsi="Arial" w:cs="Arial"/>
        </w:rPr>
      </w:pPr>
      <w:r>
        <w:rPr>
          <w:rFonts w:ascii="Arial" w:hAnsi="Arial" w:cs="Arial"/>
        </w:rPr>
        <w:t>Spring</w:t>
      </w:r>
    </w:p>
    <w:p w:rsidR="00BA1EFC" w:rsidRDefault="00BA1EFC" w:rsidP="00BA1EFC">
      <w:pPr>
        <w:spacing w:after="120" w:line="240" w:lineRule="auto"/>
        <w:ind w:left="426"/>
        <w:jc w:val="both"/>
        <w:rPr>
          <w:rFonts w:ascii="Arial" w:hAnsi="Arial" w:cs="Arial"/>
        </w:rPr>
      </w:pPr>
    </w:p>
    <w:p w:rsidR="00B2615F" w:rsidRPr="00302082" w:rsidRDefault="00B2615F"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4D5A6A" w:rsidRPr="00DD64E7" w:rsidRDefault="00BA1EFC" w:rsidP="004D5A6A">
      <w:pPr>
        <w:spacing w:before="60" w:after="60" w:line="240" w:lineRule="auto"/>
        <w:ind w:left="426" w:right="-330"/>
        <w:jc w:val="both"/>
        <w:rPr>
          <w:rFonts w:ascii="Arial" w:hAnsi="Arial" w:cs="Arial"/>
          <w:sz w:val="20"/>
          <w:szCs w:val="20"/>
        </w:rPr>
      </w:pPr>
      <w:r>
        <w:rPr>
          <w:rFonts w:ascii="Arial" w:hAnsi="Arial" w:cs="Arial"/>
          <w:iCs/>
        </w:rPr>
        <w:t>Pre-requisite</w:t>
      </w:r>
      <w:r w:rsidR="004D5A6A">
        <w:rPr>
          <w:rFonts w:ascii="Arial" w:hAnsi="Arial" w:cs="Arial"/>
        </w:rPr>
        <w:t>MA5507 (Mathematical Statistics) or equivalent</w:t>
      </w:r>
    </w:p>
    <w:p w:rsidR="00BA1EFC" w:rsidRDefault="00BA1EFC" w:rsidP="004D5A6A">
      <w:pPr>
        <w:spacing w:after="120" w:line="240" w:lineRule="auto"/>
        <w:ind w:left="426" w:right="260"/>
        <w:jc w:val="both"/>
        <w:rPr>
          <w:rFonts w:ascii="Arial" w:hAnsi="Arial" w:cs="Arial"/>
          <w:iCs/>
        </w:rPr>
      </w:pPr>
      <w:r>
        <w:rPr>
          <w:rFonts w:ascii="Arial" w:hAnsi="Arial" w:cs="Arial"/>
          <w:iCs/>
        </w:rPr>
        <w:t>Co-requisite: None</w:t>
      </w:r>
    </w:p>
    <w:p w:rsidR="004D5A6A" w:rsidRPr="00BA1EFC" w:rsidRDefault="004D5A6A" w:rsidP="004D5A6A">
      <w:pPr>
        <w:spacing w:after="120" w:line="240" w:lineRule="auto"/>
        <w:ind w:left="426" w:right="260"/>
        <w:jc w:val="both"/>
        <w:rPr>
          <w:rFonts w:ascii="Arial" w:hAnsi="Arial" w:cs="Arial"/>
          <w:iCs/>
        </w:rPr>
      </w:pPr>
    </w:p>
    <w:p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4D5A6A" w:rsidRPr="004D5A6A" w:rsidRDefault="004D5A6A" w:rsidP="004D5A6A">
      <w:pPr>
        <w:spacing w:before="60" w:after="60" w:line="240" w:lineRule="auto"/>
        <w:ind w:left="426" w:right="-330"/>
        <w:rPr>
          <w:rFonts w:ascii="Arial" w:hAnsi="Arial" w:cs="Arial"/>
        </w:rPr>
      </w:pPr>
      <w:r w:rsidRPr="004D5A6A">
        <w:rPr>
          <w:rFonts w:ascii="Arial" w:hAnsi="Arial" w:cs="Arial"/>
        </w:rPr>
        <w:t xml:space="preserve">BSc (Hons) Mathematics, BSc (Hons) Mathematics &amp; Statistics, BA (Hons) Mathematics and Accounting &amp; Finance, BSc (Hons) Financial Mathematics (including programmes with a year in industry), BSc (Hons) Mathematics with a Foundation Year, </w:t>
      </w:r>
      <w:proofErr w:type="spellStart"/>
      <w:r w:rsidRPr="004D5A6A">
        <w:rPr>
          <w:rFonts w:ascii="Arial" w:hAnsi="Arial" w:cs="Arial"/>
        </w:rPr>
        <w:t>MMath</w:t>
      </w:r>
      <w:proofErr w:type="spellEnd"/>
      <w:r w:rsidRPr="004D5A6A">
        <w:rPr>
          <w:rFonts w:ascii="Arial" w:hAnsi="Arial" w:cs="Arial"/>
        </w:rPr>
        <w:t xml:space="preserve"> Mathematics, </w:t>
      </w:r>
      <w:proofErr w:type="spellStart"/>
      <w:r w:rsidRPr="004D5A6A">
        <w:rPr>
          <w:rFonts w:ascii="Arial" w:hAnsi="Arial" w:cs="Arial"/>
        </w:rPr>
        <w:t>MMathStat</w:t>
      </w:r>
      <w:proofErr w:type="spellEnd"/>
      <w:r w:rsidRPr="004D5A6A">
        <w:rPr>
          <w:rFonts w:ascii="Arial" w:hAnsi="Arial" w:cs="Arial"/>
        </w:rPr>
        <w:t xml:space="preserve"> Mathematics and Statistics</w:t>
      </w:r>
    </w:p>
    <w:p w:rsidR="00BA1EFC" w:rsidRPr="007A7376" w:rsidRDefault="00BA1EFC" w:rsidP="00BA1EFC">
      <w:pPr>
        <w:spacing w:after="120" w:line="240" w:lineRule="auto"/>
        <w:ind w:left="426" w:right="260"/>
        <w:jc w:val="both"/>
        <w:rPr>
          <w:rFonts w:ascii="Arial" w:hAnsi="Arial" w:cs="Arial"/>
          <w:iCs/>
        </w:rPr>
      </w:pPr>
    </w:p>
    <w:p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rsidR="007D1AD3" w:rsidRPr="006170B0" w:rsidRDefault="007D1AD3" w:rsidP="007D1AD3">
      <w:pPr>
        <w:spacing w:after="120" w:line="240" w:lineRule="auto"/>
        <w:ind w:left="426" w:right="261"/>
        <w:jc w:val="both"/>
        <w:rPr>
          <w:rFonts w:ascii="Arial" w:hAnsi="Arial" w:cs="Arial"/>
          <w:b/>
        </w:rPr>
      </w:pPr>
      <w:r w:rsidRPr="006170B0">
        <w:rPr>
          <w:rFonts w:ascii="Arial" w:hAnsi="Arial" w:cs="Arial"/>
          <w:b/>
        </w:rPr>
        <w:t>On successfully completing this module students will be able to:</w:t>
      </w:r>
    </w:p>
    <w:p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demonstrate systematic understanding of key aspects of time series modelling and simulation;</w:t>
      </w:r>
    </w:p>
    <w:p w:rsidR="00583DEE" w:rsidRPr="007D1AD3" w:rsidRDefault="007D1AD3" w:rsidP="00583DEE">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583DEE" w:rsidRPr="00DD111F">
        <w:rPr>
          <w:rFonts w:ascii="Arial" w:hAnsi="Arial" w:cs="Arial"/>
        </w:rPr>
        <w:t xml:space="preserve">ARIMA and GARCH time series models including those modelling seasonality, </w:t>
      </w:r>
      <w:r w:rsidR="00583DEE">
        <w:rPr>
          <w:rFonts w:ascii="Arial" w:hAnsi="Arial" w:cs="Arial"/>
        </w:rPr>
        <w:t>main methods for simulating random variates</w:t>
      </w:r>
      <w:r w:rsidR="00583DEE" w:rsidRPr="007D1AD3">
        <w:rPr>
          <w:rFonts w:ascii="Arial" w:hAnsi="Arial" w:cs="Arial"/>
        </w:rPr>
        <w:t>;</w:t>
      </w:r>
    </w:p>
    <w:p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proofErr w:type="gramStart"/>
      <w:r w:rsidRPr="007D1AD3">
        <w:rPr>
          <w:rFonts w:ascii="Arial" w:hAnsi="Arial" w:cs="Arial"/>
        </w:rPr>
        <w:t>apply</w:t>
      </w:r>
      <w:proofErr w:type="gramEnd"/>
      <w:r w:rsidRPr="007D1AD3">
        <w:rPr>
          <w:rFonts w:ascii="Arial" w:hAnsi="Arial" w:cs="Arial"/>
        </w:rPr>
        <w:t xml:space="preserve"> key aspects of </w:t>
      </w:r>
      <w:r>
        <w:rPr>
          <w:rFonts w:ascii="Arial" w:hAnsi="Arial" w:cs="Arial"/>
        </w:rPr>
        <w:t>time series</w:t>
      </w:r>
      <w:r w:rsidRPr="007D1AD3">
        <w:rPr>
          <w:rFonts w:ascii="Arial" w:hAnsi="Arial" w:cs="Arial"/>
        </w:rPr>
        <w:t xml:space="preserve"> modelling in well-defined contexts, showing judgement in the selection and application of tools and techniques.</w:t>
      </w:r>
    </w:p>
    <w:p w:rsidR="007D1AD3" w:rsidRDefault="007D1AD3" w:rsidP="004D5A6A">
      <w:pPr>
        <w:spacing w:before="60" w:after="60" w:line="240" w:lineRule="auto"/>
        <w:ind w:left="426" w:right="-330"/>
        <w:rPr>
          <w:rFonts w:ascii="Arial" w:hAnsi="Arial" w:cs="Arial"/>
        </w:rPr>
      </w:pPr>
    </w:p>
    <w:p w:rsidR="00761E84" w:rsidRDefault="009A2D37" w:rsidP="00827E11">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rsidR="007D1AD3" w:rsidRDefault="007D1AD3" w:rsidP="006464CF">
      <w:pPr>
        <w:spacing w:after="120" w:line="240" w:lineRule="auto"/>
        <w:ind w:right="261" w:firstLine="360"/>
        <w:jc w:val="both"/>
        <w:rPr>
          <w:rFonts w:ascii="Arial" w:hAnsi="Arial" w:cs="Arial"/>
        </w:rPr>
      </w:pPr>
      <w:r>
        <w:rPr>
          <w:rFonts w:ascii="Arial" w:hAnsi="Arial" w:cs="Arial"/>
          <w:b/>
        </w:rPr>
        <w:t xml:space="preserve">  </w:t>
      </w:r>
      <w:r w:rsidRPr="007D1AD3">
        <w:rPr>
          <w:rFonts w:ascii="Arial" w:hAnsi="Arial" w:cs="Arial"/>
          <w:b/>
        </w:rPr>
        <w:t>On successfully completing this module students will be able to</w:t>
      </w:r>
      <w:r w:rsidRPr="007D1AD3">
        <w:rPr>
          <w:rFonts w:ascii="Arial" w:hAnsi="Arial" w:cs="Arial"/>
        </w:rPr>
        <w:t xml:space="preserve">:   </w:t>
      </w:r>
    </w:p>
    <w:p w:rsidR="007D1AD3"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manage their own learning and make use of appropriate resources;</w:t>
      </w:r>
    </w:p>
    <w:p w:rsidR="006464CF"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understand logical arguments, identifying the assumptions made and the conclusions drawn;</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straightforward arguments and conclusions reasonably accurately and clearly and communicate technical material competently;</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manage their time and use their organisational skills to plan and implement efficient and effective modes of working;</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solve problems relating to qualitative and quantitative information;</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lastRenderedPageBreak/>
        <w:t>make competent use of information technology skills such as online resources (Moodle);</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technical material competently;</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an increased level of skill in numeracy and computation;</w:t>
      </w:r>
    </w:p>
    <w:p w:rsidR="007D1AD3" w:rsidRPr="006464CF" w:rsidRDefault="007D1AD3" w:rsidP="006464CF">
      <w:pPr>
        <w:pStyle w:val="ListParagraph"/>
        <w:numPr>
          <w:ilvl w:val="1"/>
          <w:numId w:val="17"/>
        </w:numPr>
        <w:spacing w:after="120" w:line="240" w:lineRule="auto"/>
        <w:ind w:right="261"/>
        <w:jc w:val="both"/>
        <w:rPr>
          <w:rFonts w:ascii="Arial" w:hAnsi="Arial" w:cs="Arial"/>
        </w:rPr>
      </w:pPr>
      <w:proofErr w:type="gramStart"/>
      <w:r w:rsidRPr="006464CF">
        <w:rPr>
          <w:rFonts w:ascii="Arial" w:hAnsi="Arial" w:cs="Arial"/>
        </w:rPr>
        <w:t>demonstrate</w:t>
      </w:r>
      <w:proofErr w:type="gramEnd"/>
      <w:r w:rsidRPr="006464CF">
        <w:rPr>
          <w:rFonts w:ascii="Arial" w:hAnsi="Arial" w:cs="Arial"/>
        </w:rPr>
        <w:t xml:space="preserve"> the acquisition of the study skills needed for continuing professional development.</w:t>
      </w:r>
    </w:p>
    <w:p w:rsidR="006A5682" w:rsidRDefault="006A5682" w:rsidP="00BB7CBC">
      <w:pPr>
        <w:spacing w:after="120" w:line="240" w:lineRule="auto"/>
        <w:ind w:left="426" w:right="260"/>
        <w:jc w:val="both"/>
        <w:rPr>
          <w:rFonts w:ascii="Arial" w:hAnsi="Arial" w:cs="Arial"/>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Stationary Time Series</w:t>
      </w:r>
      <w:r w:rsidRPr="004D5A6A">
        <w:rPr>
          <w:rFonts w:ascii="Arial" w:hAnsi="Arial" w:cs="Arial"/>
        </w:rPr>
        <w:t xml:space="preserve">: Stationarity, </w:t>
      </w:r>
      <w:proofErr w:type="spellStart"/>
      <w:r w:rsidRPr="004D5A6A">
        <w:rPr>
          <w:rFonts w:ascii="Arial" w:hAnsi="Arial" w:cs="Arial"/>
        </w:rPr>
        <w:t>autocovariance</w:t>
      </w:r>
      <w:proofErr w:type="spellEnd"/>
      <w:r w:rsidRPr="004D5A6A">
        <w:rPr>
          <w:rFonts w:ascii="Arial" w:hAnsi="Arial" w:cs="Arial"/>
        </w:rPr>
        <w:t xml:space="preserve"> and autocorrelation functions, partial autocorrelation functions, ARMA processes.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ARIMA Model Building and Testing</w:t>
      </w:r>
      <w:r w:rsidRPr="004D5A6A">
        <w:rPr>
          <w:rFonts w:ascii="Arial" w:hAnsi="Arial" w:cs="Arial"/>
        </w:rPr>
        <w:t>: estimation, Box-Jenkins, criteria for choosing between models, diagnostic tests for residuals of a time series after estimation.</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Forecasting</w:t>
      </w:r>
      <w:r w:rsidRPr="004D5A6A">
        <w:rPr>
          <w:rFonts w:ascii="Arial" w:hAnsi="Arial" w:cs="Arial"/>
        </w:rPr>
        <w:t>: Holt-Winters, Box-Jenkins, prediction bounds.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Testing for Trends and Unit Roots</w:t>
      </w:r>
      <w:r w:rsidRPr="004D5A6A">
        <w:rPr>
          <w:rFonts w:ascii="Arial" w:hAnsi="Arial" w:cs="Arial"/>
        </w:rPr>
        <w:t>: Dickey-Fuller, ADF, structural change, trend-stationarity vs difference stationarity.</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Seasonality and Volatility</w:t>
      </w:r>
      <w:r w:rsidRPr="004D5A6A">
        <w:rPr>
          <w:rFonts w:ascii="Arial" w:hAnsi="Arial" w:cs="Arial"/>
        </w:rPr>
        <w:t>: ARCH, GARCH, ML estimation.</w:t>
      </w:r>
    </w:p>
    <w:p w:rsidR="004D5A6A" w:rsidRPr="004D5A6A" w:rsidRDefault="004D5A6A" w:rsidP="004D5A6A">
      <w:pPr>
        <w:spacing w:before="60" w:after="60" w:line="240" w:lineRule="auto"/>
        <w:ind w:left="426" w:right="-329"/>
        <w:jc w:val="both"/>
        <w:rPr>
          <w:rFonts w:ascii="Arial" w:hAnsi="Arial" w:cs="Arial"/>
        </w:rPr>
      </w:pPr>
      <w:proofErr w:type="spellStart"/>
      <w:r w:rsidRPr="004D5A6A">
        <w:rPr>
          <w:rFonts w:ascii="Arial" w:hAnsi="Arial" w:cs="Arial"/>
          <w:b/>
        </w:rPr>
        <w:t>Multiequation</w:t>
      </w:r>
      <w:proofErr w:type="spellEnd"/>
      <w:r w:rsidRPr="004D5A6A">
        <w:rPr>
          <w:rFonts w:ascii="Arial" w:hAnsi="Arial" w:cs="Arial"/>
          <w:b/>
        </w:rPr>
        <w:t xml:space="preserve"> Time Series Models</w:t>
      </w:r>
      <w:r w:rsidR="00450839">
        <w:rPr>
          <w:rFonts w:ascii="Arial" w:hAnsi="Arial" w:cs="Arial"/>
        </w:rPr>
        <w:t>: transfer function models, vec</w:t>
      </w:r>
      <w:r w:rsidRPr="004D5A6A">
        <w:rPr>
          <w:rFonts w:ascii="Arial" w:hAnsi="Arial" w:cs="Arial"/>
        </w:rPr>
        <w:t>tor autoregressive moving average (</w:t>
      </w:r>
      <w:r w:rsidRPr="004D5A6A">
        <w:rPr>
          <w:rFonts w:ascii="Arial" w:hAnsi="Arial" w:cs="Arial"/>
          <w:i/>
        </w:rPr>
        <w:t>VARM(</w:t>
      </w:r>
      <w:proofErr w:type="spellStart"/>
      <w:r w:rsidRPr="004D5A6A">
        <w:rPr>
          <w:rFonts w:ascii="Arial" w:hAnsi="Arial" w:cs="Arial"/>
          <w:i/>
        </w:rPr>
        <w:t>p,q</w:t>
      </w:r>
      <w:proofErr w:type="spellEnd"/>
      <w:r w:rsidRPr="004D5A6A">
        <w:rPr>
          <w:rFonts w:ascii="Arial" w:hAnsi="Arial" w:cs="Arial"/>
          <w:i/>
        </w:rPr>
        <w:t>))</w:t>
      </w:r>
      <w:r w:rsidRPr="004D5A6A">
        <w:rPr>
          <w:rFonts w:ascii="Arial" w:hAnsi="Arial" w:cs="Arial"/>
        </w:rPr>
        <w:t xml:space="preserve"> models, impulse responses.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Spectral Analysis</w:t>
      </w:r>
      <w:r w:rsidRPr="004D5A6A">
        <w:rPr>
          <w:rFonts w:ascii="Arial" w:hAnsi="Arial" w:cs="Arial"/>
        </w:rPr>
        <w:t xml:space="preserve">: spectral distribution and density functions, linear filters, estimation in the frequency domain, </w:t>
      </w:r>
      <w:proofErr w:type="spellStart"/>
      <w:r w:rsidRPr="004D5A6A">
        <w:rPr>
          <w:rFonts w:ascii="Arial" w:hAnsi="Arial" w:cs="Arial"/>
        </w:rPr>
        <w:t>periodogram</w:t>
      </w:r>
      <w:proofErr w:type="spellEnd"/>
      <w:r w:rsidRPr="004D5A6A">
        <w:rPr>
          <w:rFonts w:ascii="Arial" w:hAnsi="Arial" w:cs="Arial"/>
        </w:rPr>
        <w:t>.</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Simulation</w:t>
      </w:r>
      <w:r w:rsidRPr="004D5A6A">
        <w:rPr>
          <w:rFonts w:ascii="Arial" w:hAnsi="Arial" w:cs="Arial"/>
        </w:rPr>
        <w:t>: generation of pseudo-random numbers, random variate generation by the inverse transform, acceptance rejection. Normal random variate generation: design issues and sensitivity analysis.</w:t>
      </w:r>
    </w:p>
    <w:p w:rsidR="00743EFE" w:rsidRPr="00743EFE" w:rsidRDefault="00743EFE" w:rsidP="00743EFE">
      <w:pPr>
        <w:pStyle w:val="ListParagraph"/>
        <w:spacing w:after="120" w:line="240" w:lineRule="auto"/>
        <w:ind w:left="426" w:right="260"/>
        <w:jc w:val="both"/>
        <w:rPr>
          <w:rFonts w:ascii="Arial" w:hAnsi="Arial" w:cs="Arial"/>
          <w:iCs/>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Enders, W. (2004), Applied Econometric Time Series, New York: Wiley.</w:t>
      </w:r>
    </w:p>
    <w:p w:rsidR="004D5A6A" w:rsidRPr="004D5A6A" w:rsidRDefault="004D5A6A" w:rsidP="004D5A6A">
      <w:pPr>
        <w:spacing w:after="120" w:line="240" w:lineRule="auto"/>
        <w:ind w:left="426" w:right="260"/>
        <w:jc w:val="both"/>
        <w:rPr>
          <w:rFonts w:ascii="Arial" w:hAnsi="Arial" w:cs="Arial"/>
        </w:rPr>
      </w:pPr>
      <w:proofErr w:type="spellStart"/>
      <w:r w:rsidRPr="004D5A6A">
        <w:rPr>
          <w:rFonts w:ascii="Arial" w:hAnsi="Arial" w:cs="Arial"/>
        </w:rPr>
        <w:t>Brockwell</w:t>
      </w:r>
      <w:proofErr w:type="spellEnd"/>
      <w:r w:rsidRPr="004D5A6A">
        <w:rPr>
          <w:rFonts w:ascii="Arial" w:hAnsi="Arial" w:cs="Arial"/>
        </w:rPr>
        <w:t>, P.J., and Davis, R. A. (2002), Introduction to Time Series Analysis and Forecasting, New York: Springer-</w:t>
      </w:r>
      <w:proofErr w:type="spellStart"/>
      <w:r w:rsidRPr="004D5A6A">
        <w:rPr>
          <w:rFonts w:ascii="Arial" w:hAnsi="Arial" w:cs="Arial"/>
        </w:rPr>
        <w:t>Verlag</w:t>
      </w:r>
      <w:proofErr w:type="spellEnd"/>
      <w:r w:rsidRPr="004D5A6A">
        <w:rPr>
          <w:rFonts w:ascii="Arial" w:hAnsi="Arial" w:cs="Arial"/>
        </w:rPr>
        <w:t xml:space="preserve">. </w:t>
      </w:r>
    </w:p>
    <w:p w:rsidR="00651B12" w:rsidRDefault="004D5A6A" w:rsidP="004D5A6A">
      <w:pPr>
        <w:spacing w:after="120" w:line="240" w:lineRule="auto"/>
        <w:ind w:left="426" w:right="260"/>
        <w:jc w:val="both"/>
        <w:rPr>
          <w:rFonts w:ascii="Arial" w:hAnsi="Arial" w:cs="Arial"/>
        </w:rPr>
      </w:pPr>
      <w:r w:rsidRPr="004D5A6A">
        <w:rPr>
          <w:rFonts w:ascii="Arial" w:hAnsi="Arial" w:cs="Arial"/>
        </w:rPr>
        <w:t>Morgan, B. J. T. (1984), Elements of Simulation, London: Chapman &amp; Hall/CRC.</w:t>
      </w:r>
    </w:p>
    <w:p w:rsidR="00651B12" w:rsidRPr="005E01E6" w:rsidRDefault="00651B12" w:rsidP="00BA1EFC">
      <w:pPr>
        <w:spacing w:after="120" w:line="240" w:lineRule="auto"/>
        <w:ind w:left="426" w:right="260"/>
        <w:jc w:val="both"/>
        <w:rPr>
          <w:rFonts w:ascii="Arial" w:hAnsi="Arial" w:cs="Arial"/>
        </w:rPr>
      </w:pPr>
    </w:p>
    <w:p w:rsidR="00A82D2A" w:rsidRPr="00A82D2A" w:rsidRDefault="009A2D37" w:rsidP="00A82D2A">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rsidR="004D5A6A" w:rsidRPr="004D5A6A" w:rsidRDefault="004D5A6A" w:rsidP="004D5A6A">
      <w:pPr>
        <w:pStyle w:val="ListParagraph"/>
        <w:spacing w:before="60" w:after="60" w:line="240" w:lineRule="auto"/>
        <w:ind w:left="426" w:right="-330"/>
        <w:rPr>
          <w:rFonts w:ascii="Arial" w:hAnsi="Arial" w:cs="Arial"/>
          <w:iCs/>
        </w:rPr>
      </w:pPr>
    </w:p>
    <w:p w:rsidR="005F7933" w:rsidRPr="005F7933" w:rsidRDefault="005F7933" w:rsidP="005F7933">
      <w:pPr>
        <w:spacing w:after="120" w:line="240" w:lineRule="auto"/>
        <w:ind w:left="426" w:right="260"/>
        <w:jc w:val="both"/>
        <w:rPr>
          <w:rFonts w:ascii="Arial" w:eastAsiaTheme="minorEastAsia" w:hAnsi="Arial" w:cs="Arial"/>
        </w:rPr>
      </w:pPr>
      <w:r>
        <w:rPr>
          <w:rFonts w:ascii="Arial" w:eastAsiaTheme="minorEastAsia" w:hAnsi="Arial" w:cs="Arial"/>
        </w:rPr>
        <w:t>Total contact hours:</w:t>
      </w:r>
      <w:r>
        <w:rPr>
          <w:rFonts w:ascii="Arial" w:eastAsiaTheme="minorEastAsia" w:hAnsi="Arial" w:cs="Arial"/>
        </w:rPr>
        <w:tab/>
      </w:r>
      <w:r>
        <w:rPr>
          <w:rFonts w:ascii="Arial" w:eastAsiaTheme="minorEastAsia" w:hAnsi="Arial" w:cs="Arial"/>
        </w:rPr>
        <w:tab/>
        <w:t>46</w:t>
      </w:r>
    </w:p>
    <w:p w:rsidR="005F7933" w:rsidRPr="005F7933" w:rsidRDefault="005F7933" w:rsidP="005F7933">
      <w:pPr>
        <w:spacing w:after="120" w:line="240" w:lineRule="auto"/>
        <w:ind w:left="426" w:right="260"/>
        <w:jc w:val="both"/>
        <w:rPr>
          <w:rFonts w:ascii="Arial" w:eastAsiaTheme="minorEastAsia" w:hAnsi="Arial" w:cs="Arial"/>
          <w:iCs/>
        </w:rPr>
      </w:pPr>
      <w:r>
        <w:rPr>
          <w:rFonts w:ascii="Arial" w:eastAsiaTheme="minorEastAsia" w:hAnsi="Arial" w:cs="Arial"/>
        </w:rPr>
        <w:t>Private study hours:</w:t>
      </w:r>
      <w:r>
        <w:rPr>
          <w:rFonts w:ascii="Arial" w:eastAsiaTheme="minorEastAsia" w:hAnsi="Arial" w:cs="Arial"/>
        </w:rPr>
        <w:tab/>
      </w:r>
      <w:r>
        <w:rPr>
          <w:rFonts w:ascii="Arial" w:eastAsiaTheme="minorEastAsia" w:hAnsi="Arial" w:cs="Arial"/>
        </w:rPr>
        <w:tab/>
        <w:t>104</w:t>
      </w:r>
    </w:p>
    <w:p w:rsidR="005F7933" w:rsidRPr="005F7933" w:rsidRDefault="005F7933" w:rsidP="005F7933">
      <w:pPr>
        <w:spacing w:after="120" w:line="240" w:lineRule="auto"/>
        <w:ind w:left="426" w:right="260"/>
        <w:jc w:val="both"/>
        <w:rPr>
          <w:rFonts w:ascii="Arial" w:eastAsiaTheme="minorEastAsia" w:hAnsi="Arial" w:cs="Arial"/>
        </w:rPr>
      </w:pPr>
      <w:r w:rsidRPr="005F7933">
        <w:rPr>
          <w:rFonts w:ascii="Arial" w:eastAsiaTheme="minorEastAsia" w:hAnsi="Arial" w:cs="Arial"/>
        </w:rPr>
        <w:t xml:space="preserve">Total study hours: </w:t>
      </w:r>
      <w:r w:rsidRPr="005F7933">
        <w:rPr>
          <w:rFonts w:ascii="Arial" w:eastAsiaTheme="minorEastAsia" w:hAnsi="Arial" w:cs="Arial"/>
        </w:rPr>
        <w:tab/>
      </w:r>
      <w:r w:rsidRPr="005F7933">
        <w:rPr>
          <w:rFonts w:ascii="Arial" w:eastAsiaTheme="minorEastAsia" w:hAnsi="Arial" w:cs="Arial"/>
        </w:rPr>
        <w:tab/>
        <w:t xml:space="preserve">150 </w:t>
      </w:r>
    </w:p>
    <w:p w:rsidR="00A82D2A" w:rsidRPr="00A82D2A" w:rsidRDefault="00A82D2A" w:rsidP="00A82D2A">
      <w:pPr>
        <w:spacing w:after="120" w:line="240" w:lineRule="auto"/>
        <w:ind w:left="426" w:right="260"/>
        <w:jc w:val="both"/>
        <w:rPr>
          <w:rFonts w:ascii="Arial" w:hAnsi="Arial" w:cs="Arial"/>
          <w:i/>
          <w:iCs/>
        </w:rPr>
      </w:pPr>
    </w:p>
    <w:p w:rsidR="006464CF" w:rsidRDefault="00EF4933" w:rsidP="006464C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rsidR="0058637F" w:rsidRPr="00495807" w:rsidRDefault="0058637F" w:rsidP="00495807">
      <w:pPr>
        <w:pStyle w:val="ListParagraph"/>
        <w:numPr>
          <w:ilvl w:val="1"/>
          <w:numId w:val="20"/>
        </w:numPr>
        <w:spacing w:after="120"/>
        <w:rPr>
          <w:rFonts w:ascii="Arial" w:hAnsi="Arial" w:cs="Arial"/>
          <w:iCs/>
        </w:rPr>
      </w:pPr>
      <w:r w:rsidRPr="00495807">
        <w:rPr>
          <w:rFonts w:ascii="Arial" w:hAnsi="Arial" w:cs="Arial"/>
          <w:iCs/>
        </w:rPr>
        <w:t>Main assessment methods</w:t>
      </w:r>
    </w:p>
    <w:p w:rsidR="005F7933" w:rsidRPr="00E217CB" w:rsidRDefault="005F7933" w:rsidP="005F793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rsidR="005F7933" w:rsidRPr="00E217CB" w:rsidRDefault="005F7933" w:rsidP="005F793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rsidR="005F7933" w:rsidRPr="00E217CB" w:rsidRDefault="005F7933" w:rsidP="005F7933">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t>2 hours</w:t>
      </w:r>
      <w:r>
        <w:rPr>
          <w:rFonts w:ascii="Arial" w:hAnsi="Arial" w:cs="Arial"/>
          <w:iCs/>
        </w:rPr>
        <w:tab/>
        <w:t>80%</w:t>
      </w:r>
    </w:p>
    <w:p w:rsidR="005F7933" w:rsidRDefault="005F7933" w:rsidP="005F7933">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rsidR="00331A03" w:rsidRDefault="00331A03" w:rsidP="004D5A6A">
      <w:pPr>
        <w:pStyle w:val="ListParagraph"/>
        <w:autoSpaceDE w:val="0"/>
        <w:autoSpaceDN w:val="0"/>
        <w:adjustRightInd w:val="0"/>
        <w:snapToGrid w:val="0"/>
        <w:spacing w:before="60" w:after="60" w:line="240" w:lineRule="auto"/>
        <w:ind w:left="426"/>
        <w:rPr>
          <w:rFonts w:ascii="Arial" w:hAnsi="Arial" w:cs="Arial"/>
          <w:bCs/>
          <w:color w:val="000000"/>
        </w:rPr>
      </w:pPr>
    </w:p>
    <w:p w:rsidR="00E27EB1" w:rsidRPr="0058637F" w:rsidRDefault="00E27EB1" w:rsidP="00E27EB1">
      <w:pPr>
        <w:spacing w:before="60" w:after="60" w:line="240" w:lineRule="auto"/>
        <w:ind w:right="-330"/>
        <w:rPr>
          <w:rFonts w:ascii="Arial" w:hAnsi="Arial" w:cs="Arial"/>
          <w:iCs/>
        </w:rPr>
      </w:pPr>
      <w:r w:rsidRPr="0058637F">
        <w:rPr>
          <w:rFonts w:ascii="Arial" w:hAnsi="Arial" w:cs="Arial"/>
          <w:iCs/>
        </w:rPr>
        <w:lastRenderedPageBreak/>
        <w:t xml:space="preserve">13.2 </w:t>
      </w:r>
      <w:r w:rsidR="00756DF2">
        <w:rPr>
          <w:rFonts w:ascii="Arial" w:hAnsi="Arial" w:cs="Arial"/>
          <w:iCs/>
        </w:rPr>
        <w:t xml:space="preserve">    </w:t>
      </w:r>
      <w:r w:rsidRPr="0058637F">
        <w:rPr>
          <w:rFonts w:ascii="Arial" w:hAnsi="Arial" w:cs="Arial"/>
          <w:iCs/>
        </w:rPr>
        <w:t>Reassessment Methods</w:t>
      </w:r>
    </w:p>
    <w:p w:rsidR="00D66DFE" w:rsidRPr="004C0D11" w:rsidRDefault="008560EE" w:rsidP="00D66DFE">
      <w:pPr>
        <w:spacing w:before="60" w:after="60" w:line="240" w:lineRule="auto"/>
        <w:ind w:left="486" w:right="-330"/>
        <w:rPr>
          <w:rFonts w:ascii="Arial" w:hAnsi="Arial" w:cs="Arial"/>
          <w:iCs/>
        </w:rPr>
      </w:pPr>
      <w:r>
        <w:rPr>
          <w:rFonts w:ascii="Arial" w:hAnsi="Arial" w:cs="Arial"/>
          <w:iCs/>
        </w:rPr>
        <w:t>Like-for-like</w:t>
      </w:r>
    </w:p>
    <w:p w:rsidR="00E27EB1" w:rsidRPr="00495807" w:rsidRDefault="00E27EB1" w:rsidP="00E27EB1">
      <w:pPr>
        <w:spacing w:before="60" w:after="60" w:line="240" w:lineRule="auto"/>
        <w:ind w:right="-330" w:firstLine="426"/>
        <w:rPr>
          <w:rFonts w:ascii="Arial" w:hAnsi="Arial" w:cs="Arial"/>
          <w:iCs/>
        </w:rPr>
      </w:pPr>
    </w:p>
    <w:p w:rsidR="00274ED7" w:rsidRPr="00495807" w:rsidRDefault="006F3F8B" w:rsidP="00495807">
      <w:pPr>
        <w:pStyle w:val="ListParagraph"/>
        <w:numPr>
          <w:ilvl w:val="0"/>
          <w:numId w:val="1"/>
        </w:numPr>
        <w:autoSpaceDE w:val="0"/>
        <w:autoSpaceDN w:val="0"/>
        <w:adjustRightInd w:val="0"/>
        <w:snapToGrid w:val="0"/>
        <w:spacing w:before="60" w:after="60" w:line="240" w:lineRule="auto"/>
        <w:rPr>
          <w:rFonts w:ascii="Arial" w:hAnsi="Arial" w:cs="Arial"/>
          <w:bCs/>
          <w:color w:val="000000"/>
        </w:rPr>
      </w:pPr>
      <w:r w:rsidRPr="00495807">
        <w:rPr>
          <w:rFonts w:ascii="Arial" w:hAnsi="Arial" w:cs="Arial"/>
          <w:b/>
          <w:i/>
          <w:iCs/>
        </w:rPr>
        <w:t>Map of Module Learning Outcomes</w:t>
      </w:r>
      <w:r w:rsidR="00B30E07" w:rsidRPr="00495807">
        <w:rPr>
          <w:rFonts w:ascii="Arial" w:hAnsi="Arial" w:cs="Arial"/>
          <w:b/>
          <w:i/>
          <w:iCs/>
        </w:rPr>
        <w:t xml:space="preserve"> (sections 8 &amp; 9)</w:t>
      </w:r>
      <w:r w:rsidRPr="00495807">
        <w:rPr>
          <w:rFonts w:ascii="Arial" w:hAnsi="Arial" w:cs="Arial"/>
          <w:b/>
          <w:i/>
          <w:iCs/>
        </w:rPr>
        <w:t xml:space="preserve"> to Learning</w:t>
      </w:r>
      <w:r w:rsidR="00B30E07" w:rsidRPr="00495807">
        <w:rPr>
          <w:rFonts w:ascii="Arial" w:hAnsi="Arial" w:cs="Arial"/>
          <w:b/>
          <w:i/>
          <w:iCs/>
        </w:rPr>
        <w:t xml:space="preserve"> and Teaching Methods (section12</w:t>
      </w:r>
      <w:r w:rsidRPr="00495807">
        <w:rPr>
          <w:rFonts w:ascii="Arial" w:hAnsi="Arial" w:cs="Arial"/>
          <w:b/>
          <w:i/>
          <w:iCs/>
        </w:rPr>
        <w:t>) and m</w:t>
      </w:r>
      <w:r w:rsidR="00B30E07" w:rsidRPr="00495807">
        <w:rPr>
          <w:rFonts w:ascii="Arial" w:hAnsi="Arial" w:cs="Arial"/>
          <w:b/>
          <w:i/>
          <w:iCs/>
        </w:rPr>
        <w:t>ethods of Assessment (section 13</w:t>
      </w:r>
      <w:r w:rsidR="00EF4933" w:rsidRPr="00495807">
        <w:rPr>
          <w:rFonts w:ascii="Arial" w:hAnsi="Arial" w:cs="Arial"/>
          <w:b/>
          <w:i/>
          <w:iCs/>
        </w:rPr>
        <w:t>)</w:t>
      </w:r>
    </w:p>
    <w:p w:rsidR="00727780" w:rsidRPr="00495807" w:rsidRDefault="00727780" w:rsidP="00BA1EFC">
      <w:pPr>
        <w:spacing w:after="120" w:line="240" w:lineRule="auto"/>
        <w:ind w:right="260"/>
        <w:jc w:val="both"/>
        <w:rPr>
          <w:rFonts w:ascii="Arial" w:hAnsi="Arial" w:cs="Arial"/>
          <w:b/>
          <w:i/>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4C0D11" w:rsidRPr="00A82D2A" w:rsidTr="004C0D11">
        <w:trPr>
          <w:jc w:val="center"/>
        </w:trPr>
        <w:tc>
          <w:tcPr>
            <w:tcW w:w="2043" w:type="dxa"/>
            <w:shd w:val="clear" w:color="auto" w:fill="D9D9D9"/>
          </w:tcPr>
          <w:p w:rsidR="004C0D11" w:rsidRPr="00A82D2A" w:rsidRDefault="004C0D11" w:rsidP="00BA1EFC">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8.1</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8.2</w:t>
            </w:r>
          </w:p>
        </w:tc>
        <w:tc>
          <w:tcPr>
            <w:tcW w:w="567" w:type="dxa"/>
            <w:tcBorders>
              <w:left w:val="single" w:sz="4" w:space="0" w:color="auto"/>
              <w:right w:val="double" w:sz="4" w:space="0" w:color="auto"/>
            </w:tcBorders>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8.3</w:t>
            </w:r>
          </w:p>
        </w:tc>
        <w:tc>
          <w:tcPr>
            <w:tcW w:w="567" w:type="dxa"/>
            <w:tcBorders>
              <w:left w:val="double" w:sz="4" w:space="0" w:color="auto"/>
            </w:tcBorders>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9.1</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9.2</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9.3</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9.4</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9.5</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9.6</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9.7</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9.8</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9.9</w:t>
            </w:r>
          </w:p>
        </w:tc>
      </w:tr>
      <w:tr w:rsidR="004C0D11" w:rsidRPr="00A82D2A" w:rsidTr="004C0D11">
        <w:trPr>
          <w:jc w:val="center"/>
        </w:trPr>
        <w:tc>
          <w:tcPr>
            <w:tcW w:w="2043" w:type="dxa"/>
            <w:shd w:val="clear" w:color="auto" w:fill="D9D9D9"/>
          </w:tcPr>
          <w:p w:rsidR="004C0D11" w:rsidRPr="00A82D2A" w:rsidRDefault="004C0D11" w:rsidP="00BA1EFC">
            <w:pPr>
              <w:spacing w:after="120" w:line="240" w:lineRule="auto"/>
              <w:jc w:val="both"/>
              <w:rPr>
                <w:rFonts w:ascii="Arial" w:hAnsi="Arial" w:cs="Arial"/>
                <w:b/>
              </w:rPr>
            </w:pPr>
            <w:r w:rsidRPr="00A82D2A">
              <w:rPr>
                <w:rFonts w:ascii="Arial" w:hAnsi="Arial" w:cs="Arial"/>
                <w:b/>
              </w:rPr>
              <w:t>Learning/ teaching method</w:t>
            </w: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left w:val="single" w:sz="4" w:space="0" w:color="auto"/>
              <w:bottom w:val="single" w:sz="4" w:space="0" w:color="auto"/>
              <w:right w:val="doub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left w:val="double" w:sz="4" w:space="0" w:color="auto"/>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D9D9D9"/>
          </w:tcPr>
          <w:p w:rsidR="004C0D11" w:rsidRPr="00A82D2A" w:rsidRDefault="004C0D11" w:rsidP="00CB4CC3">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bl>
    <w:p w:rsidR="00B27B6C" w:rsidRDefault="00B27B6C" w:rsidP="00BA1EFC">
      <w:pPr>
        <w:spacing w:after="120" w:line="240" w:lineRule="auto"/>
        <w:ind w:right="260"/>
        <w:jc w:val="both"/>
        <w:rPr>
          <w:rFonts w:ascii="Arial" w:hAnsi="Arial" w:cs="Arial"/>
          <w:b/>
          <w:iCs/>
        </w:rPr>
      </w:pPr>
    </w:p>
    <w:p w:rsidR="0087410F" w:rsidRPr="00495807" w:rsidRDefault="0087410F" w:rsidP="005F7933">
      <w:pPr>
        <w:numPr>
          <w:ilvl w:val="0"/>
          <w:numId w:val="1"/>
        </w:numPr>
        <w:spacing w:after="120" w:line="240" w:lineRule="auto"/>
        <w:ind w:right="260"/>
        <w:jc w:val="both"/>
        <w:rPr>
          <w:rFonts w:ascii="Arial" w:hAnsi="Arial" w:cs="Arial"/>
          <w:b/>
          <w:iCs/>
        </w:rPr>
      </w:pPr>
      <w:r w:rsidRPr="00495807">
        <w:rPr>
          <w:rFonts w:ascii="Arial" w:hAnsi="Arial" w:cs="Arial"/>
          <w:b/>
          <w:bCs/>
        </w:rPr>
        <w:t xml:space="preserve">Inclusive module design </w:t>
      </w:r>
    </w:p>
    <w:p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rsidR="0087410F" w:rsidRPr="00592D9E" w:rsidRDefault="0087410F" w:rsidP="0087410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rsidR="0087410F" w:rsidRDefault="0087410F" w:rsidP="0087410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rsidR="0087410F" w:rsidRPr="00592D9E" w:rsidRDefault="0087410F" w:rsidP="0087410F">
      <w:pPr>
        <w:tabs>
          <w:tab w:val="left" w:pos="567"/>
        </w:tabs>
        <w:autoSpaceDE w:val="0"/>
        <w:autoSpaceDN w:val="0"/>
        <w:adjustRightInd w:val="0"/>
        <w:spacing w:after="120" w:line="240" w:lineRule="auto"/>
        <w:ind w:left="426" w:right="260"/>
        <w:jc w:val="both"/>
        <w:rPr>
          <w:rFonts w:ascii="Arial" w:hAnsi="Arial" w:cs="Arial"/>
          <w:color w:val="000000"/>
        </w:rPr>
      </w:pPr>
    </w:p>
    <w:p w:rsidR="0087410F" w:rsidRPr="00853FDC" w:rsidRDefault="0087410F" w:rsidP="005F7933">
      <w:pPr>
        <w:numPr>
          <w:ilvl w:val="0"/>
          <w:numId w:val="1"/>
        </w:numPr>
        <w:spacing w:after="120" w:line="240" w:lineRule="auto"/>
        <w:ind w:right="260"/>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rsidR="0087410F" w:rsidRPr="00592D9E" w:rsidRDefault="0087410F" w:rsidP="0087410F">
      <w:pPr>
        <w:spacing w:after="120" w:line="240" w:lineRule="auto"/>
        <w:ind w:left="426" w:right="260"/>
        <w:jc w:val="both"/>
        <w:rPr>
          <w:rFonts w:ascii="Arial" w:hAnsi="Arial" w:cs="Arial"/>
          <w:b/>
        </w:rPr>
      </w:pPr>
    </w:p>
    <w:p w:rsidR="0087410F" w:rsidRPr="00592D9E" w:rsidRDefault="0087410F" w:rsidP="005F7933">
      <w:pPr>
        <w:numPr>
          <w:ilvl w:val="0"/>
          <w:numId w:val="1"/>
        </w:numPr>
        <w:spacing w:after="120" w:line="240" w:lineRule="auto"/>
        <w:ind w:right="261"/>
        <w:jc w:val="both"/>
        <w:rPr>
          <w:rFonts w:ascii="Arial" w:hAnsi="Arial" w:cs="Arial"/>
          <w:b/>
        </w:rPr>
      </w:pPr>
      <w:r w:rsidRPr="00592D9E">
        <w:rPr>
          <w:rFonts w:ascii="Arial" w:hAnsi="Arial" w:cs="Arial"/>
          <w:b/>
        </w:rPr>
        <w:t xml:space="preserve">Internationalisation </w:t>
      </w:r>
    </w:p>
    <w:p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This module is based on mathematical principles. Mathematics is an international language with techniques developed and refined by mathematicians across the globe. Mastery of the subject-specific learning outcomes, 8.1 to 8.</w:t>
      </w:r>
      <w:r w:rsidR="00A450F7">
        <w:rPr>
          <w:rFonts w:ascii="Arial" w:hAnsi="Arial" w:cs="Arial"/>
        </w:rPr>
        <w:t>3</w:t>
      </w:r>
      <w:r w:rsidRPr="0087410F">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Examples with an international dimension are included in the module where appropriate</w:t>
      </w:r>
      <w:r w:rsidR="0082015D">
        <w:rPr>
          <w:rFonts w:ascii="Arial" w:hAnsi="Arial" w:cs="Arial"/>
        </w:rPr>
        <w:t>.</w:t>
      </w:r>
    </w:p>
    <w:p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lastRenderedPageBreak/>
        <w:t>The support SMSAS provides to its students is also internationally attuned given our international student body.</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rsidTr="00404100">
        <w:trPr>
          <w:trHeight w:val="317"/>
        </w:trPr>
        <w:tc>
          <w:tcPr>
            <w:tcW w:w="1526"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rsidTr="00404100">
        <w:trPr>
          <w:trHeight w:val="305"/>
        </w:trPr>
        <w:tc>
          <w:tcPr>
            <w:tcW w:w="1526" w:type="dxa"/>
            <w:shd w:val="clear" w:color="auto" w:fill="auto"/>
          </w:tcPr>
          <w:p w:rsidR="00422B69" w:rsidRPr="00404100" w:rsidRDefault="00422B69" w:rsidP="00404100">
            <w:pPr>
              <w:spacing w:after="96" w:line="240" w:lineRule="auto"/>
              <w:ind w:right="-264"/>
              <w:rPr>
                <w:rFonts w:ascii="Arial" w:hAnsi="Arial" w:cs="Arial"/>
              </w:rPr>
            </w:pPr>
          </w:p>
        </w:tc>
        <w:tc>
          <w:tcPr>
            <w:tcW w:w="1559" w:type="dxa"/>
            <w:shd w:val="clear" w:color="auto" w:fill="auto"/>
          </w:tcPr>
          <w:p w:rsidR="00422B69" w:rsidRPr="00404100" w:rsidRDefault="00422B69" w:rsidP="00404100">
            <w:pPr>
              <w:spacing w:after="96" w:line="240" w:lineRule="auto"/>
              <w:ind w:right="-264"/>
              <w:rPr>
                <w:rFonts w:ascii="Arial" w:hAnsi="Arial" w:cs="Arial"/>
              </w:rPr>
            </w:pPr>
          </w:p>
        </w:tc>
        <w:tc>
          <w:tcPr>
            <w:tcW w:w="2342" w:type="dxa"/>
            <w:shd w:val="clear" w:color="auto" w:fill="auto"/>
          </w:tcPr>
          <w:p w:rsidR="00422B69" w:rsidRPr="00404100" w:rsidRDefault="00422B69" w:rsidP="00404100">
            <w:pPr>
              <w:spacing w:after="96" w:line="240" w:lineRule="auto"/>
              <w:ind w:right="-264"/>
              <w:rPr>
                <w:rFonts w:ascii="Arial" w:hAnsi="Arial" w:cs="Arial"/>
              </w:rPr>
            </w:pPr>
          </w:p>
        </w:tc>
        <w:tc>
          <w:tcPr>
            <w:tcW w:w="2658" w:type="dxa"/>
            <w:shd w:val="clear" w:color="auto" w:fill="auto"/>
          </w:tcPr>
          <w:p w:rsidR="00422B69" w:rsidRPr="00404100" w:rsidRDefault="00422B69" w:rsidP="00404100">
            <w:pPr>
              <w:spacing w:after="96" w:line="240" w:lineRule="auto"/>
              <w:ind w:right="-264"/>
              <w:rPr>
                <w:rFonts w:ascii="Arial" w:hAnsi="Arial" w:cs="Arial"/>
              </w:rPr>
            </w:pPr>
          </w:p>
        </w:tc>
        <w:tc>
          <w:tcPr>
            <w:tcW w:w="2597" w:type="dxa"/>
            <w:shd w:val="clear" w:color="auto" w:fill="auto"/>
          </w:tcPr>
          <w:p w:rsidR="00422B69" w:rsidRPr="00404100" w:rsidRDefault="00422B69" w:rsidP="00404100">
            <w:pPr>
              <w:spacing w:after="96" w:line="240" w:lineRule="auto"/>
              <w:ind w:right="-264"/>
              <w:rPr>
                <w:rFonts w:ascii="Arial" w:hAnsi="Arial" w:cs="Arial"/>
              </w:rPr>
            </w:pPr>
          </w:p>
        </w:tc>
      </w:tr>
      <w:tr w:rsidR="00302082" w:rsidRPr="00404100" w:rsidTr="00404100">
        <w:trPr>
          <w:trHeight w:val="305"/>
        </w:trPr>
        <w:tc>
          <w:tcPr>
            <w:tcW w:w="1526" w:type="dxa"/>
            <w:shd w:val="clear" w:color="auto" w:fill="auto"/>
          </w:tcPr>
          <w:p w:rsidR="00422B69" w:rsidRPr="00404100" w:rsidRDefault="00422B69" w:rsidP="00404100">
            <w:pPr>
              <w:spacing w:after="96" w:line="240" w:lineRule="auto"/>
              <w:ind w:right="-264"/>
              <w:rPr>
                <w:rFonts w:ascii="Arial" w:hAnsi="Arial" w:cs="Arial"/>
              </w:rPr>
            </w:pPr>
          </w:p>
        </w:tc>
        <w:tc>
          <w:tcPr>
            <w:tcW w:w="1559" w:type="dxa"/>
            <w:shd w:val="clear" w:color="auto" w:fill="auto"/>
          </w:tcPr>
          <w:p w:rsidR="00422B69" w:rsidRPr="00404100" w:rsidRDefault="00422B69" w:rsidP="00404100">
            <w:pPr>
              <w:spacing w:after="96" w:line="240" w:lineRule="auto"/>
              <w:ind w:right="-264"/>
              <w:rPr>
                <w:rFonts w:ascii="Arial" w:hAnsi="Arial" w:cs="Arial"/>
              </w:rPr>
            </w:pPr>
          </w:p>
        </w:tc>
        <w:tc>
          <w:tcPr>
            <w:tcW w:w="2342" w:type="dxa"/>
            <w:shd w:val="clear" w:color="auto" w:fill="auto"/>
          </w:tcPr>
          <w:p w:rsidR="00422B69" w:rsidRPr="00404100" w:rsidRDefault="00422B69" w:rsidP="00404100">
            <w:pPr>
              <w:spacing w:after="96" w:line="240" w:lineRule="auto"/>
              <w:ind w:right="-264"/>
              <w:rPr>
                <w:rFonts w:ascii="Arial" w:hAnsi="Arial" w:cs="Arial"/>
              </w:rPr>
            </w:pPr>
          </w:p>
        </w:tc>
        <w:tc>
          <w:tcPr>
            <w:tcW w:w="2658" w:type="dxa"/>
            <w:shd w:val="clear" w:color="auto" w:fill="auto"/>
          </w:tcPr>
          <w:p w:rsidR="00422B69" w:rsidRPr="00404100" w:rsidRDefault="00422B69" w:rsidP="00404100">
            <w:pPr>
              <w:spacing w:after="96" w:line="240" w:lineRule="auto"/>
              <w:ind w:right="-264"/>
              <w:rPr>
                <w:rFonts w:ascii="Arial" w:hAnsi="Arial" w:cs="Arial"/>
              </w:rPr>
            </w:pPr>
          </w:p>
        </w:tc>
        <w:tc>
          <w:tcPr>
            <w:tcW w:w="2597" w:type="dxa"/>
            <w:shd w:val="clear" w:color="auto" w:fill="auto"/>
          </w:tcPr>
          <w:p w:rsidR="00422B69" w:rsidRPr="00404100" w:rsidRDefault="00422B69" w:rsidP="00404100">
            <w:pPr>
              <w:spacing w:after="96" w:line="240" w:lineRule="auto"/>
              <w:ind w:right="-264"/>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00" w:rsidRDefault="002F2400" w:rsidP="009A2D37">
      <w:pPr>
        <w:spacing w:after="0" w:line="240" w:lineRule="auto"/>
      </w:pPr>
      <w:r>
        <w:separator/>
      </w:r>
    </w:p>
  </w:endnote>
  <w:endnote w:type="continuationSeparator" w:id="0">
    <w:p w:rsidR="002F2400" w:rsidRDefault="002F2400" w:rsidP="009A2D37">
      <w:pPr>
        <w:spacing w:after="0" w:line="240" w:lineRule="auto"/>
      </w:pPr>
      <w:r>
        <w:continuationSeparator/>
      </w:r>
    </w:p>
  </w:endnote>
  <w:endnote w:type="continuationNotice" w:id="1">
    <w:p w:rsidR="002F2400" w:rsidRDefault="002F2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C" w:rsidRDefault="00BA1EFC" w:rsidP="009A2D37">
    <w:pPr>
      <w:pStyle w:val="Footer"/>
      <w:jc w:val="center"/>
    </w:pPr>
    <w:r>
      <w:fldChar w:fldCharType="begin"/>
    </w:r>
    <w:r>
      <w:instrText xml:space="preserve"> PAGE   \* MERGEFORMAT </w:instrText>
    </w:r>
    <w:r>
      <w:fldChar w:fldCharType="separate"/>
    </w:r>
    <w:r w:rsidR="003900FC">
      <w:rPr>
        <w:noProof/>
      </w:rPr>
      <w:t>4</w:t>
    </w:r>
    <w:r>
      <w:rPr>
        <w:noProof/>
      </w:rPr>
      <w:fldChar w:fldCharType="end"/>
    </w:r>
  </w:p>
  <w:p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00" w:rsidRDefault="002F2400" w:rsidP="009A2D37">
      <w:pPr>
        <w:spacing w:after="0" w:line="240" w:lineRule="auto"/>
      </w:pPr>
      <w:r>
        <w:separator/>
      </w:r>
    </w:p>
  </w:footnote>
  <w:footnote w:type="continuationSeparator" w:id="0">
    <w:p w:rsidR="002F2400" w:rsidRDefault="002F2400" w:rsidP="009A2D37">
      <w:pPr>
        <w:spacing w:after="0" w:line="240" w:lineRule="auto"/>
      </w:pPr>
      <w:r>
        <w:continuationSeparator/>
      </w:r>
    </w:p>
  </w:footnote>
  <w:footnote w:type="continuationNotice" w:id="1">
    <w:p w:rsidR="002F2400" w:rsidRDefault="002F2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660E1393" wp14:editId="4511DF5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BA1EFC" w:rsidRPr="008C00F8" w:rsidRDefault="00BA1EFC" w:rsidP="005E6D38">
    <w:pPr>
      <w:pStyle w:val="Heading1"/>
      <w:spacing w:before="60" w:after="60"/>
      <w:rPr>
        <w:rFonts w:ascii="Arial" w:hAnsi="Arial" w:cs="Arial"/>
      </w:rPr>
    </w:pPr>
  </w:p>
  <w:p w:rsidR="00BA1EFC" w:rsidRDefault="00BA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59B11C5D" wp14:editId="7A99F1E0">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46">
      <w:rPr>
        <w:rFonts w:ascii="Arial" w:hAnsi="Arial" w:cs="Arial"/>
        <w:b/>
        <w:sz w:val="28"/>
        <w:szCs w:val="28"/>
      </w:rPr>
      <w:t>MODULE SPECIFICATION</w:t>
    </w:r>
  </w:p>
  <w:p w:rsidR="00BA1EFC" w:rsidRPr="000F7FBF" w:rsidRDefault="00BA1E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52"/>
    <w:multiLevelType w:val="hybridMultilevel"/>
    <w:tmpl w:val="F206819C"/>
    <w:lvl w:ilvl="0" w:tplc="4B2C43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12EEB"/>
    <w:multiLevelType w:val="hybridMultilevel"/>
    <w:tmpl w:val="70F25FFC"/>
    <w:lvl w:ilvl="0" w:tplc="5CDE49F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6258E"/>
    <w:multiLevelType w:val="hybridMultilevel"/>
    <w:tmpl w:val="7EA625E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606C9B8A"/>
    <w:lvl w:ilvl="0">
      <w:start w:val="1"/>
      <w:numFmt w:val="decimal"/>
      <w:lvlText w:val="%1."/>
      <w:lvlJc w:val="left"/>
      <w:pPr>
        <w:ind w:left="360" w:hanging="360"/>
      </w:pPr>
      <w:rPr>
        <w:rFonts w:hint="default"/>
        <w:b w:val="0"/>
        <w:i w:val="0"/>
      </w:rPr>
    </w:lvl>
    <w:lvl w:ilvl="1">
      <w:start w:val="1"/>
      <w:numFmt w:val="decimal"/>
      <w:lvlText w:val="8.%2"/>
      <w:lvlJc w:val="left"/>
      <w:pPr>
        <w:ind w:left="92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2CCE1587"/>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3" w15:restartNumberingAfterBreak="0">
    <w:nsid w:val="526A6313"/>
    <w:multiLevelType w:val="hybridMultilevel"/>
    <w:tmpl w:val="4B98707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7814FDB6"/>
    <w:lvl w:ilvl="0" w:tplc="EC02C4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A27FF8"/>
    <w:multiLevelType w:val="multilevel"/>
    <w:tmpl w:val="F7E831FC"/>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6"/>
  </w:num>
  <w:num w:numId="6">
    <w:abstractNumId w:val="14"/>
  </w:num>
  <w:num w:numId="7">
    <w:abstractNumId w:val="19"/>
  </w:num>
  <w:num w:numId="8">
    <w:abstractNumId w:val="15"/>
  </w:num>
  <w:num w:numId="9">
    <w:abstractNumId w:val="17"/>
  </w:num>
  <w:num w:numId="10">
    <w:abstractNumId w:val="4"/>
  </w:num>
  <w:num w:numId="11">
    <w:abstractNumId w:val="11"/>
  </w:num>
  <w:num w:numId="12">
    <w:abstractNumId w:val="12"/>
  </w:num>
  <w:num w:numId="13">
    <w:abstractNumId w:val="1"/>
  </w:num>
  <w:num w:numId="14">
    <w:abstractNumId w:val="13"/>
  </w:num>
  <w:num w:numId="15">
    <w:abstractNumId w:val="2"/>
  </w:num>
  <w:num w:numId="16">
    <w:abstractNumId w:val="8"/>
  </w:num>
  <w:num w:numId="17">
    <w:abstractNumId w:val="18"/>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63A2F"/>
    <w:rsid w:val="000678D3"/>
    <w:rsid w:val="0007557C"/>
    <w:rsid w:val="00085D90"/>
    <w:rsid w:val="00094810"/>
    <w:rsid w:val="000B2291"/>
    <w:rsid w:val="000C0294"/>
    <w:rsid w:val="000C7A1C"/>
    <w:rsid w:val="000C7BA1"/>
    <w:rsid w:val="000D2A8A"/>
    <w:rsid w:val="000D32AC"/>
    <w:rsid w:val="000E20C1"/>
    <w:rsid w:val="000E3B73"/>
    <w:rsid w:val="000F6C56"/>
    <w:rsid w:val="000F7FBF"/>
    <w:rsid w:val="00106BE5"/>
    <w:rsid w:val="00110947"/>
    <w:rsid w:val="00110E14"/>
    <w:rsid w:val="00111906"/>
    <w:rsid w:val="00111CB3"/>
    <w:rsid w:val="00117577"/>
    <w:rsid w:val="00117793"/>
    <w:rsid w:val="001206E4"/>
    <w:rsid w:val="001214D3"/>
    <w:rsid w:val="00121BFC"/>
    <w:rsid w:val="00134230"/>
    <w:rsid w:val="001402AD"/>
    <w:rsid w:val="001540CE"/>
    <w:rsid w:val="0015717B"/>
    <w:rsid w:val="00157ACA"/>
    <w:rsid w:val="00160427"/>
    <w:rsid w:val="00162D46"/>
    <w:rsid w:val="00172793"/>
    <w:rsid w:val="00180558"/>
    <w:rsid w:val="001811E5"/>
    <w:rsid w:val="00183B34"/>
    <w:rsid w:val="00185F46"/>
    <w:rsid w:val="00191694"/>
    <w:rsid w:val="001954DF"/>
    <w:rsid w:val="00196C6A"/>
    <w:rsid w:val="0019787E"/>
    <w:rsid w:val="001A425B"/>
    <w:rsid w:val="001B1B28"/>
    <w:rsid w:val="001B27FB"/>
    <w:rsid w:val="001C4A85"/>
    <w:rsid w:val="001C4C7C"/>
    <w:rsid w:val="001C5443"/>
    <w:rsid w:val="001C796B"/>
    <w:rsid w:val="001D0C7D"/>
    <w:rsid w:val="001D1F2D"/>
    <w:rsid w:val="001D2314"/>
    <w:rsid w:val="001D6398"/>
    <w:rsid w:val="001E1F45"/>
    <w:rsid w:val="001E62C1"/>
    <w:rsid w:val="001F0779"/>
    <w:rsid w:val="001F3C3E"/>
    <w:rsid w:val="0020243A"/>
    <w:rsid w:val="0021578E"/>
    <w:rsid w:val="00223A5C"/>
    <w:rsid w:val="00227582"/>
    <w:rsid w:val="002308BE"/>
    <w:rsid w:val="002407C0"/>
    <w:rsid w:val="002461AF"/>
    <w:rsid w:val="002465A1"/>
    <w:rsid w:val="00255978"/>
    <w:rsid w:val="00262038"/>
    <w:rsid w:val="00264576"/>
    <w:rsid w:val="002653FE"/>
    <w:rsid w:val="0026585A"/>
    <w:rsid w:val="00266735"/>
    <w:rsid w:val="00273CF0"/>
    <w:rsid w:val="002744F9"/>
    <w:rsid w:val="002748D4"/>
    <w:rsid w:val="00274ED7"/>
    <w:rsid w:val="0028461D"/>
    <w:rsid w:val="0028590C"/>
    <w:rsid w:val="00292C46"/>
    <w:rsid w:val="002938D6"/>
    <w:rsid w:val="00294B73"/>
    <w:rsid w:val="00295DD8"/>
    <w:rsid w:val="00295EC2"/>
    <w:rsid w:val="002A04BF"/>
    <w:rsid w:val="002A0C18"/>
    <w:rsid w:val="002A219B"/>
    <w:rsid w:val="002A22DB"/>
    <w:rsid w:val="002A300E"/>
    <w:rsid w:val="002B20F5"/>
    <w:rsid w:val="002B2A1A"/>
    <w:rsid w:val="002B71F2"/>
    <w:rsid w:val="002E71C0"/>
    <w:rsid w:val="002F05F4"/>
    <w:rsid w:val="002F0CE4"/>
    <w:rsid w:val="002F23EF"/>
    <w:rsid w:val="002F2400"/>
    <w:rsid w:val="002F24F4"/>
    <w:rsid w:val="002F2626"/>
    <w:rsid w:val="00302082"/>
    <w:rsid w:val="00302D47"/>
    <w:rsid w:val="00306620"/>
    <w:rsid w:val="003262B9"/>
    <w:rsid w:val="00331A03"/>
    <w:rsid w:val="00334A02"/>
    <w:rsid w:val="00335875"/>
    <w:rsid w:val="00335FBE"/>
    <w:rsid w:val="00340573"/>
    <w:rsid w:val="00352D8E"/>
    <w:rsid w:val="00356B68"/>
    <w:rsid w:val="0035702D"/>
    <w:rsid w:val="003604D4"/>
    <w:rsid w:val="003627B0"/>
    <w:rsid w:val="00374DF6"/>
    <w:rsid w:val="003759B0"/>
    <w:rsid w:val="00375F84"/>
    <w:rsid w:val="00376E34"/>
    <w:rsid w:val="003804E7"/>
    <w:rsid w:val="00385D80"/>
    <w:rsid w:val="003900FC"/>
    <w:rsid w:val="0039065E"/>
    <w:rsid w:val="003934D2"/>
    <w:rsid w:val="003973A1"/>
    <w:rsid w:val="003A5DA0"/>
    <w:rsid w:val="003A5EEB"/>
    <w:rsid w:val="003A6143"/>
    <w:rsid w:val="003B35F4"/>
    <w:rsid w:val="003B6D2E"/>
    <w:rsid w:val="003B7C76"/>
    <w:rsid w:val="003C3E0C"/>
    <w:rsid w:val="003C776B"/>
    <w:rsid w:val="003D4A1C"/>
    <w:rsid w:val="003D7AA0"/>
    <w:rsid w:val="003E1F26"/>
    <w:rsid w:val="003E1FF7"/>
    <w:rsid w:val="003E311D"/>
    <w:rsid w:val="003E6826"/>
    <w:rsid w:val="003F4470"/>
    <w:rsid w:val="003F5A04"/>
    <w:rsid w:val="003F622D"/>
    <w:rsid w:val="003F62B3"/>
    <w:rsid w:val="003F67CD"/>
    <w:rsid w:val="00402ED7"/>
    <w:rsid w:val="00404100"/>
    <w:rsid w:val="004114F8"/>
    <w:rsid w:val="0041659C"/>
    <w:rsid w:val="00422B69"/>
    <w:rsid w:val="00423D86"/>
    <w:rsid w:val="00424C90"/>
    <w:rsid w:val="00436BE9"/>
    <w:rsid w:val="00440D1C"/>
    <w:rsid w:val="00441E76"/>
    <w:rsid w:val="004443DA"/>
    <w:rsid w:val="004474A2"/>
    <w:rsid w:val="00450839"/>
    <w:rsid w:val="00450AE5"/>
    <w:rsid w:val="00460925"/>
    <w:rsid w:val="00471C6C"/>
    <w:rsid w:val="00472023"/>
    <w:rsid w:val="00472168"/>
    <w:rsid w:val="00486993"/>
    <w:rsid w:val="00492DA4"/>
    <w:rsid w:val="00495807"/>
    <w:rsid w:val="00496AA3"/>
    <w:rsid w:val="00497C98"/>
    <w:rsid w:val="004A39D7"/>
    <w:rsid w:val="004A55FA"/>
    <w:rsid w:val="004C0D11"/>
    <w:rsid w:val="004C1EC4"/>
    <w:rsid w:val="004D035C"/>
    <w:rsid w:val="004D5A6A"/>
    <w:rsid w:val="004E2DF2"/>
    <w:rsid w:val="004E753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1F5"/>
    <w:rsid w:val="0056707F"/>
    <w:rsid w:val="00567EC9"/>
    <w:rsid w:val="00571630"/>
    <w:rsid w:val="005759F4"/>
    <w:rsid w:val="005779D1"/>
    <w:rsid w:val="0058041A"/>
    <w:rsid w:val="0058195C"/>
    <w:rsid w:val="00583DEE"/>
    <w:rsid w:val="0058637F"/>
    <w:rsid w:val="0058743D"/>
    <w:rsid w:val="00587BF7"/>
    <w:rsid w:val="0059477B"/>
    <w:rsid w:val="00596884"/>
    <w:rsid w:val="005A131A"/>
    <w:rsid w:val="005A14B5"/>
    <w:rsid w:val="005B5A98"/>
    <w:rsid w:val="005C1A4F"/>
    <w:rsid w:val="005C27D7"/>
    <w:rsid w:val="005D7712"/>
    <w:rsid w:val="005E01E6"/>
    <w:rsid w:val="005E1A3A"/>
    <w:rsid w:val="005E45DE"/>
    <w:rsid w:val="005E6ADC"/>
    <w:rsid w:val="005E6D10"/>
    <w:rsid w:val="005E6D38"/>
    <w:rsid w:val="005E7B3F"/>
    <w:rsid w:val="005F040F"/>
    <w:rsid w:val="005F2C42"/>
    <w:rsid w:val="005F76A7"/>
    <w:rsid w:val="005F7933"/>
    <w:rsid w:val="006050CF"/>
    <w:rsid w:val="00616390"/>
    <w:rsid w:val="006170B0"/>
    <w:rsid w:val="00622DAE"/>
    <w:rsid w:val="006253AA"/>
    <w:rsid w:val="00626023"/>
    <w:rsid w:val="00633150"/>
    <w:rsid w:val="00635D8A"/>
    <w:rsid w:val="00637A50"/>
    <w:rsid w:val="00641D6D"/>
    <w:rsid w:val="006438F3"/>
    <w:rsid w:val="006464CF"/>
    <w:rsid w:val="00647907"/>
    <w:rsid w:val="00651712"/>
    <w:rsid w:val="00651A82"/>
    <w:rsid w:val="00651B12"/>
    <w:rsid w:val="006525E9"/>
    <w:rsid w:val="0066747B"/>
    <w:rsid w:val="006725EC"/>
    <w:rsid w:val="00674ED0"/>
    <w:rsid w:val="00682650"/>
    <w:rsid w:val="00684851"/>
    <w:rsid w:val="0068753B"/>
    <w:rsid w:val="00695285"/>
    <w:rsid w:val="006A5682"/>
    <w:rsid w:val="006A6BB4"/>
    <w:rsid w:val="006A7FB0"/>
    <w:rsid w:val="006B1F93"/>
    <w:rsid w:val="006C2A9A"/>
    <w:rsid w:val="006C423D"/>
    <w:rsid w:val="006C46EF"/>
    <w:rsid w:val="006C4C67"/>
    <w:rsid w:val="006C4CCB"/>
    <w:rsid w:val="006C74C4"/>
    <w:rsid w:val="006D39B3"/>
    <w:rsid w:val="006D41AB"/>
    <w:rsid w:val="006D444F"/>
    <w:rsid w:val="006D7B83"/>
    <w:rsid w:val="006E299F"/>
    <w:rsid w:val="006F1A15"/>
    <w:rsid w:val="006F3F8B"/>
    <w:rsid w:val="006F6297"/>
    <w:rsid w:val="00700488"/>
    <w:rsid w:val="00703404"/>
    <w:rsid w:val="00703F92"/>
    <w:rsid w:val="00704637"/>
    <w:rsid w:val="00707521"/>
    <w:rsid w:val="007105E4"/>
    <w:rsid w:val="007139B0"/>
    <w:rsid w:val="00714EE5"/>
    <w:rsid w:val="00720270"/>
    <w:rsid w:val="00724362"/>
    <w:rsid w:val="00727780"/>
    <w:rsid w:val="0073792C"/>
    <w:rsid w:val="00740F1B"/>
    <w:rsid w:val="007423D9"/>
    <w:rsid w:val="00743EFE"/>
    <w:rsid w:val="00754069"/>
    <w:rsid w:val="00756DF2"/>
    <w:rsid w:val="00761E84"/>
    <w:rsid w:val="007667DF"/>
    <w:rsid w:val="0077080B"/>
    <w:rsid w:val="00787070"/>
    <w:rsid w:val="007906FD"/>
    <w:rsid w:val="00797197"/>
    <w:rsid w:val="007972A7"/>
    <w:rsid w:val="007A2BA2"/>
    <w:rsid w:val="007A6245"/>
    <w:rsid w:val="007A6F61"/>
    <w:rsid w:val="007A7376"/>
    <w:rsid w:val="007B1DB2"/>
    <w:rsid w:val="007B375B"/>
    <w:rsid w:val="007B412A"/>
    <w:rsid w:val="007B635E"/>
    <w:rsid w:val="007B7724"/>
    <w:rsid w:val="007B7933"/>
    <w:rsid w:val="007B7CDC"/>
    <w:rsid w:val="007C3356"/>
    <w:rsid w:val="007C74B4"/>
    <w:rsid w:val="007D1AD3"/>
    <w:rsid w:val="007E3412"/>
    <w:rsid w:val="007E6B9C"/>
    <w:rsid w:val="007F393D"/>
    <w:rsid w:val="008029AF"/>
    <w:rsid w:val="00802FFA"/>
    <w:rsid w:val="008102E5"/>
    <w:rsid w:val="008111B4"/>
    <w:rsid w:val="008133F0"/>
    <w:rsid w:val="00815880"/>
    <w:rsid w:val="0082015D"/>
    <w:rsid w:val="0082322C"/>
    <w:rsid w:val="00823942"/>
    <w:rsid w:val="00827E11"/>
    <w:rsid w:val="00827FFD"/>
    <w:rsid w:val="00854535"/>
    <w:rsid w:val="008560EE"/>
    <w:rsid w:val="00856EB3"/>
    <w:rsid w:val="00873E9F"/>
    <w:rsid w:val="00874047"/>
    <w:rsid w:val="0087410F"/>
    <w:rsid w:val="008778CB"/>
    <w:rsid w:val="00881545"/>
    <w:rsid w:val="00883A3E"/>
    <w:rsid w:val="0089148D"/>
    <w:rsid w:val="00891E0D"/>
    <w:rsid w:val="008975A9"/>
    <w:rsid w:val="008A0F36"/>
    <w:rsid w:val="008A208C"/>
    <w:rsid w:val="008B034E"/>
    <w:rsid w:val="008B2543"/>
    <w:rsid w:val="008B4B6E"/>
    <w:rsid w:val="008D6EEC"/>
    <w:rsid w:val="008D7401"/>
    <w:rsid w:val="008F5130"/>
    <w:rsid w:val="00903DF6"/>
    <w:rsid w:val="00921CF6"/>
    <w:rsid w:val="009246F0"/>
    <w:rsid w:val="00924EF0"/>
    <w:rsid w:val="00924F24"/>
    <w:rsid w:val="00934D7B"/>
    <w:rsid w:val="00935E73"/>
    <w:rsid w:val="00947180"/>
    <w:rsid w:val="0095057A"/>
    <w:rsid w:val="009567BE"/>
    <w:rsid w:val="009676FA"/>
    <w:rsid w:val="009679E0"/>
    <w:rsid w:val="00977632"/>
    <w:rsid w:val="00982A8E"/>
    <w:rsid w:val="00987DB4"/>
    <w:rsid w:val="009900D4"/>
    <w:rsid w:val="00996204"/>
    <w:rsid w:val="009A26CB"/>
    <w:rsid w:val="009A2D37"/>
    <w:rsid w:val="009A7587"/>
    <w:rsid w:val="009B0A69"/>
    <w:rsid w:val="009C2474"/>
    <w:rsid w:val="009C7082"/>
    <w:rsid w:val="009D0006"/>
    <w:rsid w:val="009D068C"/>
    <w:rsid w:val="009F3A2A"/>
    <w:rsid w:val="009F731F"/>
    <w:rsid w:val="00A021FE"/>
    <w:rsid w:val="00A11397"/>
    <w:rsid w:val="00A1270E"/>
    <w:rsid w:val="00A15342"/>
    <w:rsid w:val="00A220D1"/>
    <w:rsid w:val="00A3007E"/>
    <w:rsid w:val="00A30CD0"/>
    <w:rsid w:val="00A32048"/>
    <w:rsid w:val="00A41F06"/>
    <w:rsid w:val="00A450F7"/>
    <w:rsid w:val="00A50FD4"/>
    <w:rsid w:val="00A52DB4"/>
    <w:rsid w:val="00A618E1"/>
    <w:rsid w:val="00A629B9"/>
    <w:rsid w:val="00A70C20"/>
    <w:rsid w:val="00A72178"/>
    <w:rsid w:val="00A74292"/>
    <w:rsid w:val="00A776DE"/>
    <w:rsid w:val="00A80640"/>
    <w:rsid w:val="00A82D2A"/>
    <w:rsid w:val="00A87FFD"/>
    <w:rsid w:val="00A97038"/>
    <w:rsid w:val="00AA3C15"/>
    <w:rsid w:val="00AA5D74"/>
    <w:rsid w:val="00AA6330"/>
    <w:rsid w:val="00AB7509"/>
    <w:rsid w:val="00AC7501"/>
    <w:rsid w:val="00AD748B"/>
    <w:rsid w:val="00AE4865"/>
    <w:rsid w:val="00AE529D"/>
    <w:rsid w:val="00AF50EE"/>
    <w:rsid w:val="00AF7ABD"/>
    <w:rsid w:val="00B0591D"/>
    <w:rsid w:val="00B13402"/>
    <w:rsid w:val="00B14BC2"/>
    <w:rsid w:val="00B17024"/>
    <w:rsid w:val="00B17CD2"/>
    <w:rsid w:val="00B213D2"/>
    <w:rsid w:val="00B248BA"/>
    <w:rsid w:val="00B24B56"/>
    <w:rsid w:val="00B2615F"/>
    <w:rsid w:val="00B27B6C"/>
    <w:rsid w:val="00B30E07"/>
    <w:rsid w:val="00B345D4"/>
    <w:rsid w:val="00B34ADD"/>
    <w:rsid w:val="00B442AD"/>
    <w:rsid w:val="00B50F92"/>
    <w:rsid w:val="00B52FF5"/>
    <w:rsid w:val="00B54924"/>
    <w:rsid w:val="00B57219"/>
    <w:rsid w:val="00B658A3"/>
    <w:rsid w:val="00B746A8"/>
    <w:rsid w:val="00B7664D"/>
    <w:rsid w:val="00B80989"/>
    <w:rsid w:val="00B81E64"/>
    <w:rsid w:val="00B9109B"/>
    <w:rsid w:val="00B92346"/>
    <w:rsid w:val="00B927AE"/>
    <w:rsid w:val="00B93721"/>
    <w:rsid w:val="00B937B1"/>
    <w:rsid w:val="00BA1EFC"/>
    <w:rsid w:val="00BA453C"/>
    <w:rsid w:val="00BA4E02"/>
    <w:rsid w:val="00BB2A6D"/>
    <w:rsid w:val="00BB4189"/>
    <w:rsid w:val="00BB7CBC"/>
    <w:rsid w:val="00BC04F4"/>
    <w:rsid w:val="00BC19F7"/>
    <w:rsid w:val="00BC41ED"/>
    <w:rsid w:val="00BD009E"/>
    <w:rsid w:val="00BD0EF8"/>
    <w:rsid w:val="00BD7A8C"/>
    <w:rsid w:val="00BE2126"/>
    <w:rsid w:val="00BE3B17"/>
    <w:rsid w:val="00BF14F2"/>
    <w:rsid w:val="00BF201D"/>
    <w:rsid w:val="00BF51AB"/>
    <w:rsid w:val="00BF716B"/>
    <w:rsid w:val="00BF7233"/>
    <w:rsid w:val="00C02AA2"/>
    <w:rsid w:val="00C043F3"/>
    <w:rsid w:val="00C04C95"/>
    <w:rsid w:val="00C12613"/>
    <w:rsid w:val="00C16DEF"/>
    <w:rsid w:val="00C2492F"/>
    <w:rsid w:val="00C279D9"/>
    <w:rsid w:val="00C35F6A"/>
    <w:rsid w:val="00C3744A"/>
    <w:rsid w:val="00C4002A"/>
    <w:rsid w:val="00C43314"/>
    <w:rsid w:val="00C46912"/>
    <w:rsid w:val="00C612A8"/>
    <w:rsid w:val="00C67631"/>
    <w:rsid w:val="00C729D7"/>
    <w:rsid w:val="00C73DC3"/>
    <w:rsid w:val="00C83354"/>
    <w:rsid w:val="00C84004"/>
    <w:rsid w:val="00C843F6"/>
    <w:rsid w:val="00C84507"/>
    <w:rsid w:val="00C862C7"/>
    <w:rsid w:val="00CA3254"/>
    <w:rsid w:val="00CB11CE"/>
    <w:rsid w:val="00CB4CC3"/>
    <w:rsid w:val="00CC25A2"/>
    <w:rsid w:val="00CC53AC"/>
    <w:rsid w:val="00CD7F07"/>
    <w:rsid w:val="00CE04F3"/>
    <w:rsid w:val="00CE12D8"/>
    <w:rsid w:val="00CE4574"/>
    <w:rsid w:val="00CE70E6"/>
    <w:rsid w:val="00CF2E1E"/>
    <w:rsid w:val="00D02E99"/>
    <w:rsid w:val="00D13357"/>
    <w:rsid w:val="00D13A13"/>
    <w:rsid w:val="00D23F58"/>
    <w:rsid w:val="00D2689A"/>
    <w:rsid w:val="00D31631"/>
    <w:rsid w:val="00D52F2D"/>
    <w:rsid w:val="00D65506"/>
    <w:rsid w:val="00D66DFE"/>
    <w:rsid w:val="00D773CF"/>
    <w:rsid w:val="00D83563"/>
    <w:rsid w:val="00D8448F"/>
    <w:rsid w:val="00DA64B6"/>
    <w:rsid w:val="00DB5C9D"/>
    <w:rsid w:val="00DB5D55"/>
    <w:rsid w:val="00DC52F1"/>
    <w:rsid w:val="00DD02E6"/>
    <w:rsid w:val="00DD111F"/>
    <w:rsid w:val="00DD6579"/>
    <w:rsid w:val="00DE3BE4"/>
    <w:rsid w:val="00DF4E79"/>
    <w:rsid w:val="00DF665B"/>
    <w:rsid w:val="00E0152A"/>
    <w:rsid w:val="00E0160A"/>
    <w:rsid w:val="00E03394"/>
    <w:rsid w:val="00E066E5"/>
    <w:rsid w:val="00E22F03"/>
    <w:rsid w:val="00E233C1"/>
    <w:rsid w:val="00E27EB1"/>
    <w:rsid w:val="00E51404"/>
    <w:rsid w:val="00E52998"/>
    <w:rsid w:val="00E574C9"/>
    <w:rsid w:val="00E610DE"/>
    <w:rsid w:val="00E66167"/>
    <w:rsid w:val="00E71C68"/>
    <w:rsid w:val="00E71F2F"/>
    <w:rsid w:val="00E742EC"/>
    <w:rsid w:val="00E77786"/>
    <w:rsid w:val="00E806FB"/>
    <w:rsid w:val="00E9085F"/>
    <w:rsid w:val="00E91DB5"/>
    <w:rsid w:val="00EA3357"/>
    <w:rsid w:val="00EA6558"/>
    <w:rsid w:val="00EA65BE"/>
    <w:rsid w:val="00EB1C2D"/>
    <w:rsid w:val="00EC1810"/>
    <w:rsid w:val="00EC36EB"/>
    <w:rsid w:val="00EC3FCC"/>
    <w:rsid w:val="00ED32FF"/>
    <w:rsid w:val="00EE0A48"/>
    <w:rsid w:val="00EF039B"/>
    <w:rsid w:val="00EF4933"/>
    <w:rsid w:val="00EF5044"/>
    <w:rsid w:val="00F002D7"/>
    <w:rsid w:val="00F01956"/>
    <w:rsid w:val="00F116CE"/>
    <w:rsid w:val="00F176DE"/>
    <w:rsid w:val="00F21A3A"/>
    <w:rsid w:val="00F21C47"/>
    <w:rsid w:val="00F244E2"/>
    <w:rsid w:val="00F340DE"/>
    <w:rsid w:val="00F43542"/>
    <w:rsid w:val="00F472F9"/>
    <w:rsid w:val="00F527CB"/>
    <w:rsid w:val="00F562AA"/>
    <w:rsid w:val="00F7105A"/>
    <w:rsid w:val="00F73D03"/>
    <w:rsid w:val="00F77676"/>
    <w:rsid w:val="00F8197C"/>
    <w:rsid w:val="00F8297D"/>
    <w:rsid w:val="00F82B4E"/>
    <w:rsid w:val="00F87559"/>
    <w:rsid w:val="00F96D71"/>
    <w:rsid w:val="00F97C9E"/>
    <w:rsid w:val="00FA20DE"/>
    <w:rsid w:val="00FA4EE8"/>
    <w:rsid w:val="00FB12CA"/>
    <w:rsid w:val="00FB36EC"/>
    <w:rsid w:val="00FB4E1B"/>
    <w:rsid w:val="00FB5FEA"/>
    <w:rsid w:val="00FC0291"/>
    <w:rsid w:val="00FC1C92"/>
    <w:rsid w:val="00FD169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7FCFBF6C-9797-4A4A-9C9F-DDC03A8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5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8EEFB-DEFF-4F63-B449-5C41B7288D86}">
  <ds:schemaRefs>
    <ds:schemaRef ds:uri="http://schemas.openxmlformats.org/officeDocument/2006/bibliography"/>
  </ds:schemaRefs>
</ds:datastoreItem>
</file>

<file path=customXml/itemProps2.xml><?xml version="1.0" encoding="utf-8"?>
<ds:datastoreItem xmlns:ds="http://schemas.openxmlformats.org/officeDocument/2006/customXml" ds:itemID="{C263BB54-F701-4BE3-8AE5-9F4A96559023}"/>
</file>

<file path=customXml/itemProps3.xml><?xml version="1.0" encoding="utf-8"?>
<ds:datastoreItem xmlns:ds="http://schemas.openxmlformats.org/officeDocument/2006/customXml" ds:itemID="{2AC6AE73-0735-41C6-912B-312929B9B451}"/>
</file>

<file path=customXml/itemProps4.xml><?xml version="1.0" encoding="utf-8"?>
<ds:datastoreItem xmlns:ds="http://schemas.openxmlformats.org/officeDocument/2006/customXml" ds:itemID="{BC8B1059-7586-4D5C-9273-E86A493DB69A}"/>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6845</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2017-12-05T08:54:00Z</cp:lastPrinted>
  <dcterms:created xsi:type="dcterms:W3CDTF">2019-02-19T15:26:00Z</dcterms:created>
  <dcterms:modified xsi:type="dcterms:W3CDTF">2019-02-19T15:26:00Z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