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84B48" w14:textId="611065C9"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223CE82B" w14:textId="52F52D20" w:rsidR="009A2D37" w:rsidRPr="00373ACB" w:rsidRDefault="00EE36D1" w:rsidP="0066061A">
      <w:pPr>
        <w:spacing w:after="120" w:line="240" w:lineRule="auto"/>
        <w:ind w:left="426" w:right="260"/>
        <w:rPr>
          <w:rFonts w:ascii="Arial" w:hAnsi="Arial" w:cs="Arial"/>
          <w:sz w:val="20"/>
          <w:szCs w:val="20"/>
        </w:rPr>
      </w:pPr>
      <w:r w:rsidRPr="00EE36D1">
        <w:rPr>
          <w:rFonts w:ascii="Arial" w:hAnsi="Arial" w:cs="Arial"/>
          <w:sz w:val="20"/>
          <w:szCs w:val="20"/>
        </w:rPr>
        <w:t>Law of Armed Conflict</w:t>
      </w:r>
      <w:r w:rsidR="004244D0">
        <w:rPr>
          <w:rFonts w:ascii="Arial" w:hAnsi="Arial" w:cs="Arial"/>
          <w:sz w:val="20"/>
          <w:szCs w:val="20"/>
        </w:rPr>
        <w:t>,</w:t>
      </w:r>
      <w:r w:rsidRPr="00EE36D1">
        <w:rPr>
          <w:rFonts w:ascii="Arial" w:hAnsi="Arial" w:cs="Arial"/>
          <w:sz w:val="20"/>
          <w:szCs w:val="20"/>
        </w:rPr>
        <w:t xml:space="preserve"> LAWS8610 (LW861)</w:t>
      </w:r>
    </w:p>
    <w:p w14:paraId="15A384DA" w14:textId="77777777" w:rsidR="00C07A56" w:rsidRPr="00373ACB" w:rsidRDefault="00C07A56" w:rsidP="0066061A">
      <w:pPr>
        <w:spacing w:after="120" w:line="240" w:lineRule="auto"/>
        <w:ind w:left="426" w:right="260"/>
        <w:jc w:val="both"/>
        <w:rPr>
          <w:rFonts w:ascii="Arial" w:hAnsi="Arial" w:cs="Arial"/>
          <w:sz w:val="20"/>
          <w:szCs w:val="20"/>
        </w:rPr>
      </w:pPr>
    </w:p>
    <w:p w14:paraId="3D2C60C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6A88C9D7"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1CB4355E" w14:textId="77777777" w:rsidR="00C07A56" w:rsidRPr="00373ACB" w:rsidRDefault="00C07A56" w:rsidP="0066061A">
      <w:pPr>
        <w:spacing w:after="120" w:line="240" w:lineRule="auto"/>
        <w:ind w:left="426" w:right="260"/>
        <w:rPr>
          <w:rFonts w:ascii="Arial" w:hAnsi="Arial" w:cs="Arial"/>
          <w:iCs/>
          <w:sz w:val="20"/>
          <w:szCs w:val="20"/>
        </w:rPr>
      </w:pPr>
    </w:p>
    <w:p w14:paraId="48701F14"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10652A7E" w14:textId="1BD6C836" w:rsidR="009A2D37" w:rsidRPr="00373ACB" w:rsidRDefault="00BC1D37" w:rsidP="0066061A">
      <w:pPr>
        <w:spacing w:after="120" w:line="240" w:lineRule="auto"/>
        <w:ind w:left="426" w:right="260"/>
        <w:rPr>
          <w:rFonts w:ascii="Arial" w:hAnsi="Arial" w:cs="Arial"/>
          <w:iCs/>
          <w:sz w:val="20"/>
          <w:szCs w:val="20"/>
        </w:rPr>
      </w:pPr>
      <w:r>
        <w:rPr>
          <w:rFonts w:ascii="Arial" w:hAnsi="Arial" w:cs="Arial"/>
          <w:iCs/>
          <w:sz w:val="20"/>
          <w:szCs w:val="20"/>
        </w:rPr>
        <w:t>Level 7</w:t>
      </w:r>
    </w:p>
    <w:p w14:paraId="141BF0A7" w14:textId="77777777" w:rsidR="00C07A56" w:rsidRPr="00373ACB" w:rsidRDefault="00C07A56" w:rsidP="0066061A">
      <w:pPr>
        <w:spacing w:after="120" w:line="240" w:lineRule="auto"/>
        <w:ind w:left="426" w:right="260"/>
        <w:rPr>
          <w:rFonts w:ascii="Arial" w:hAnsi="Arial" w:cs="Arial"/>
          <w:iCs/>
          <w:sz w:val="20"/>
          <w:szCs w:val="20"/>
        </w:rPr>
      </w:pPr>
    </w:p>
    <w:p w14:paraId="0EEBF815"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0D990710" w14:textId="1544B26A" w:rsidR="00BC1D37" w:rsidRPr="00373ACB" w:rsidRDefault="00EE36D1" w:rsidP="0066061A">
      <w:pPr>
        <w:spacing w:after="120" w:line="240" w:lineRule="auto"/>
        <w:ind w:left="426" w:right="260"/>
        <w:rPr>
          <w:rFonts w:ascii="Arial" w:hAnsi="Arial" w:cs="Arial"/>
          <w:sz w:val="20"/>
          <w:szCs w:val="20"/>
        </w:rPr>
      </w:pPr>
      <w:r>
        <w:rPr>
          <w:rFonts w:ascii="Arial" w:hAnsi="Arial" w:cs="Arial"/>
          <w:sz w:val="20"/>
          <w:szCs w:val="20"/>
        </w:rPr>
        <w:t xml:space="preserve">20 </w:t>
      </w:r>
      <w:r w:rsidR="00BC1D37">
        <w:rPr>
          <w:rFonts w:ascii="Arial" w:hAnsi="Arial" w:cs="Arial"/>
          <w:sz w:val="20"/>
          <w:szCs w:val="20"/>
        </w:rPr>
        <w:t>credits (</w:t>
      </w:r>
      <w:r w:rsidR="00DE388B">
        <w:rPr>
          <w:rFonts w:ascii="Arial" w:hAnsi="Arial" w:cs="Arial"/>
          <w:sz w:val="20"/>
          <w:szCs w:val="20"/>
        </w:rPr>
        <w:t>10</w:t>
      </w:r>
      <w:r w:rsidR="00BC1D37">
        <w:rPr>
          <w:rFonts w:ascii="Arial" w:hAnsi="Arial" w:cs="Arial"/>
          <w:sz w:val="20"/>
          <w:szCs w:val="20"/>
        </w:rPr>
        <w:t xml:space="preserve"> ECTS Credits)</w:t>
      </w:r>
    </w:p>
    <w:p w14:paraId="42B0A497" w14:textId="77777777" w:rsidR="00C07A56" w:rsidRPr="00373ACB" w:rsidRDefault="00C07A56" w:rsidP="005E3FA7">
      <w:pPr>
        <w:spacing w:after="120" w:line="240" w:lineRule="auto"/>
        <w:ind w:left="426" w:right="260"/>
        <w:rPr>
          <w:rFonts w:ascii="Arial" w:hAnsi="Arial" w:cs="Arial"/>
          <w:sz w:val="20"/>
          <w:szCs w:val="20"/>
        </w:rPr>
      </w:pPr>
    </w:p>
    <w:p w14:paraId="0DA6FC0A"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5A1FD489" w14:textId="7161C5EF" w:rsidR="00BC1D37" w:rsidRPr="00380EAE" w:rsidRDefault="00BC1D37" w:rsidP="0066061A">
      <w:pPr>
        <w:spacing w:line="240" w:lineRule="auto"/>
        <w:ind w:left="426"/>
        <w:rPr>
          <w:rFonts w:ascii="Arial" w:hAnsi="Arial" w:cs="Arial"/>
          <w:sz w:val="20"/>
          <w:szCs w:val="20"/>
        </w:rPr>
      </w:pPr>
      <w:r>
        <w:rPr>
          <w:rFonts w:ascii="Arial" w:hAnsi="Arial" w:cs="Arial"/>
          <w:sz w:val="20"/>
          <w:szCs w:val="20"/>
        </w:rPr>
        <w:t xml:space="preserve">Autumn or </w:t>
      </w:r>
      <w:proofErr w:type="gramStart"/>
      <w:r>
        <w:rPr>
          <w:rFonts w:ascii="Arial" w:hAnsi="Arial" w:cs="Arial"/>
          <w:sz w:val="20"/>
          <w:szCs w:val="20"/>
        </w:rPr>
        <w:t>Spring</w:t>
      </w:r>
      <w:proofErr w:type="gramEnd"/>
    </w:p>
    <w:p w14:paraId="122981DC" w14:textId="77777777" w:rsidR="00C07A56" w:rsidRPr="00373ACB" w:rsidRDefault="00C07A56" w:rsidP="005E3FA7">
      <w:pPr>
        <w:spacing w:line="240" w:lineRule="auto"/>
        <w:ind w:left="426"/>
        <w:rPr>
          <w:rFonts w:ascii="Arial" w:hAnsi="Arial" w:cs="Arial"/>
          <w:b/>
          <w:sz w:val="20"/>
          <w:szCs w:val="20"/>
        </w:rPr>
      </w:pPr>
    </w:p>
    <w:p w14:paraId="5D679296"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73543416" w14:textId="0A5C1089" w:rsidR="005E3FA7" w:rsidRPr="00EE36D1" w:rsidRDefault="00EE36D1" w:rsidP="005E3FA7">
      <w:pPr>
        <w:spacing w:after="120" w:line="240" w:lineRule="auto"/>
        <w:ind w:left="426" w:right="260"/>
        <w:rPr>
          <w:rFonts w:ascii="Arial" w:hAnsi="Arial" w:cs="Arial"/>
          <w:sz w:val="20"/>
          <w:szCs w:val="20"/>
        </w:rPr>
      </w:pPr>
      <w:r w:rsidRPr="00EE36D1">
        <w:rPr>
          <w:rFonts w:ascii="Arial" w:hAnsi="Arial" w:cs="Arial"/>
          <w:sz w:val="20"/>
          <w:szCs w:val="20"/>
        </w:rPr>
        <w:t>None</w:t>
      </w:r>
    </w:p>
    <w:p w14:paraId="08F30AE0" w14:textId="77777777" w:rsidR="00EE36D1" w:rsidRPr="005E3FA7" w:rsidRDefault="00EE36D1" w:rsidP="005E3FA7">
      <w:pPr>
        <w:spacing w:after="120" w:line="240" w:lineRule="auto"/>
        <w:ind w:left="426" w:right="260"/>
        <w:rPr>
          <w:rFonts w:ascii="Arial" w:hAnsi="Arial" w:cs="Arial"/>
          <w:b/>
          <w:sz w:val="20"/>
          <w:szCs w:val="20"/>
        </w:rPr>
      </w:pPr>
    </w:p>
    <w:p w14:paraId="005F312C"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5EEE1E27" w14:textId="1859939B" w:rsidR="009A2D37" w:rsidRPr="00373ACB" w:rsidRDefault="0033128A">
      <w:pPr>
        <w:spacing w:after="120" w:line="240" w:lineRule="auto"/>
        <w:ind w:left="426" w:right="260"/>
        <w:rPr>
          <w:rFonts w:ascii="Arial" w:hAnsi="Arial" w:cs="Arial"/>
          <w:iCs/>
          <w:sz w:val="20"/>
          <w:szCs w:val="20"/>
        </w:rPr>
      </w:pPr>
      <w:r>
        <w:rPr>
          <w:rFonts w:ascii="Arial" w:hAnsi="Arial" w:cs="Arial"/>
          <w:iCs/>
          <w:sz w:val="20"/>
          <w:szCs w:val="20"/>
        </w:rPr>
        <w:t xml:space="preserve">Compulsory to </w:t>
      </w:r>
      <w:r w:rsidR="00EE36D1" w:rsidRPr="00EE36D1">
        <w:rPr>
          <w:rFonts w:ascii="Arial" w:hAnsi="Arial" w:cs="Arial"/>
          <w:iCs/>
          <w:sz w:val="20"/>
          <w:szCs w:val="20"/>
        </w:rPr>
        <w:t>LLM</w:t>
      </w:r>
      <w:r w:rsidR="001E3842">
        <w:rPr>
          <w:rFonts w:ascii="Arial" w:hAnsi="Arial" w:cs="Arial"/>
          <w:iCs/>
          <w:sz w:val="20"/>
          <w:szCs w:val="20"/>
        </w:rPr>
        <w:t xml:space="preserve"> in (specialisation</w:t>
      </w:r>
      <w:r>
        <w:rPr>
          <w:rFonts w:ascii="Arial" w:hAnsi="Arial" w:cs="Arial"/>
          <w:iCs/>
          <w:sz w:val="20"/>
          <w:szCs w:val="20"/>
        </w:rPr>
        <w:t>) specifically</w:t>
      </w:r>
      <w:r w:rsidR="001E3842">
        <w:rPr>
          <w:rFonts w:ascii="Arial" w:hAnsi="Arial" w:cs="Arial"/>
          <w:iCs/>
          <w:sz w:val="20"/>
          <w:szCs w:val="20"/>
        </w:rPr>
        <w:t xml:space="preserve"> in Human Rights Law; </w:t>
      </w:r>
      <w:r w:rsidRPr="00EE36D1">
        <w:rPr>
          <w:rFonts w:ascii="Arial" w:hAnsi="Arial" w:cs="Arial"/>
          <w:iCs/>
          <w:sz w:val="20"/>
          <w:szCs w:val="20"/>
        </w:rPr>
        <w:t>PG Diploma in (</w:t>
      </w:r>
      <w:r>
        <w:rPr>
          <w:rFonts w:ascii="Arial" w:hAnsi="Arial" w:cs="Arial"/>
          <w:iCs/>
          <w:sz w:val="20"/>
          <w:szCs w:val="20"/>
        </w:rPr>
        <w:t>Human Rights Law</w:t>
      </w:r>
      <w:r w:rsidRPr="00EE36D1">
        <w:rPr>
          <w:rFonts w:ascii="Arial" w:hAnsi="Arial" w:cs="Arial"/>
          <w:iCs/>
          <w:sz w:val="20"/>
          <w:szCs w:val="20"/>
        </w:rPr>
        <w:t xml:space="preserve">); PG Certificate in </w:t>
      </w:r>
      <w:r>
        <w:rPr>
          <w:rFonts w:ascii="Arial" w:hAnsi="Arial" w:cs="Arial"/>
          <w:iCs/>
          <w:sz w:val="20"/>
          <w:szCs w:val="20"/>
        </w:rPr>
        <w:t>(Human Rights Law).</w:t>
      </w:r>
      <w:r w:rsidRPr="00EE36D1">
        <w:rPr>
          <w:rFonts w:ascii="Arial" w:hAnsi="Arial" w:cs="Arial"/>
          <w:iCs/>
          <w:sz w:val="20"/>
          <w:szCs w:val="20"/>
        </w:rPr>
        <w:t xml:space="preserve"> </w:t>
      </w:r>
      <w:r>
        <w:rPr>
          <w:rFonts w:ascii="Arial" w:hAnsi="Arial" w:cs="Arial"/>
          <w:iCs/>
          <w:sz w:val="20"/>
          <w:szCs w:val="20"/>
        </w:rPr>
        <w:t xml:space="preserve">Also optional to the </w:t>
      </w:r>
      <w:r w:rsidR="001C3E7D">
        <w:rPr>
          <w:rFonts w:ascii="Arial" w:hAnsi="Arial" w:cs="Arial"/>
          <w:iCs/>
          <w:sz w:val="20"/>
          <w:szCs w:val="20"/>
        </w:rPr>
        <w:t>MA</w:t>
      </w:r>
      <w:r w:rsidR="00EE36D1" w:rsidRPr="00EE36D1">
        <w:rPr>
          <w:rFonts w:ascii="Arial" w:hAnsi="Arial" w:cs="Arial"/>
          <w:iCs/>
          <w:sz w:val="20"/>
          <w:szCs w:val="20"/>
        </w:rPr>
        <w:t xml:space="preserve"> in (Specialisation</w:t>
      </w:r>
      <w:r w:rsidR="001E3842">
        <w:rPr>
          <w:rFonts w:ascii="Arial" w:hAnsi="Arial" w:cs="Arial"/>
          <w:iCs/>
          <w:sz w:val="20"/>
          <w:szCs w:val="20"/>
        </w:rPr>
        <w:t xml:space="preserve"> in International Conflict and Security</w:t>
      </w:r>
      <w:r w:rsidR="00EE36D1" w:rsidRPr="00EE36D1">
        <w:rPr>
          <w:rFonts w:ascii="Arial" w:hAnsi="Arial" w:cs="Arial"/>
          <w:iCs/>
          <w:sz w:val="20"/>
          <w:szCs w:val="20"/>
        </w:rPr>
        <w:t xml:space="preserve">); </w:t>
      </w:r>
    </w:p>
    <w:p w14:paraId="7007AEB6" w14:textId="77777777" w:rsidR="00C07A56" w:rsidRPr="00373ACB" w:rsidRDefault="00C07A56" w:rsidP="0066061A">
      <w:pPr>
        <w:spacing w:after="120" w:line="240" w:lineRule="auto"/>
        <w:ind w:left="426" w:right="260"/>
        <w:rPr>
          <w:rFonts w:ascii="Arial" w:hAnsi="Arial" w:cs="Arial"/>
          <w:iCs/>
          <w:sz w:val="20"/>
          <w:szCs w:val="20"/>
        </w:rPr>
      </w:pPr>
    </w:p>
    <w:p w14:paraId="71C65D99" w14:textId="46081BD3"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729D7" w:rsidRPr="009D21D4">
        <w:rPr>
          <w:rFonts w:ascii="Arial" w:hAnsi="Arial" w:cs="Arial"/>
          <w:b/>
          <w:color w:val="FF0000"/>
          <w:sz w:val="20"/>
          <w:szCs w:val="20"/>
        </w:rPr>
        <w:t xml:space="preserve"> </w:t>
      </w:r>
      <w:r w:rsidR="00C729D7" w:rsidRPr="00373ACB">
        <w:rPr>
          <w:rFonts w:ascii="Arial" w:hAnsi="Arial" w:cs="Arial"/>
          <w:b/>
          <w:sz w:val="20"/>
          <w:szCs w:val="20"/>
        </w:rPr>
        <w:t>students will be able to:</w:t>
      </w:r>
    </w:p>
    <w:p w14:paraId="62019C8F" w14:textId="77777777" w:rsidR="00380EAE" w:rsidRPr="00373ACB" w:rsidRDefault="00380EAE" w:rsidP="0066061A">
      <w:pPr>
        <w:spacing w:after="120" w:line="240" w:lineRule="auto"/>
        <w:ind w:left="426" w:right="260"/>
        <w:rPr>
          <w:rFonts w:ascii="Arial" w:hAnsi="Arial" w:cs="Arial"/>
          <w:b/>
          <w:sz w:val="20"/>
          <w:szCs w:val="20"/>
        </w:rPr>
      </w:pPr>
    </w:p>
    <w:p w14:paraId="00457FD9" w14:textId="387B1D9E" w:rsidR="00EE36D1" w:rsidRPr="00EE36D1" w:rsidRDefault="00492B66" w:rsidP="0033128A">
      <w:pPr>
        <w:numPr>
          <w:ilvl w:val="1"/>
          <w:numId w:val="1"/>
        </w:numPr>
        <w:spacing w:before="60" w:after="60" w:line="240" w:lineRule="auto"/>
        <w:ind w:left="906" w:right="260" w:hanging="480"/>
        <w:contextualSpacing/>
        <w:jc w:val="both"/>
        <w:rPr>
          <w:rFonts w:ascii="Arial" w:hAnsi="Arial" w:cs="Arial"/>
          <w:sz w:val="20"/>
          <w:szCs w:val="20"/>
        </w:rPr>
      </w:pPr>
      <w:r>
        <w:rPr>
          <w:rFonts w:ascii="Arial" w:hAnsi="Arial" w:cs="Arial"/>
          <w:sz w:val="20"/>
          <w:szCs w:val="20"/>
        </w:rPr>
        <w:t>D</w:t>
      </w:r>
      <w:r w:rsidR="00EE36D1" w:rsidRPr="00EE36D1">
        <w:rPr>
          <w:rFonts w:ascii="Arial" w:hAnsi="Arial" w:cs="Arial"/>
          <w:sz w:val="20"/>
          <w:szCs w:val="20"/>
        </w:rPr>
        <w:t xml:space="preserve">emonstrate a critical </w:t>
      </w:r>
      <w:r>
        <w:rPr>
          <w:rFonts w:ascii="Arial" w:hAnsi="Arial" w:cs="Arial"/>
          <w:sz w:val="20"/>
          <w:szCs w:val="20"/>
        </w:rPr>
        <w:t xml:space="preserve">evaluation </w:t>
      </w:r>
      <w:r w:rsidR="00EE36D1" w:rsidRPr="00EE36D1">
        <w:rPr>
          <w:rFonts w:ascii="Arial" w:hAnsi="Arial" w:cs="Arial"/>
          <w:sz w:val="20"/>
          <w:szCs w:val="20"/>
        </w:rPr>
        <w:t>of the key concepts, principles and doctrines of international humanitarian law (IHL);</w:t>
      </w:r>
    </w:p>
    <w:p w14:paraId="05465910" w14:textId="662BF93C" w:rsidR="00EE36D1" w:rsidRPr="00EE36D1" w:rsidRDefault="00492B66" w:rsidP="0033128A">
      <w:pPr>
        <w:numPr>
          <w:ilvl w:val="1"/>
          <w:numId w:val="1"/>
        </w:numPr>
        <w:spacing w:before="60" w:after="60" w:line="240" w:lineRule="auto"/>
        <w:ind w:left="906" w:right="260" w:hanging="480"/>
        <w:contextualSpacing/>
        <w:jc w:val="both"/>
        <w:rPr>
          <w:rFonts w:ascii="Arial" w:hAnsi="Arial" w:cs="Arial"/>
          <w:sz w:val="20"/>
          <w:szCs w:val="20"/>
        </w:rPr>
      </w:pPr>
      <w:r>
        <w:rPr>
          <w:rFonts w:ascii="Arial" w:hAnsi="Arial" w:cs="Arial"/>
          <w:sz w:val="20"/>
          <w:szCs w:val="20"/>
        </w:rPr>
        <w:t xml:space="preserve">Demonstrate a comprehensive understanding of </w:t>
      </w:r>
      <w:r w:rsidR="00EE36D1" w:rsidRPr="00EE36D1">
        <w:rPr>
          <w:rFonts w:ascii="Arial" w:hAnsi="Arial" w:cs="Arial"/>
          <w:sz w:val="20"/>
          <w:szCs w:val="20"/>
        </w:rPr>
        <w:t>IHL in the context of evolving doctrinal and theoretical discourse;</w:t>
      </w:r>
    </w:p>
    <w:p w14:paraId="76D37B40" w14:textId="40054D89" w:rsidR="00EE36D1" w:rsidRPr="00EE36D1" w:rsidRDefault="00492B66" w:rsidP="0033128A">
      <w:pPr>
        <w:numPr>
          <w:ilvl w:val="1"/>
          <w:numId w:val="1"/>
        </w:numPr>
        <w:spacing w:before="60" w:after="60" w:line="240" w:lineRule="auto"/>
        <w:ind w:left="906" w:right="260" w:hanging="480"/>
        <w:contextualSpacing/>
        <w:jc w:val="both"/>
        <w:rPr>
          <w:rFonts w:ascii="Arial" w:hAnsi="Arial" w:cs="Arial"/>
          <w:sz w:val="20"/>
          <w:szCs w:val="20"/>
        </w:rPr>
      </w:pPr>
      <w:r>
        <w:rPr>
          <w:rFonts w:ascii="Arial" w:hAnsi="Arial" w:cs="Arial"/>
          <w:sz w:val="20"/>
          <w:szCs w:val="20"/>
        </w:rPr>
        <w:t xml:space="preserve">Critique </w:t>
      </w:r>
      <w:r w:rsidR="00EE36D1" w:rsidRPr="00EE36D1">
        <w:rPr>
          <w:rFonts w:ascii="Arial" w:hAnsi="Arial" w:cs="Arial"/>
          <w:sz w:val="20"/>
          <w:szCs w:val="20"/>
        </w:rPr>
        <w:t>the principles and theories of IHL to specific cases of contemporary concern or to controversial issues;</w:t>
      </w:r>
    </w:p>
    <w:p w14:paraId="2002FEAC" w14:textId="267C5956" w:rsidR="00807B44" w:rsidRDefault="00492B66" w:rsidP="009C63CA">
      <w:pPr>
        <w:numPr>
          <w:ilvl w:val="1"/>
          <w:numId w:val="1"/>
        </w:numPr>
        <w:spacing w:before="60" w:after="60" w:line="240" w:lineRule="auto"/>
        <w:ind w:left="906" w:right="260" w:hanging="480"/>
        <w:contextualSpacing/>
        <w:jc w:val="both"/>
        <w:rPr>
          <w:rFonts w:ascii="Arial" w:hAnsi="Arial" w:cs="Arial"/>
          <w:sz w:val="20"/>
          <w:szCs w:val="20"/>
        </w:rPr>
      </w:pPr>
      <w:r>
        <w:rPr>
          <w:rFonts w:ascii="Arial" w:hAnsi="Arial" w:cs="Arial"/>
          <w:sz w:val="20"/>
          <w:szCs w:val="20"/>
        </w:rPr>
        <w:t xml:space="preserve">Demonstrate systematic </w:t>
      </w:r>
      <w:r w:rsidR="00EE36D1" w:rsidRPr="00EE36D1">
        <w:rPr>
          <w:rFonts w:ascii="Arial" w:hAnsi="Arial" w:cs="Arial"/>
          <w:sz w:val="20"/>
          <w:szCs w:val="20"/>
        </w:rPr>
        <w:t>independent research in diverse areas of IHL and to construct reasoned and critical arguments based on the concepts, principles and doctrines of IHL;</w:t>
      </w:r>
    </w:p>
    <w:p w14:paraId="47EE3F73" w14:textId="497EC972" w:rsidR="00807B44" w:rsidRPr="00807B44" w:rsidRDefault="00807B44" w:rsidP="009C63CA">
      <w:pPr>
        <w:numPr>
          <w:ilvl w:val="1"/>
          <w:numId w:val="1"/>
        </w:numPr>
        <w:spacing w:before="60" w:after="60" w:line="240" w:lineRule="auto"/>
        <w:ind w:left="906" w:right="260" w:hanging="480"/>
        <w:contextualSpacing/>
        <w:jc w:val="both"/>
        <w:rPr>
          <w:rFonts w:ascii="Arial" w:hAnsi="Arial" w:cs="Arial"/>
          <w:sz w:val="20"/>
          <w:szCs w:val="20"/>
        </w:rPr>
      </w:pPr>
      <w:r w:rsidRPr="00807B44">
        <w:rPr>
          <w:rFonts w:ascii="Arial" w:hAnsi="Arial" w:cs="Arial"/>
          <w:sz w:val="20"/>
          <w:szCs w:val="20"/>
        </w:rPr>
        <w:t>Demonstrate a critical evaluation of  the operation of IHL in diverse situations of armed conflict (international or non-international) and occupation;</w:t>
      </w:r>
    </w:p>
    <w:p w14:paraId="72DFFC07" w14:textId="77777777" w:rsidR="008A4BCA" w:rsidRPr="00EE36D1" w:rsidRDefault="008A4BCA" w:rsidP="00EE36D1">
      <w:pPr>
        <w:spacing w:after="120" w:line="240" w:lineRule="auto"/>
        <w:ind w:left="426" w:right="260"/>
        <w:rPr>
          <w:rFonts w:ascii="Arial" w:hAnsi="Arial" w:cs="Arial"/>
          <w:sz w:val="20"/>
          <w:szCs w:val="20"/>
        </w:rPr>
      </w:pPr>
    </w:p>
    <w:p w14:paraId="15D48FD5"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169E9874" w14:textId="740D78BC"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751C0D4D" w14:textId="02BE9EC5" w:rsidR="00EE36D1" w:rsidRPr="0033128A" w:rsidRDefault="00807B44" w:rsidP="009C63CA">
      <w:pPr>
        <w:numPr>
          <w:ilvl w:val="1"/>
          <w:numId w:val="1"/>
        </w:numPr>
        <w:spacing w:before="60" w:after="60" w:line="240" w:lineRule="auto"/>
        <w:ind w:left="906" w:right="260" w:hanging="480"/>
        <w:contextualSpacing/>
        <w:jc w:val="both"/>
        <w:rPr>
          <w:rFonts w:ascii="Arial" w:hAnsi="Arial" w:cs="Arial"/>
          <w:sz w:val="20"/>
          <w:szCs w:val="20"/>
        </w:rPr>
      </w:pPr>
      <w:r w:rsidRPr="009C63CA">
        <w:rPr>
          <w:rFonts w:ascii="Arial" w:hAnsi="Arial" w:cs="Arial"/>
          <w:sz w:val="20"/>
          <w:szCs w:val="20"/>
        </w:rPr>
        <w:t xml:space="preserve">Demonstrate </w:t>
      </w:r>
      <w:r w:rsidRPr="0044167F">
        <w:rPr>
          <w:rFonts w:ascii="Arial" w:hAnsi="Arial" w:cs="Arial"/>
          <w:sz w:val="20"/>
          <w:szCs w:val="20"/>
        </w:rPr>
        <w:t xml:space="preserve">comprehensive </w:t>
      </w:r>
      <w:r w:rsidR="00EE36D1" w:rsidRPr="0044167F">
        <w:rPr>
          <w:rFonts w:ascii="Arial" w:hAnsi="Arial" w:cs="Arial"/>
          <w:sz w:val="20"/>
          <w:szCs w:val="20"/>
        </w:rPr>
        <w:t>legal reasoning</w:t>
      </w:r>
      <w:r w:rsidRPr="0044167F">
        <w:rPr>
          <w:rFonts w:ascii="Arial" w:hAnsi="Arial" w:cs="Arial"/>
          <w:sz w:val="20"/>
          <w:szCs w:val="20"/>
        </w:rPr>
        <w:t>,</w:t>
      </w:r>
      <w:r w:rsidR="00EE36D1" w:rsidRPr="0044167F">
        <w:rPr>
          <w:rFonts w:ascii="Arial" w:hAnsi="Arial" w:cs="Arial"/>
          <w:sz w:val="20"/>
          <w:szCs w:val="20"/>
        </w:rPr>
        <w:t xml:space="preserve"> in order to reach a considered judgment as to the correct legal outcome where the law is unclear or there are differences of interpretation;</w:t>
      </w:r>
    </w:p>
    <w:p w14:paraId="50373011" w14:textId="65DD9FB7" w:rsidR="00EE36D1" w:rsidRPr="0044167F" w:rsidRDefault="00807B44" w:rsidP="0033128A">
      <w:pPr>
        <w:numPr>
          <w:ilvl w:val="1"/>
          <w:numId w:val="1"/>
        </w:numPr>
        <w:spacing w:before="60" w:after="60" w:line="240" w:lineRule="auto"/>
        <w:ind w:left="906" w:right="260" w:hanging="480"/>
        <w:contextualSpacing/>
        <w:jc w:val="both"/>
        <w:rPr>
          <w:rFonts w:ascii="Arial" w:hAnsi="Arial" w:cs="Arial"/>
          <w:sz w:val="20"/>
          <w:szCs w:val="20"/>
        </w:rPr>
      </w:pPr>
      <w:r w:rsidRPr="0044167F">
        <w:rPr>
          <w:rFonts w:ascii="Arial" w:hAnsi="Arial" w:cs="Arial"/>
          <w:sz w:val="20"/>
          <w:szCs w:val="20"/>
        </w:rPr>
        <w:t xml:space="preserve">Demonstrate sophisticated </w:t>
      </w:r>
      <w:r w:rsidR="00EE36D1" w:rsidRPr="0044167F">
        <w:rPr>
          <w:rFonts w:ascii="Arial" w:hAnsi="Arial" w:cs="Arial"/>
          <w:sz w:val="20"/>
          <w:szCs w:val="20"/>
        </w:rPr>
        <w:t>critical legal reasoning and argument;</w:t>
      </w:r>
    </w:p>
    <w:p w14:paraId="703BE7FF" w14:textId="2FF05B88" w:rsidR="00EE36D1" w:rsidRPr="0044167F" w:rsidRDefault="00807B44" w:rsidP="0033128A">
      <w:pPr>
        <w:numPr>
          <w:ilvl w:val="1"/>
          <w:numId w:val="1"/>
        </w:numPr>
        <w:spacing w:before="60" w:after="60" w:line="240" w:lineRule="auto"/>
        <w:ind w:left="906" w:right="260" w:hanging="480"/>
        <w:contextualSpacing/>
        <w:jc w:val="both"/>
        <w:rPr>
          <w:rFonts w:ascii="Arial" w:hAnsi="Arial" w:cs="Arial"/>
          <w:sz w:val="20"/>
          <w:szCs w:val="20"/>
        </w:rPr>
      </w:pPr>
      <w:r w:rsidRPr="0044167F">
        <w:rPr>
          <w:rFonts w:ascii="Arial" w:hAnsi="Arial" w:cs="Arial"/>
          <w:sz w:val="20"/>
          <w:szCs w:val="20"/>
        </w:rPr>
        <w:t xml:space="preserve">Demonstrate a systematic synthetization </w:t>
      </w:r>
      <w:proofErr w:type="gramStart"/>
      <w:r w:rsidRPr="0044167F">
        <w:rPr>
          <w:rFonts w:ascii="Arial" w:hAnsi="Arial" w:cs="Arial"/>
          <w:sz w:val="20"/>
          <w:szCs w:val="20"/>
        </w:rPr>
        <w:t xml:space="preserve">of </w:t>
      </w:r>
      <w:r w:rsidR="00EE36D1" w:rsidRPr="0044167F">
        <w:rPr>
          <w:rFonts w:ascii="Arial" w:hAnsi="Arial" w:cs="Arial"/>
          <w:sz w:val="20"/>
          <w:szCs w:val="20"/>
        </w:rPr>
        <w:t xml:space="preserve"> arguments</w:t>
      </w:r>
      <w:proofErr w:type="gramEnd"/>
      <w:r w:rsidR="00EE36D1" w:rsidRPr="0044167F">
        <w:rPr>
          <w:rFonts w:ascii="Arial" w:hAnsi="Arial" w:cs="Arial"/>
          <w:sz w:val="20"/>
          <w:szCs w:val="20"/>
        </w:rPr>
        <w:t xml:space="preserve"> derived from diverse sources and present a coherent explanatory framework.</w:t>
      </w:r>
    </w:p>
    <w:p w14:paraId="2B9D2734" w14:textId="77777777" w:rsidR="00373ACB" w:rsidRPr="0044167F" w:rsidRDefault="00373ACB" w:rsidP="00EE36D1">
      <w:pPr>
        <w:pStyle w:val="ListParagraph"/>
        <w:spacing w:after="120" w:line="240" w:lineRule="auto"/>
        <w:ind w:left="851" w:right="260"/>
        <w:rPr>
          <w:rFonts w:ascii="Arial" w:hAnsi="Arial" w:cs="Arial"/>
          <w:sz w:val="20"/>
          <w:szCs w:val="20"/>
        </w:rPr>
      </w:pPr>
    </w:p>
    <w:p w14:paraId="46F5BEB9" w14:textId="77777777" w:rsidR="00373ACB" w:rsidRPr="00373ACB" w:rsidRDefault="00373ACB" w:rsidP="0066061A">
      <w:pPr>
        <w:pStyle w:val="Default"/>
        <w:spacing w:after="120"/>
        <w:ind w:right="260"/>
        <w:rPr>
          <w:color w:val="auto"/>
          <w:sz w:val="20"/>
          <w:szCs w:val="20"/>
        </w:rPr>
      </w:pPr>
    </w:p>
    <w:p w14:paraId="5CA287F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51BA4439" w14:textId="1DB2FEEC" w:rsidR="00373ACB" w:rsidRPr="00FB28BD" w:rsidRDefault="00EE36D1" w:rsidP="009C63CA">
      <w:pPr>
        <w:spacing w:after="120" w:line="240" w:lineRule="auto"/>
        <w:ind w:left="426" w:right="260"/>
        <w:jc w:val="both"/>
        <w:rPr>
          <w:rFonts w:ascii="Arial" w:hAnsi="Arial" w:cs="Arial"/>
          <w:iCs/>
          <w:sz w:val="20"/>
          <w:szCs w:val="20"/>
        </w:rPr>
      </w:pPr>
      <w:r w:rsidRPr="00FB28BD">
        <w:rPr>
          <w:rFonts w:ascii="Arial" w:hAnsi="Arial" w:cs="Arial"/>
          <w:iCs/>
          <w:sz w:val="20"/>
          <w:szCs w:val="20"/>
        </w:rPr>
        <w:t>This course is designed to enable LL.M. and MA students to obtain comprehensive knowledge of diverse issues involved in international humanitarian law (IHL). It starts with an introduction to the basic concepts and principles of humanitarian law and their historical development, while seeking to enhance students’ insight into main theoretical debates on the significance of international humanitarian law in international relations. The course then moves to focus on specific issues, such as combatant or prisoners of war (</w:t>
      </w:r>
      <w:proofErr w:type="spellStart"/>
      <w:r w:rsidRPr="00FB28BD">
        <w:rPr>
          <w:rFonts w:ascii="Arial" w:hAnsi="Arial" w:cs="Arial"/>
          <w:iCs/>
          <w:sz w:val="20"/>
          <w:szCs w:val="20"/>
        </w:rPr>
        <w:t>PoW</w:t>
      </w:r>
      <w:proofErr w:type="spellEnd"/>
      <w:r w:rsidRPr="00FB28BD">
        <w:rPr>
          <w:rFonts w:ascii="Arial" w:hAnsi="Arial" w:cs="Arial"/>
          <w:iCs/>
          <w:sz w:val="20"/>
          <w:szCs w:val="20"/>
        </w:rPr>
        <w:t xml:space="preserve">) status, civilian status, </w:t>
      </w:r>
      <w:r w:rsidR="00C171E4">
        <w:rPr>
          <w:rFonts w:ascii="Arial" w:hAnsi="Arial" w:cs="Arial"/>
          <w:iCs/>
          <w:sz w:val="20"/>
          <w:szCs w:val="20"/>
        </w:rPr>
        <w:t xml:space="preserve">protection of the vulnerable persons (such as women and children), </w:t>
      </w:r>
      <w:r w:rsidRPr="00FB28BD">
        <w:rPr>
          <w:rFonts w:ascii="Arial" w:hAnsi="Arial" w:cs="Arial"/>
          <w:iCs/>
          <w:sz w:val="20"/>
          <w:szCs w:val="20"/>
        </w:rPr>
        <w:t xml:space="preserve">and issues of belligerent occupation, as well as issue of more contemporary interests such as the protection of cultural property, environment, applicability of IHL to UN Peacekeeping forces and the relationship between IHL and international human rights law. Students are encouraged to develop a critical standpoint in light of historical backgrounds and of theories of international law and international relations. </w:t>
      </w:r>
    </w:p>
    <w:p w14:paraId="51F1A9D2" w14:textId="77777777" w:rsidR="00EE36D1" w:rsidRPr="00373ACB" w:rsidRDefault="00EE36D1" w:rsidP="0066061A">
      <w:pPr>
        <w:spacing w:after="120" w:line="240" w:lineRule="auto"/>
        <w:ind w:left="426" w:right="260"/>
        <w:rPr>
          <w:rFonts w:ascii="Arial" w:hAnsi="Arial" w:cs="Arial"/>
          <w:iCs/>
          <w:sz w:val="20"/>
          <w:szCs w:val="20"/>
        </w:rPr>
      </w:pPr>
    </w:p>
    <w:p w14:paraId="71D82A9A"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055D966A" w14:textId="77777777" w:rsidR="000F4DB2" w:rsidRPr="00FB28BD" w:rsidRDefault="000F4DB2" w:rsidP="000F4DB2">
      <w:pPr>
        <w:spacing w:after="120" w:line="240" w:lineRule="auto"/>
        <w:ind w:left="426" w:right="260"/>
        <w:rPr>
          <w:rFonts w:ascii="Arial" w:hAnsi="Arial" w:cs="Arial"/>
          <w:sz w:val="20"/>
          <w:szCs w:val="20"/>
        </w:rPr>
      </w:pPr>
      <w:r w:rsidRPr="00FB28BD">
        <w:rPr>
          <w:rFonts w:ascii="Arial" w:hAnsi="Arial" w:cs="Arial"/>
          <w:sz w:val="20"/>
          <w:szCs w:val="20"/>
        </w:rPr>
        <w:t>Textbooks;</w:t>
      </w:r>
    </w:p>
    <w:p w14:paraId="72600F2F" w14:textId="77777777" w:rsidR="000F4DB2" w:rsidRPr="00FB28BD" w:rsidRDefault="000F4DB2" w:rsidP="000F4DB2">
      <w:pPr>
        <w:spacing w:after="120" w:line="240" w:lineRule="auto"/>
        <w:ind w:left="426" w:right="260"/>
        <w:rPr>
          <w:rFonts w:ascii="Arial" w:hAnsi="Arial" w:cs="Arial"/>
          <w:sz w:val="20"/>
          <w:szCs w:val="20"/>
        </w:rPr>
      </w:pPr>
      <w:r w:rsidRPr="00FB28BD">
        <w:rPr>
          <w:rFonts w:ascii="Arial" w:hAnsi="Arial" w:cs="Arial"/>
          <w:sz w:val="20"/>
          <w:szCs w:val="20"/>
        </w:rPr>
        <w:t>D. Fleck et al. (eds.), Handbook of International Humanitarian Law, 3rd ed., (Oxford:  Oxford Univ. Press, 2013) (paperback);</w:t>
      </w:r>
    </w:p>
    <w:p w14:paraId="6A33847E" w14:textId="77777777" w:rsidR="000F4DB2" w:rsidRPr="00FB28BD" w:rsidRDefault="000F4DB2" w:rsidP="000F4DB2">
      <w:pPr>
        <w:spacing w:after="120" w:line="240" w:lineRule="auto"/>
        <w:ind w:left="426" w:right="260"/>
        <w:rPr>
          <w:rFonts w:ascii="Arial" w:hAnsi="Arial" w:cs="Arial"/>
          <w:sz w:val="20"/>
          <w:szCs w:val="20"/>
        </w:rPr>
      </w:pPr>
      <w:r w:rsidRPr="00FB28BD">
        <w:rPr>
          <w:rFonts w:ascii="Arial" w:hAnsi="Arial" w:cs="Arial"/>
          <w:sz w:val="20"/>
          <w:szCs w:val="20"/>
        </w:rPr>
        <w:t>Other recommended textbooks:</w:t>
      </w:r>
    </w:p>
    <w:p w14:paraId="556ED0E1" w14:textId="77777777" w:rsidR="000F4DB2" w:rsidRPr="00FB28BD" w:rsidRDefault="000F4DB2" w:rsidP="000F4DB2">
      <w:pPr>
        <w:spacing w:after="120" w:line="240" w:lineRule="auto"/>
        <w:ind w:left="426" w:right="260"/>
        <w:rPr>
          <w:rFonts w:ascii="Arial" w:hAnsi="Arial" w:cs="Arial"/>
          <w:sz w:val="20"/>
          <w:szCs w:val="20"/>
        </w:rPr>
      </w:pPr>
      <w:r w:rsidRPr="00FB28BD">
        <w:rPr>
          <w:rFonts w:ascii="Arial" w:hAnsi="Arial" w:cs="Arial"/>
          <w:sz w:val="20"/>
          <w:szCs w:val="20"/>
        </w:rPr>
        <w:t xml:space="preserve">D. </w:t>
      </w:r>
      <w:proofErr w:type="spellStart"/>
      <w:r w:rsidRPr="00FB28BD">
        <w:rPr>
          <w:rFonts w:ascii="Arial" w:hAnsi="Arial" w:cs="Arial"/>
          <w:sz w:val="20"/>
          <w:szCs w:val="20"/>
        </w:rPr>
        <w:t>Thürer</w:t>
      </w:r>
      <w:proofErr w:type="spellEnd"/>
      <w:r w:rsidRPr="00FB28BD">
        <w:rPr>
          <w:rFonts w:ascii="Arial" w:hAnsi="Arial" w:cs="Arial"/>
          <w:sz w:val="20"/>
          <w:szCs w:val="20"/>
        </w:rPr>
        <w:t>, International Humanitarian Law:  Theory, Practice, Context, Hague Academy of International Law, 2011, (</w:t>
      </w:r>
      <w:proofErr w:type="spellStart"/>
      <w:r w:rsidRPr="00FB28BD">
        <w:rPr>
          <w:rFonts w:ascii="Arial" w:hAnsi="Arial" w:cs="Arial"/>
          <w:sz w:val="20"/>
          <w:szCs w:val="20"/>
        </w:rPr>
        <w:t>Maubeuge</w:t>
      </w:r>
      <w:proofErr w:type="spellEnd"/>
      <w:r w:rsidRPr="00FB28BD">
        <w:rPr>
          <w:rFonts w:ascii="Arial" w:hAnsi="Arial" w:cs="Arial"/>
          <w:sz w:val="20"/>
          <w:szCs w:val="20"/>
        </w:rPr>
        <w:t>, France, 2011).</w:t>
      </w:r>
    </w:p>
    <w:p w14:paraId="1F5CDE86" w14:textId="4EF39C78" w:rsidR="00DE4F08" w:rsidRPr="00FB28BD" w:rsidRDefault="000F4DB2" w:rsidP="000F4DB2">
      <w:pPr>
        <w:spacing w:after="120" w:line="240" w:lineRule="auto"/>
        <w:ind w:left="426" w:right="260"/>
        <w:rPr>
          <w:rFonts w:ascii="Arial" w:hAnsi="Arial" w:cs="Arial"/>
          <w:sz w:val="20"/>
          <w:szCs w:val="20"/>
        </w:rPr>
      </w:pPr>
      <w:proofErr w:type="spellStart"/>
      <w:r w:rsidRPr="00FB28BD">
        <w:rPr>
          <w:rFonts w:ascii="Arial" w:hAnsi="Arial" w:cs="Arial"/>
          <w:sz w:val="20"/>
          <w:szCs w:val="20"/>
        </w:rPr>
        <w:t>Ēric</w:t>
      </w:r>
      <w:proofErr w:type="spellEnd"/>
      <w:r w:rsidRPr="00FB28BD">
        <w:rPr>
          <w:rFonts w:ascii="Arial" w:hAnsi="Arial" w:cs="Arial"/>
          <w:sz w:val="20"/>
          <w:szCs w:val="20"/>
        </w:rPr>
        <w:t xml:space="preserve"> David, </w:t>
      </w:r>
      <w:proofErr w:type="spellStart"/>
      <w:r w:rsidRPr="00FB28BD">
        <w:rPr>
          <w:rFonts w:ascii="Arial" w:hAnsi="Arial" w:cs="Arial"/>
          <w:sz w:val="20"/>
          <w:szCs w:val="20"/>
        </w:rPr>
        <w:t>Principes</w:t>
      </w:r>
      <w:proofErr w:type="spellEnd"/>
      <w:r w:rsidRPr="00FB28BD">
        <w:rPr>
          <w:rFonts w:ascii="Arial" w:hAnsi="Arial" w:cs="Arial"/>
          <w:sz w:val="20"/>
          <w:szCs w:val="20"/>
        </w:rPr>
        <w:t xml:space="preserve"> de Droit des </w:t>
      </w:r>
      <w:proofErr w:type="spellStart"/>
      <w:r w:rsidRPr="00FB28BD">
        <w:rPr>
          <w:rFonts w:ascii="Arial" w:hAnsi="Arial" w:cs="Arial"/>
          <w:sz w:val="20"/>
          <w:szCs w:val="20"/>
        </w:rPr>
        <w:t>Conflits</w:t>
      </w:r>
      <w:proofErr w:type="spellEnd"/>
      <w:r w:rsidRPr="00FB28BD">
        <w:rPr>
          <w:rFonts w:ascii="Arial" w:hAnsi="Arial" w:cs="Arial"/>
          <w:sz w:val="20"/>
          <w:szCs w:val="20"/>
        </w:rPr>
        <w:t xml:space="preserve"> </w:t>
      </w:r>
      <w:proofErr w:type="spellStart"/>
      <w:r w:rsidRPr="00FB28BD">
        <w:rPr>
          <w:rFonts w:ascii="Arial" w:hAnsi="Arial" w:cs="Arial"/>
          <w:sz w:val="20"/>
          <w:szCs w:val="20"/>
        </w:rPr>
        <w:t>Armés</w:t>
      </w:r>
      <w:proofErr w:type="spellEnd"/>
      <w:r w:rsidRPr="00FB28BD">
        <w:rPr>
          <w:rFonts w:ascii="Arial" w:hAnsi="Arial" w:cs="Arial"/>
          <w:sz w:val="20"/>
          <w:szCs w:val="20"/>
        </w:rPr>
        <w:t>, 5eme ed., (</w:t>
      </w:r>
      <w:proofErr w:type="gramStart"/>
      <w:r w:rsidRPr="00FB28BD">
        <w:rPr>
          <w:rFonts w:ascii="Arial" w:hAnsi="Arial" w:cs="Arial"/>
          <w:sz w:val="20"/>
          <w:szCs w:val="20"/>
        </w:rPr>
        <w:t>Brussels :</w:t>
      </w:r>
      <w:proofErr w:type="gramEnd"/>
      <w:r w:rsidRPr="00FB28BD">
        <w:rPr>
          <w:rFonts w:ascii="Arial" w:hAnsi="Arial" w:cs="Arial"/>
          <w:sz w:val="20"/>
          <w:szCs w:val="20"/>
        </w:rPr>
        <w:t xml:space="preserve"> </w:t>
      </w:r>
      <w:proofErr w:type="spellStart"/>
      <w:r w:rsidRPr="00FB28BD">
        <w:rPr>
          <w:rFonts w:ascii="Arial" w:hAnsi="Arial" w:cs="Arial"/>
          <w:sz w:val="20"/>
          <w:szCs w:val="20"/>
        </w:rPr>
        <w:t>Bruylant</w:t>
      </w:r>
      <w:proofErr w:type="spellEnd"/>
      <w:r w:rsidRPr="00FB28BD">
        <w:rPr>
          <w:rFonts w:ascii="Arial" w:hAnsi="Arial" w:cs="Arial"/>
          <w:sz w:val="20"/>
          <w:szCs w:val="20"/>
        </w:rPr>
        <w:t>, 2012).</w:t>
      </w:r>
    </w:p>
    <w:p w14:paraId="72C6907E" w14:textId="77777777" w:rsidR="000F4DB2" w:rsidRPr="00FB28BD" w:rsidRDefault="000F4DB2" w:rsidP="000F4DB2">
      <w:pPr>
        <w:spacing w:after="120" w:line="240" w:lineRule="auto"/>
        <w:ind w:left="426" w:right="260"/>
        <w:rPr>
          <w:rFonts w:ascii="Arial" w:hAnsi="Arial" w:cs="Arial"/>
          <w:sz w:val="20"/>
          <w:szCs w:val="20"/>
        </w:rPr>
      </w:pPr>
    </w:p>
    <w:p w14:paraId="48D17712"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00B6CDAB" w14:textId="32F438F1" w:rsidR="001C3E7D" w:rsidRPr="001C3E7D" w:rsidRDefault="003E0BBC" w:rsidP="001C3E7D">
      <w:pPr>
        <w:spacing w:after="120" w:line="240" w:lineRule="auto"/>
        <w:ind w:left="426" w:right="260"/>
        <w:rPr>
          <w:rFonts w:ascii="Arial" w:hAnsi="Arial" w:cs="Arial"/>
          <w:iCs/>
          <w:sz w:val="20"/>
          <w:szCs w:val="20"/>
        </w:rPr>
      </w:pPr>
      <w:r>
        <w:rPr>
          <w:rFonts w:ascii="Arial" w:hAnsi="Arial" w:cs="Arial"/>
          <w:iCs/>
          <w:sz w:val="20"/>
          <w:szCs w:val="20"/>
        </w:rPr>
        <w:t xml:space="preserve">Total contact hours: </w:t>
      </w:r>
      <w:r w:rsidR="00BF6016">
        <w:rPr>
          <w:rFonts w:ascii="Arial" w:hAnsi="Arial" w:cs="Arial"/>
          <w:iCs/>
          <w:sz w:val="20"/>
          <w:szCs w:val="20"/>
        </w:rPr>
        <w:t>19</w:t>
      </w:r>
    </w:p>
    <w:p w14:paraId="7FFCD49C" w14:textId="5E39396F" w:rsidR="001C3E7D" w:rsidRPr="001C3E7D" w:rsidRDefault="003E0BBC" w:rsidP="001C3E7D">
      <w:pPr>
        <w:spacing w:after="120" w:line="240" w:lineRule="auto"/>
        <w:ind w:left="426" w:right="260"/>
        <w:rPr>
          <w:rFonts w:ascii="Arial" w:hAnsi="Arial" w:cs="Arial"/>
          <w:iCs/>
          <w:sz w:val="20"/>
          <w:szCs w:val="20"/>
        </w:rPr>
      </w:pPr>
      <w:r>
        <w:rPr>
          <w:rFonts w:ascii="Arial" w:hAnsi="Arial" w:cs="Arial"/>
          <w:iCs/>
          <w:sz w:val="20"/>
          <w:szCs w:val="20"/>
        </w:rPr>
        <w:t>Private study hours: 18</w:t>
      </w:r>
      <w:r w:rsidR="00BF6016">
        <w:rPr>
          <w:rFonts w:ascii="Arial" w:hAnsi="Arial" w:cs="Arial"/>
          <w:iCs/>
          <w:sz w:val="20"/>
          <w:szCs w:val="20"/>
        </w:rPr>
        <w:t>1</w:t>
      </w:r>
    </w:p>
    <w:p w14:paraId="6E2497FB" w14:textId="21756D6B" w:rsidR="001C3E7D" w:rsidRDefault="001C3E7D" w:rsidP="001C3E7D">
      <w:pPr>
        <w:spacing w:after="120" w:line="240" w:lineRule="auto"/>
        <w:ind w:left="426" w:right="260"/>
        <w:rPr>
          <w:rFonts w:ascii="Arial" w:hAnsi="Arial" w:cs="Arial"/>
          <w:iCs/>
          <w:sz w:val="20"/>
          <w:szCs w:val="20"/>
        </w:rPr>
      </w:pPr>
      <w:r w:rsidRPr="001C3E7D">
        <w:rPr>
          <w:rFonts w:ascii="Arial" w:hAnsi="Arial" w:cs="Arial"/>
          <w:iCs/>
          <w:sz w:val="20"/>
          <w:szCs w:val="20"/>
        </w:rPr>
        <w:t>Total study hours: 200</w:t>
      </w:r>
    </w:p>
    <w:p w14:paraId="1174472A" w14:textId="77777777" w:rsidR="001C3E7D" w:rsidRDefault="001C3E7D" w:rsidP="001C3E7D">
      <w:pPr>
        <w:spacing w:after="120" w:line="240" w:lineRule="auto"/>
        <w:ind w:left="426" w:right="260"/>
        <w:rPr>
          <w:rFonts w:ascii="Arial" w:hAnsi="Arial" w:cs="Arial"/>
          <w:iCs/>
          <w:sz w:val="20"/>
          <w:szCs w:val="20"/>
        </w:rPr>
      </w:pPr>
    </w:p>
    <w:p w14:paraId="2EE458D9" w14:textId="77777777" w:rsidR="00373ACB" w:rsidRPr="00373ACB" w:rsidRDefault="00373ACB" w:rsidP="0066061A">
      <w:pPr>
        <w:spacing w:after="120" w:line="240" w:lineRule="auto"/>
        <w:ind w:left="426" w:right="260"/>
        <w:rPr>
          <w:rFonts w:ascii="Arial" w:hAnsi="Arial" w:cs="Arial"/>
          <w:i/>
          <w:iCs/>
          <w:sz w:val="20"/>
          <w:szCs w:val="20"/>
        </w:rPr>
      </w:pPr>
    </w:p>
    <w:p w14:paraId="0931557A"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44A8D83A" w14:textId="77777777" w:rsidR="006F3F43" w:rsidRP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1C7BF7AC" w14:textId="77777777" w:rsidR="006F3F43" w:rsidRDefault="006F3F43" w:rsidP="0066061A">
      <w:pPr>
        <w:spacing w:after="120" w:line="240" w:lineRule="auto"/>
        <w:ind w:left="426" w:right="260"/>
        <w:rPr>
          <w:rFonts w:ascii="Arial" w:hAnsi="Arial" w:cs="Arial"/>
          <w:iCs/>
          <w:sz w:val="20"/>
          <w:szCs w:val="20"/>
        </w:rPr>
      </w:pPr>
    </w:p>
    <w:p w14:paraId="5AD949B7" w14:textId="672F95F3" w:rsidR="0066061A" w:rsidRDefault="0066061A" w:rsidP="0066061A">
      <w:pPr>
        <w:spacing w:after="120" w:line="240" w:lineRule="auto"/>
        <w:ind w:left="426" w:right="260"/>
        <w:rPr>
          <w:rFonts w:ascii="Arial" w:hAnsi="Arial" w:cs="Arial"/>
          <w:iCs/>
          <w:sz w:val="20"/>
          <w:szCs w:val="20"/>
        </w:rPr>
      </w:pPr>
      <w:r w:rsidRPr="005E3FA7">
        <w:rPr>
          <w:rFonts w:ascii="Arial" w:hAnsi="Arial" w:cs="Arial"/>
          <w:iCs/>
          <w:sz w:val="20"/>
          <w:szCs w:val="20"/>
        </w:rPr>
        <w:t xml:space="preserve">The module will be assessed by </w:t>
      </w:r>
      <w:r w:rsidR="00492B66">
        <w:rPr>
          <w:rFonts w:ascii="Arial" w:hAnsi="Arial" w:cs="Arial"/>
          <w:iCs/>
          <w:sz w:val="20"/>
          <w:szCs w:val="20"/>
        </w:rPr>
        <w:t>100% Coursework</w:t>
      </w:r>
      <w:r w:rsidR="00865CBA">
        <w:rPr>
          <w:rFonts w:ascii="Arial" w:hAnsi="Arial" w:cs="Arial"/>
          <w:iCs/>
          <w:sz w:val="20"/>
          <w:szCs w:val="20"/>
        </w:rPr>
        <w:t xml:space="preserve"> as follows</w:t>
      </w:r>
      <w:r w:rsidRPr="005E3FA7">
        <w:rPr>
          <w:rFonts w:ascii="Arial" w:hAnsi="Arial" w:cs="Arial"/>
          <w:iCs/>
          <w:sz w:val="20"/>
          <w:szCs w:val="20"/>
        </w:rPr>
        <w:t>:</w:t>
      </w:r>
    </w:p>
    <w:p w14:paraId="279888C9" w14:textId="3517F2E7" w:rsidR="00492B66" w:rsidRDefault="00492B66" w:rsidP="0066061A">
      <w:pPr>
        <w:spacing w:after="120" w:line="240" w:lineRule="auto"/>
        <w:ind w:left="426" w:right="260"/>
        <w:rPr>
          <w:rFonts w:ascii="Arial" w:hAnsi="Arial" w:cs="Arial"/>
          <w:iCs/>
          <w:sz w:val="20"/>
          <w:szCs w:val="20"/>
        </w:rPr>
      </w:pPr>
    </w:p>
    <w:p w14:paraId="72CE601B" w14:textId="4B825D4C" w:rsidR="00492B66" w:rsidRPr="005E3FA7" w:rsidRDefault="00492B66" w:rsidP="0066061A">
      <w:pPr>
        <w:spacing w:after="120" w:line="240" w:lineRule="auto"/>
        <w:ind w:left="426" w:right="260"/>
        <w:rPr>
          <w:rFonts w:ascii="Arial" w:hAnsi="Arial" w:cs="Arial"/>
          <w:iCs/>
          <w:sz w:val="20"/>
          <w:szCs w:val="20"/>
        </w:rPr>
      </w:pPr>
      <w:r>
        <w:rPr>
          <w:rFonts w:ascii="Arial" w:hAnsi="Arial" w:cs="Arial"/>
          <w:iCs/>
          <w:sz w:val="20"/>
          <w:szCs w:val="20"/>
        </w:rPr>
        <w:t xml:space="preserve">Essay, </w:t>
      </w:r>
      <w:r w:rsidR="00C171E4">
        <w:rPr>
          <w:rFonts w:ascii="Arial" w:hAnsi="Arial" w:cs="Arial"/>
          <w:iCs/>
          <w:sz w:val="20"/>
          <w:szCs w:val="20"/>
        </w:rPr>
        <w:t xml:space="preserve">maximum </w:t>
      </w:r>
      <w:r>
        <w:rPr>
          <w:rFonts w:ascii="Arial" w:hAnsi="Arial" w:cs="Arial"/>
          <w:iCs/>
          <w:sz w:val="20"/>
          <w:szCs w:val="20"/>
        </w:rPr>
        <w:t>5000 words (100%)</w:t>
      </w:r>
    </w:p>
    <w:p w14:paraId="5CEDCF37" w14:textId="77777777" w:rsidR="0066061A" w:rsidRDefault="0066061A" w:rsidP="0066061A">
      <w:pPr>
        <w:spacing w:after="120" w:line="240" w:lineRule="auto"/>
        <w:ind w:left="426" w:right="260"/>
        <w:rPr>
          <w:rFonts w:ascii="Arial" w:hAnsi="Arial" w:cs="Arial"/>
          <w:iCs/>
          <w:sz w:val="20"/>
          <w:szCs w:val="20"/>
        </w:rPr>
      </w:pPr>
    </w:p>
    <w:p w14:paraId="2A3353BD" w14:textId="77777777" w:rsid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0E203C93" w14:textId="77777777" w:rsidR="006F3F43" w:rsidRDefault="006F3F43" w:rsidP="0066061A">
      <w:pPr>
        <w:spacing w:after="120" w:line="240" w:lineRule="auto"/>
        <w:ind w:left="426" w:right="260"/>
        <w:rPr>
          <w:rFonts w:ascii="Arial" w:hAnsi="Arial" w:cs="Arial"/>
          <w:iCs/>
          <w:sz w:val="20"/>
          <w:szCs w:val="20"/>
          <w:u w:val="single"/>
        </w:rPr>
      </w:pPr>
    </w:p>
    <w:p w14:paraId="05C08EC0" w14:textId="430D90B9" w:rsidR="006F3F43" w:rsidRPr="006F3F43" w:rsidRDefault="006F3F43" w:rsidP="0066061A">
      <w:pPr>
        <w:spacing w:after="120" w:line="240" w:lineRule="auto"/>
        <w:ind w:left="426" w:right="260"/>
        <w:rPr>
          <w:rFonts w:ascii="Arial" w:hAnsi="Arial" w:cs="Arial"/>
          <w:iCs/>
          <w:sz w:val="20"/>
          <w:szCs w:val="20"/>
        </w:rPr>
      </w:pPr>
      <w:r w:rsidRPr="006F3F43">
        <w:rPr>
          <w:rFonts w:ascii="Arial" w:hAnsi="Arial" w:cs="Arial"/>
          <w:iCs/>
          <w:sz w:val="20"/>
          <w:szCs w:val="20"/>
        </w:rPr>
        <w:t>The mo</w:t>
      </w:r>
      <w:r w:rsidR="00492B66">
        <w:rPr>
          <w:rFonts w:ascii="Arial" w:hAnsi="Arial" w:cs="Arial"/>
          <w:iCs/>
          <w:sz w:val="20"/>
          <w:szCs w:val="20"/>
        </w:rPr>
        <w:t xml:space="preserve">dule will be reassessed by a </w:t>
      </w:r>
      <w:r w:rsidRPr="006F3F43">
        <w:rPr>
          <w:rFonts w:ascii="Arial" w:hAnsi="Arial" w:cs="Arial"/>
          <w:iCs/>
          <w:sz w:val="20"/>
          <w:szCs w:val="20"/>
        </w:rPr>
        <w:t xml:space="preserve">reassessment instrument </w:t>
      </w:r>
      <w:r w:rsidR="00492B66">
        <w:rPr>
          <w:rFonts w:ascii="Arial" w:hAnsi="Arial" w:cs="Arial"/>
          <w:iCs/>
          <w:sz w:val="20"/>
          <w:szCs w:val="20"/>
        </w:rPr>
        <w:t xml:space="preserve">of an essay </w:t>
      </w:r>
      <w:r w:rsidRPr="006F3F43">
        <w:rPr>
          <w:rFonts w:ascii="Arial" w:hAnsi="Arial" w:cs="Arial"/>
          <w:iCs/>
          <w:sz w:val="20"/>
          <w:szCs w:val="20"/>
        </w:rPr>
        <w:t>(</w:t>
      </w:r>
      <w:r w:rsidR="00492B66">
        <w:rPr>
          <w:rFonts w:ascii="Arial" w:hAnsi="Arial" w:cs="Arial"/>
          <w:iCs/>
          <w:sz w:val="20"/>
          <w:szCs w:val="20"/>
        </w:rPr>
        <w:t>100% Coursework)</w:t>
      </w:r>
      <w:r>
        <w:rPr>
          <w:rFonts w:ascii="Arial" w:hAnsi="Arial" w:cs="Arial"/>
          <w:iCs/>
          <w:sz w:val="20"/>
          <w:szCs w:val="20"/>
        </w:rPr>
        <w:t xml:space="preserve">. The reassessment </w:t>
      </w:r>
      <w:r w:rsidR="00492B66">
        <w:rPr>
          <w:rFonts w:ascii="Arial" w:hAnsi="Arial" w:cs="Arial"/>
          <w:iCs/>
          <w:sz w:val="20"/>
          <w:szCs w:val="20"/>
        </w:rPr>
        <w:t xml:space="preserve">will test all of the learning outcomes as indicated against the essay in section 14 below. </w:t>
      </w:r>
    </w:p>
    <w:p w14:paraId="473109D5" w14:textId="026C4ED9" w:rsidR="002037B8" w:rsidRDefault="002037B8">
      <w:pPr>
        <w:rPr>
          <w:rFonts w:ascii="Arial" w:hAnsi="Arial" w:cs="Arial"/>
          <w:b/>
          <w:i/>
          <w:iCs/>
          <w:sz w:val="20"/>
          <w:szCs w:val="20"/>
        </w:rPr>
      </w:pPr>
      <w:r>
        <w:rPr>
          <w:rFonts w:ascii="Arial" w:hAnsi="Arial" w:cs="Arial"/>
          <w:b/>
          <w:i/>
          <w:iCs/>
          <w:sz w:val="20"/>
          <w:szCs w:val="20"/>
        </w:rPr>
        <w:br w:type="page"/>
      </w:r>
    </w:p>
    <w:p w14:paraId="101993DB" w14:textId="77777777" w:rsidR="00373ACB" w:rsidRPr="00373ACB" w:rsidRDefault="00373ACB" w:rsidP="0066061A">
      <w:pPr>
        <w:spacing w:after="120" w:line="240" w:lineRule="auto"/>
        <w:ind w:left="426" w:right="260"/>
        <w:rPr>
          <w:rFonts w:ascii="Arial" w:hAnsi="Arial" w:cs="Arial"/>
          <w:b/>
          <w:i/>
          <w:iCs/>
          <w:sz w:val="20"/>
          <w:szCs w:val="20"/>
        </w:rPr>
      </w:pPr>
    </w:p>
    <w:p w14:paraId="3F52FF0E" w14:textId="77777777" w:rsidR="00274ED7" w:rsidRPr="00373ACB" w:rsidRDefault="00DF2132" w:rsidP="0066061A">
      <w:pPr>
        <w:numPr>
          <w:ilvl w:val="0"/>
          <w:numId w:val="1"/>
        </w:numPr>
        <w:spacing w:after="120" w:line="240" w:lineRule="auto"/>
        <w:ind w:left="426" w:right="260" w:hanging="426"/>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6E0F8B48"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850" w:type="pct"/>
        <w:tblInd w:w="628" w:type="dxa"/>
        <w:tblLook w:val="04A0" w:firstRow="1" w:lastRow="0" w:firstColumn="1" w:lastColumn="0" w:noHBand="0" w:noVBand="1"/>
      </w:tblPr>
      <w:tblGrid>
        <w:gridCol w:w="2346"/>
        <w:gridCol w:w="717"/>
        <w:gridCol w:w="707"/>
        <w:gridCol w:w="707"/>
        <w:gridCol w:w="707"/>
        <w:gridCol w:w="768"/>
        <w:gridCol w:w="705"/>
        <w:gridCol w:w="705"/>
        <w:gridCol w:w="689"/>
      </w:tblGrid>
      <w:tr w:rsidR="009C63CA" w:rsidRPr="00373ACB" w14:paraId="7412EAC0" w14:textId="77777777" w:rsidTr="009C63CA">
        <w:trPr>
          <w:trHeight w:val="397"/>
        </w:trPr>
        <w:tc>
          <w:tcPr>
            <w:tcW w:w="1457" w:type="pct"/>
            <w:shd w:val="clear" w:color="auto" w:fill="D9D9D9" w:themeFill="background1" w:themeFillShade="D9"/>
            <w:vAlign w:val="center"/>
          </w:tcPr>
          <w:p w14:paraId="1B4D62A0" w14:textId="77777777" w:rsidR="009C63CA" w:rsidRPr="00373ACB" w:rsidRDefault="009C63CA" w:rsidP="0066061A">
            <w:pPr>
              <w:spacing w:after="120"/>
              <w:rPr>
                <w:rFonts w:ascii="Arial" w:hAnsi="Arial" w:cs="Arial"/>
                <w:i/>
                <w:sz w:val="20"/>
                <w:szCs w:val="20"/>
              </w:rPr>
            </w:pPr>
            <w:r w:rsidRPr="00373ACB">
              <w:rPr>
                <w:rFonts w:ascii="Arial" w:hAnsi="Arial" w:cs="Arial"/>
                <w:b/>
                <w:sz w:val="20"/>
                <w:szCs w:val="20"/>
              </w:rPr>
              <w:t>Module learning outcome</w:t>
            </w:r>
          </w:p>
        </w:tc>
        <w:tc>
          <w:tcPr>
            <w:tcW w:w="445" w:type="pct"/>
            <w:vAlign w:val="center"/>
          </w:tcPr>
          <w:p w14:paraId="1385807C" w14:textId="77777777" w:rsidR="009C63CA" w:rsidRPr="007103E4" w:rsidRDefault="009C63CA" w:rsidP="0066061A">
            <w:pPr>
              <w:spacing w:after="120"/>
              <w:rPr>
                <w:rFonts w:ascii="Arial" w:hAnsi="Arial" w:cs="Arial"/>
                <w:sz w:val="20"/>
                <w:szCs w:val="20"/>
              </w:rPr>
            </w:pPr>
            <w:r>
              <w:rPr>
                <w:rFonts w:ascii="Arial" w:hAnsi="Arial" w:cs="Arial"/>
                <w:sz w:val="20"/>
                <w:szCs w:val="20"/>
              </w:rPr>
              <w:t>8.1</w:t>
            </w:r>
          </w:p>
        </w:tc>
        <w:tc>
          <w:tcPr>
            <w:tcW w:w="439" w:type="pct"/>
            <w:vAlign w:val="center"/>
          </w:tcPr>
          <w:p w14:paraId="039ED471" w14:textId="77777777" w:rsidR="009C63CA" w:rsidRPr="007103E4" w:rsidRDefault="009C63CA" w:rsidP="0066061A">
            <w:pPr>
              <w:spacing w:after="120"/>
              <w:rPr>
                <w:rFonts w:ascii="Arial" w:hAnsi="Arial" w:cs="Arial"/>
                <w:sz w:val="20"/>
                <w:szCs w:val="20"/>
              </w:rPr>
            </w:pPr>
            <w:r>
              <w:rPr>
                <w:rFonts w:ascii="Arial" w:hAnsi="Arial" w:cs="Arial"/>
                <w:sz w:val="20"/>
                <w:szCs w:val="20"/>
              </w:rPr>
              <w:t>8.2</w:t>
            </w:r>
          </w:p>
        </w:tc>
        <w:tc>
          <w:tcPr>
            <w:tcW w:w="439" w:type="pct"/>
            <w:vAlign w:val="center"/>
          </w:tcPr>
          <w:p w14:paraId="7F4899C9" w14:textId="77777777" w:rsidR="009C63CA" w:rsidRPr="007103E4" w:rsidRDefault="009C63CA" w:rsidP="0066061A">
            <w:pPr>
              <w:spacing w:after="120"/>
              <w:rPr>
                <w:rFonts w:ascii="Arial" w:hAnsi="Arial" w:cs="Arial"/>
                <w:sz w:val="20"/>
                <w:szCs w:val="20"/>
              </w:rPr>
            </w:pPr>
            <w:r>
              <w:rPr>
                <w:rFonts w:ascii="Arial" w:hAnsi="Arial" w:cs="Arial"/>
                <w:sz w:val="20"/>
                <w:szCs w:val="20"/>
              </w:rPr>
              <w:t>8.3</w:t>
            </w:r>
          </w:p>
        </w:tc>
        <w:tc>
          <w:tcPr>
            <w:tcW w:w="439" w:type="pct"/>
            <w:vAlign w:val="center"/>
          </w:tcPr>
          <w:p w14:paraId="1F40B0B4" w14:textId="54BAFD77" w:rsidR="009C63CA" w:rsidRPr="007103E4" w:rsidRDefault="009C63CA" w:rsidP="0066061A">
            <w:pPr>
              <w:spacing w:after="120"/>
              <w:rPr>
                <w:rFonts w:ascii="Arial" w:hAnsi="Arial" w:cs="Arial"/>
                <w:sz w:val="20"/>
                <w:szCs w:val="20"/>
              </w:rPr>
            </w:pPr>
            <w:r>
              <w:rPr>
                <w:rFonts w:ascii="Arial" w:hAnsi="Arial" w:cs="Arial"/>
                <w:sz w:val="20"/>
                <w:szCs w:val="20"/>
              </w:rPr>
              <w:t>8.4</w:t>
            </w:r>
          </w:p>
        </w:tc>
        <w:tc>
          <w:tcPr>
            <w:tcW w:w="477" w:type="pct"/>
            <w:vAlign w:val="center"/>
          </w:tcPr>
          <w:p w14:paraId="0FC7A676" w14:textId="24E0AF59" w:rsidR="009C63CA" w:rsidRPr="007103E4" w:rsidRDefault="009C63CA">
            <w:pPr>
              <w:spacing w:after="120"/>
              <w:rPr>
                <w:rFonts w:ascii="Arial" w:hAnsi="Arial" w:cs="Arial"/>
                <w:sz w:val="20"/>
                <w:szCs w:val="20"/>
              </w:rPr>
            </w:pPr>
            <w:r>
              <w:rPr>
                <w:rFonts w:ascii="Arial" w:hAnsi="Arial" w:cs="Arial"/>
                <w:sz w:val="20"/>
                <w:szCs w:val="20"/>
              </w:rPr>
              <w:t>8.5</w:t>
            </w:r>
          </w:p>
        </w:tc>
        <w:tc>
          <w:tcPr>
            <w:tcW w:w="438" w:type="pct"/>
            <w:vAlign w:val="center"/>
          </w:tcPr>
          <w:p w14:paraId="7949B1C3" w14:textId="5AB3B7C8" w:rsidR="009C63CA" w:rsidRPr="007103E4" w:rsidRDefault="009C63CA">
            <w:pPr>
              <w:spacing w:after="120"/>
              <w:rPr>
                <w:rFonts w:ascii="Arial" w:hAnsi="Arial" w:cs="Arial"/>
                <w:sz w:val="20"/>
                <w:szCs w:val="20"/>
              </w:rPr>
            </w:pPr>
            <w:r>
              <w:rPr>
                <w:rFonts w:ascii="Arial" w:hAnsi="Arial" w:cs="Arial"/>
                <w:sz w:val="20"/>
                <w:szCs w:val="20"/>
              </w:rPr>
              <w:t>9.1</w:t>
            </w:r>
          </w:p>
        </w:tc>
        <w:tc>
          <w:tcPr>
            <w:tcW w:w="438" w:type="pct"/>
            <w:vAlign w:val="center"/>
          </w:tcPr>
          <w:p w14:paraId="70C2D5F6" w14:textId="3B9E5450" w:rsidR="009C63CA" w:rsidRPr="007103E4" w:rsidRDefault="009C63CA">
            <w:pPr>
              <w:spacing w:after="120"/>
              <w:rPr>
                <w:rFonts w:ascii="Arial" w:hAnsi="Arial" w:cs="Arial"/>
                <w:sz w:val="20"/>
                <w:szCs w:val="20"/>
              </w:rPr>
            </w:pPr>
            <w:r>
              <w:rPr>
                <w:rFonts w:ascii="Arial" w:hAnsi="Arial" w:cs="Arial"/>
                <w:sz w:val="20"/>
                <w:szCs w:val="20"/>
              </w:rPr>
              <w:t>9.2</w:t>
            </w:r>
          </w:p>
        </w:tc>
        <w:tc>
          <w:tcPr>
            <w:tcW w:w="428" w:type="pct"/>
            <w:vAlign w:val="center"/>
          </w:tcPr>
          <w:p w14:paraId="7D97410A" w14:textId="4415670A" w:rsidR="009C63CA" w:rsidRPr="007103E4" w:rsidRDefault="009C63CA">
            <w:pPr>
              <w:spacing w:after="120"/>
              <w:rPr>
                <w:rFonts w:ascii="Arial" w:hAnsi="Arial" w:cs="Arial"/>
                <w:sz w:val="20"/>
                <w:szCs w:val="20"/>
              </w:rPr>
            </w:pPr>
            <w:r>
              <w:rPr>
                <w:rFonts w:ascii="Arial" w:hAnsi="Arial" w:cs="Arial"/>
                <w:sz w:val="20"/>
                <w:szCs w:val="20"/>
              </w:rPr>
              <w:t>9.3</w:t>
            </w:r>
          </w:p>
        </w:tc>
      </w:tr>
      <w:tr w:rsidR="009C63CA" w:rsidRPr="00373ACB" w14:paraId="442EB578" w14:textId="77777777" w:rsidTr="009C63CA">
        <w:trPr>
          <w:trHeight w:val="397"/>
        </w:trPr>
        <w:tc>
          <w:tcPr>
            <w:tcW w:w="1457" w:type="pct"/>
            <w:shd w:val="clear" w:color="auto" w:fill="D9D9D9" w:themeFill="background1" w:themeFillShade="D9"/>
            <w:vAlign w:val="center"/>
          </w:tcPr>
          <w:p w14:paraId="14C4ADBB" w14:textId="77777777" w:rsidR="009C63CA" w:rsidRPr="00373ACB" w:rsidRDefault="009C63CA"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45" w:type="pct"/>
            <w:vAlign w:val="center"/>
          </w:tcPr>
          <w:p w14:paraId="1ABEC998" w14:textId="77777777" w:rsidR="009C63CA" w:rsidRPr="007103E4" w:rsidRDefault="009C63CA" w:rsidP="0066061A">
            <w:pPr>
              <w:spacing w:after="120"/>
              <w:rPr>
                <w:rFonts w:ascii="Arial" w:hAnsi="Arial" w:cs="Arial"/>
                <w:b/>
                <w:sz w:val="20"/>
                <w:szCs w:val="20"/>
              </w:rPr>
            </w:pPr>
          </w:p>
        </w:tc>
        <w:tc>
          <w:tcPr>
            <w:tcW w:w="439" w:type="pct"/>
            <w:vAlign w:val="center"/>
          </w:tcPr>
          <w:p w14:paraId="2448864A" w14:textId="77777777" w:rsidR="009C63CA" w:rsidRPr="007103E4" w:rsidRDefault="009C63CA" w:rsidP="0066061A">
            <w:pPr>
              <w:spacing w:after="120"/>
              <w:rPr>
                <w:rFonts w:ascii="Arial" w:hAnsi="Arial" w:cs="Arial"/>
                <w:b/>
                <w:sz w:val="20"/>
                <w:szCs w:val="20"/>
              </w:rPr>
            </w:pPr>
          </w:p>
        </w:tc>
        <w:tc>
          <w:tcPr>
            <w:tcW w:w="439" w:type="pct"/>
            <w:vAlign w:val="center"/>
          </w:tcPr>
          <w:p w14:paraId="0D5495F5" w14:textId="77777777" w:rsidR="009C63CA" w:rsidRPr="007103E4" w:rsidRDefault="009C63CA" w:rsidP="0066061A">
            <w:pPr>
              <w:spacing w:after="120"/>
              <w:rPr>
                <w:rFonts w:ascii="Arial" w:hAnsi="Arial" w:cs="Arial"/>
                <w:b/>
                <w:sz w:val="20"/>
                <w:szCs w:val="20"/>
              </w:rPr>
            </w:pPr>
          </w:p>
        </w:tc>
        <w:tc>
          <w:tcPr>
            <w:tcW w:w="439" w:type="pct"/>
            <w:vAlign w:val="center"/>
          </w:tcPr>
          <w:p w14:paraId="0109A004" w14:textId="77777777" w:rsidR="009C63CA" w:rsidRPr="007103E4" w:rsidRDefault="009C63CA" w:rsidP="0066061A">
            <w:pPr>
              <w:spacing w:after="120"/>
              <w:rPr>
                <w:rFonts w:ascii="Arial" w:hAnsi="Arial" w:cs="Arial"/>
                <w:b/>
                <w:sz w:val="20"/>
                <w:szCs w:val="20"/>
              </w:rPr>
            </w:pPr>
          </w:p>
        </w:tc>
        <w:tc>
          <w:tcPr>
            <w:tcW w:w="477" w:type="pct"/>
            <w:vAlign w:val="center"/>
          </w:tcPr>
          <w:p w14:paraId="694C5BEB" w14:textId="77777777" w:rsidR="009C63CA" w:rsidRPr="007103E4" w:rsidRDefault="009C63CA" w:rsidP="009C63CA">
            <w:pPr>
              <w:spacing w:after="120"/>
              <w:ind w:left="-188"/>
              <w:rPr>
                <w:rFonts w:ascii="Arial" w:hAnsi="Arial" w:cs="Arial"/>
                <w:b/>
                <w:sz w:val="20"/>
                <w:szCs w:val="20"/>
              </w:rPr>
            </w:pPr>
          </w:p>
        </w:tc>
        <w:tc>
          <w:tcPr>
            <w:tcW w:w="438" w:type="pct"/>
            <w:vAlign w:val="center"/>
          </w:tcPr>
          <w:p w14:paraId="316F357E" w14:textId="77777777" w:rsidR="009C63CA" w:rsidRPr="007103E4" w:rsidRDefault="009C63CA" w:rsidP="0066061A">
            <w:pPr>
              <w:spacing w:after="120"/>
              <w:rPr>
                <w:rFonts w:ascii="Arial" w:hAnsi="Arial" w:cs="Arial"/>
                <w:b/>
                <w:sz w:val="20"/>
                <w:szCs w:val="20"/>
              </w:rPr>
            </w:pPr>
          </w:p>
        </w:tc>
        <w:tc>
          <w:tcPr>
            <w:tcW w:w="438" w:type="pct"/>
            <w:vAlign w:val="center"/>
          </w:tcPr>
          <w:p w14:paraId="1EFBFA70" w14:textId="77777777" w:rsidR="009C63CA" w:rsidRPr="007103E4" w:rsidRDefault="009C63CA" w:rsidP="0066061A">
            <w:pPr>
              <w:spacing w:after="120"/>
              <w:rPr>
                <w:rFonts w:ascii="Arial" w:hAnsi="Arial" w:cs="Arial"/>
                <w:b/>
                <w:sz w:val="20"/>
                <w:szCs w:val="20"/>
              </w:rPr>
            </w:pPr>
          </w:p>
        </w:tc>
        <w:tc>
          <w:tcPr>
            <w:tcW w:w="428" w:type="pct"/>
            <w:vAlign w:val="center"/>
          </w:tcPr>
          <w:p w14:paraId="43C34F83" w14:textId="77777777" w:rsidR="009C63CA" w:rsidRPr="007103E4" w:rsidRDefault="009C63CA" w:rsidP="0066061A">
            <w:pPr>
              <w:spacing w:after="120"/>
              <w:rPr>
                <w:rFonts w:ascii="Arial" w:hAnsi="Arial" w:cs="Arial"/>
                <w:b/>
                <w:sz w:val="20"/>
                <w:szCs w:val="20"/>
              </w:rPr>
            </w:pPr>
          </w:p>
        </w:tc>
      </w:tr>
      <w:tr w:rsidR="009C63CA" w:rsidRPr="00373ACB" w14:paraId="284EF10B" w14:textId="77777777" w:rsidTr="009C63CA">
        <w:trPr>
          <w:trHeight w:val="397"/>
        </w:trPr>
        <w:tc>
          <w:tcPr>
            <w:tcW w:w="1457" w:type="pct"/>
            <w:vAlign w:val="center"/>
          </w:tcPr>
          <w:p w14:paraId="4EF48533" w14:textId="44C4AD93" w:rsidR="009C63CA" w:rsidRPr="007103E4" w:rsidRDefault="009C63CA" w:rsidP="0066061A">
            <w:pPr>
              <w:spacing w:after="120"/>
              <w:rPr>
                <w:rFonts w:ascii="Arial" w:hAnsi="Arial" w:cs="Arial"/>
                <w:sz w:val="20"/>
                <w:szCs w:val="20"/>
              </w:rPr>
            </w:pPr>
            <w:r w:rsidRPr="007103E4">
              <w:rPr>
                <w:rFonts w:ascii="Arial" w:hAnsi="Arial" w:cs="Arial"/>
                <w:sz w:val="20"/>
                <w:szCs w:val="20"/>
              </w:rPr>
              <w:t>Lectures</w:t>
            </w:r>
          </w:p>
        </w:tc>
        <w:tc>
          <w:tcPr>
            <w:tcW w:w="445" w:type="pct"/>
            <w:vAlign w:val="center"/>
          </w:tcPr>
          <w:p w14:paraId="3B7C7A2D" w14:textId="498641F0" w:rsidR="009C63CA" w:rsidRPr="007103E4" w:rsidRDefault="009C63CA" w:rsidP="0066061A">
            <w:pPr>
              <w:spacing w:after="120"/>
              <w:rPr>
                <w:rFonts w:ascii="Arial" w:hAnsi="Arial" w:cs="Arial"/>
                <w:sz w:val="20"/>
                <w:szCs w:val="20"/>
              </w:rPr>
            </w:pPr>
            <w:r>
              <w:rPr>
                <w:rFonts w:ascii="Arial" w:hAnsi="Arial" w:cs="Arial"/>
                <w:sz w:val="20"/>
                <w:szCs w:val="20"/>
              </w:rPr>
              <w:t>x</w:t>
            </w:r>
          </w:p>
        </w:tc>
        <w:tc>
          <w:tcPr>
            <w:tcW w:w="439" w:type="pct"/>
            <w:vAlign w:val="center"/>
          </w:tcPr>
          <w:p w14:paraId="3167D522" w14:textId="5AFFE06B" w:rsidR="009C63CA" w:rsidRPr="007103E4" w:rsidRDefault="009C63CA" w:rsidP="0066061A">
            <w:pPr>
              <w:spacing w:after="120"/>
              <w:rPr>
                <w:rFonts w:ascii="Arial" w:hAnsi="Arial" w:cs="Arial"/>
                <w:sz w:val="20"/>
                <w:szCs w:val="20"/>
              </w:rPr>
            </w:pPr>
            <w:r>
              <w:rPr>
                <w:rFonts w:ascii="Arial" w:hAnsi="Arial" w:cs="Arial"/>
                <w:sz w:val="20"/>
                <w:szCs w:val="20"/>
              </w:rPr>
              <w:t>x</w:t>
            </w:r>
          </w:p>
        </w:tc>
        <w:tc>
          <w:tcPr>
            <w:tcW w:w="439" w:type="pct"/>
            <w:vAlign w:val="center"/>
          </w:tcPr>
          <w:p w14:paraId="77684972" w14:textId="1E5CC897" w:rsidR="009C63CA" w:rsidRPr="007103E4" w:rsidRDefault="009C63CA" w:rsidP="0066061A">
            <w:pPr>
              <w:spacing w:after="120"/>
              <w:rPr>
                <w:rFonts w:ascii="Arial" w:hAnsi="Arial" w:cs="Arial"/>
                <w:sz w:val="20"/>
                <w:szCs w:val="20"/>
              </w:rPr>
            </w:pPr>
            <w:r>
              <w:rPr>
                <w:rFonts w:ascii="Arial" w:hAnsi="Arial" w:cs="Arial"/>
                <w:sz w:val="20"/>
                <w:szCs w:val="20"/>
              </w:rPr>
              <w:t>x</w:t>
            </w:r>
          </w:p>
        </w:tc>
        <w:tc>
          <w:tcPr>
            <w:tcW w:w="439" w:type="pct"/>
            <w:vAlign w:val="center"/>
          </w:tcPr>
          <w:p w14:paraId="76D6A148" w14:textId="77777777" w:rsidR="009C63CA" w:rsidRPr="007103E4" w:rsidRDefault="009C63CA" w:rsidP="0066061A">
            <w:pPr>
              <w:spacing w:after="120"/>
              <w:rPr>
                <w:rFonts w:ascii="Arial" w:hAnsi="Arial" w:cs="Arial"/>
                <w:sz w:val="20"/>
                <w:szCs w:val="20"/>
              </w:rPr>
            </w:pPr>
          </w:p>
        </w:tc>
        <w:tc>
          <w:tcPr>
            <w:tcW w:w="477" w:type="pct"/>
            <w:vAlign w:val="center"/>
          </w:tcPr>
          <w:p w14:paraId="22F64590" w14:textId="77777777" w:rsidR="009C63CA" w:rsidRPr="007103E4" w:rsidRDefault="009C63CA" w:rsidP="0066061A">
            <w:pPr>
              <w:spacing w:after="120"/>
              <w:rPr>
                <w:rFonts w:ascii="Arial" w:hAnsi="Arial" w:cs="Arial"/>
                <w:sz w:val="20"/>
                <w:szCs w:val="20"/>
              </w:rPr>
            </w:pPr>
          </w:p>
        </w:tc>
        <w:tc>
          <w:tcPr>
            <w:tcW w:w="438" w:type="pct"/>
            <w:vAlign w:val="center"/>
          </w:tcPr>
          <w:p w14:paraId="5CD76945" w14:textId="77777777" w:rsidR="009C63CA" w:rsidRPr="007103E4" w:rsidRDefault="009C63CA" w:rsidP="0066061A">
            <w:pPr>
              <w:spacing w:after="120"/>
              <w:rPr>
                <w:rFonts w:ascii="Arial" w:hAnsi="Arial" w:cs="Arial"/>
                <w:sz w:val="20"/>
                <w:szCs w:val="20"/>
              </w:rPr>
            </w:pPr>
          </w:p>
        </w:tc>
        <w:tc>
          <w:tcPr>
            <w:tcW w:w="438" w:type="pct"/>
            <w:vAlign w:val="center"/>
          </w:tcPr>
          <w:p w14:paraId="2CAF656C" w14:textId="77777777" w:rsidR="009C63CA" w:rsidRPr="007103E4" w:rsidRDefault="009C63CA" w:rsidP="0066061A">
            <w:pPr>
              <w:spacing w:after="120"/>
              <w:rPr>
                <w:rFonts w:ascii="Arial" w:hAnsi="Arial" w:cs="Arial"/>
                <w:sz w:val="20"/>
                <w:szCs w:val="20"/>
              </w:rPr>
            </w:pPr>
          </w:p>
        </w:tc>
        <w:tc>
          <w:tcPr>
            <w:tcW w:w="428" w:type="pct"/>
            <w:vAlign w:val="center"/>
          </w:tcPr>
          <w:p w14:paraId="5FD2B427" w14:textId="77777777" w:rsidR="009C63CA" w:rsidRPr="007103E4" w:rsidRDefault="009C63CA" w:rsidP="0066061A">
            <w:pPr>
              <w:spacing w:after="120"/>
              <w:rPr>
                <w:rFonts w:ascii="Arial" w:hAnsi="Arial" w:cs="Arial"/>
                <w:sz w:val="20"/>
                <w:szCs w:val="20"/>
              </w:rPr>
            </w:pPr>
          </w:p>
        </w:tc>
      </w:tr>
      <w:tr w:rsidR="009C63CA" w:rsidRPr="00373ACB" w14:paraId="5F1371FC" w14:textId="77777777" w:rsidTr="009C63CA">
        <w:trPr>
          <w:trHeight w:val="397"/>
        </w:trPr>
        <w:tc>
          <w:tcPr>
            <w:tcW w:w="1457" w:type="pct"/>
            <w:vAlign w:val="center"/>
          </w:tcPr>
          <w:p w14:paraId="7781E858" w14:textId="73FB0177" w:rsidR="009C63CA" w:rsidRPr="007103E4" w:rsidRDefault="009C63CA" w:rsidP="00865CBA">
            <w:pPr>
              <w:spacing w:after="120"/>
              <w:rPr>
                <w:rFonts w:ascii="Arial" w:hAnsi="Arial" w:cs="Arial"/>
                <w:sz w:val="20"/>
                <w:szCs w:val="20"/>
              </w:rPr>
            </w:pPr>
            <w:r w:rsidRPr="007103E4">
              <w:rPr>
                <w:rFonts w:ascii="Arial" w:hAnsi="Arial" w:cs="Arial"/>
                <w:sz w:val="20"/>
                <w:szCs w:val="20"/>
              </w:rPr>
              <w:t>Seminars</w:t>
            </w:r>
          </w:p>
        </w:tc>
        <w:tc>
          <w:tcPr>
            <w:tcW w:w="445" w:type="pct"/>
            <w:vAlign w:val="center"/>
          </w:tcPr>
          <w:p w14:paraId="28212E39" w14:textId="77777777" w:rsidR="009C63CA" w:rsidRPr="007103E4" w:rsidRDefault="009C63CA" w:rsidP="0066061A">
            <w:pPr>
              <w:spacing w:after="120"/>
              <w:rPr>
                <w:rFonts w:ascii="Arial" w:hAnsi="Arial" w:cs="Arial"/>
                <w:sz w:val="20"/>
                <w:szCs w:val="20"/>
              </w:rPr>
            </w:pPr>
          </w:p>
        </w:tc>
        <w:tc>
          <w:tcPr>
            <w:tcW w:w="439" w:type="pct"/>
            <w:vAlign w:val="center"/>
          </w:tcPr>
          <w:p w14:paraId="1BF6F8E8" w14:textId="77777777" w:rsidR="009C63CA" w:rsidRPr="007103E4" w:rsidRDefault="009C63CA" w:rsidP="0066061A">
            <w:pPr>
              <w:spacing w:after="120"/>
              <w:rPr>
                <w:rFonts w:ascii="Arial" w:hAnsi="Arial" w:cs="Arial"/>
                <w:sz w:val="20"/>
                <w:szCs w:val="20"/>
              </w:rPr>
            </w:pPr>
          </w:p>
        </w:tc>
        <w:tc>
          <w:tcPr>
            <w:tcW w:w="439" w:type="pct"/>
            <w:vAlign w:val="center"/>
          </w:tcPr>
          <w:p w14:paraId="6CB79899" w14:textId="3E39ECB9" w:rsidR="009C63CA" w:rsidRPr="007103E4" w:rsidRDefault="009C63CA" w:rsidP="0066061A">
            <w:pPr>
              <w:spacing w:after="120"/>
              <w:rPr>
                <w:rFonts w:ascii="Arial" w:hAnsi="Arial" w:cs="Arial"/>
                <w:sz w:val="20"/>
                <w:szCs w:val="20"/>
              </w:rPr>
            </w:pPr>
            <w:r>
              <w:rPr>
                <w:rFonts w:ascii="Arial" w:hAnsi="Arial" w:cs="Arial"/>
                <w:sz w:val="20"/>
                <w:szCs w:val="20"/>
              </w:rPr>
              <w:t>x</w:t>
            </w:r>
          </w:p>
        </w:tc>
        <w:tc>
          <w:tcPr>
            <w:tcW w:w="439" w:type="pct"/>
            <w:vAlign w:val="center"/>
          </w:tcPr>
          <w:p w14:paraId="5A6607E3" w14:textId="2F709425" w:rsidR="009C63CA" w:rsidRPr="007103E4" w:rsidRDefault="009C63CA" w:rsidP="0066061A">
            <w:pPr>
              <w:spacing w:after="120"/>
              <w:rPr>
                <w:rFonts w:ascii="Arial" w:hAnsi="Arial" w:cs="Arial"/>
                <w:sz w:val="20"/>
                <w:szCs w:val="20"/>
              </w:rPr>
            </w:pPr>
            <w:r>
              <w:rPr>
                <w:rFonts w:ascii="Arial" w:hAnsi="Arial" w:cs="Arial"/>
                <w:sz w:val="20"/>
                <w:szCs w:val="20"/>
              </w:rPr>
              <w:t>x</w:t>
            </w:r>
          </w:p>
        </w:tc>
        <w:tc>
          <w:tcPr>
            <w:tcW w:w="477" w:type="pct"/>
            <w:vAlign w:val="center"/>
          </w:tcPr>
          <w:p w14:paraId="1749754C" w14:textId="358A9F75" w:rsidR="009C63CA" w:rsidRPr="007103E4" w:rsidRDefault="009C63CA" w:rsidP="0066061A">
            <w:pPr>
              <w:spacing w:after="120"/>
              <w:rPr>
                <w:rFonts w:ascii="Arial" w:hAnsi="Arial" w:cs="Arial"/>
                <w:sz w:val="20"/>
                <w:szCs w:val="20"/>
              </w:rPr>
            </w:pPr>
            <w:r>
              <w:rPr>
                <w:rFonts w:ascii="Arial" w:hAnsi="Arial" w:cs="Arial"/>
                <w:sz w:val="20"/>
                <w:szCs w:val="20"/>
              </w:rPr>
              <w:t>x</w:t>
            </w:r>
          </w:p>
        </w:tc>
        <w:tc>
          <w:tcPr>
            <w:tcW w:w="438" w:type="pct"/>
            <w:vAlign w:val="center"/>
          </w:tcPr>
          <w:p w14:paraId="78259250" w14:textId="59D66333" w:rsidR="009C63CA" w:rsidRPr="007103E4" w:rsidRDefault="009C63CA" w:rsidP="0066061A">
            <w:pPr>
              <w:spacing w:after="120"/>
              <w:rPr>
                <w:rFonts w:ascii="Arial" w:hAnsi="Arial" w:cs="Arial"/>
                <w:sz w:val="20"/>
                <w:szCs w:val="20"/>
              </w:rPr>
            </w:pPr>
            <w:r>
              <w:rPr>
                <w:rFonts w:ascii="Arial" w:hAnsi="Arial" w:cs="Arial"/>
                <w:sz w:val="20"/>
                <w:szCs w:val="20"/>
              </w:rPr>
              <w:t>x</w:t>
            </w:r>
          </w:p>
        </w:tc>
        <w:tc>
          <w:tcPr>
            <w:tcW w:w="438" w:type="pct"/>
            <w:vAlign w:val="center"/>
          </w:tcPr>
          <w:p w14:paraId="27DD5AA5" w14:textId="5D17704B" w:rsidR="009C63CA" w:rsidRPr="007103E4" w:rsidRDefault="009C63CA" w:rsidP="0066061A">
            <w:pPr>
              <w:spacing w:after="120"/>
              <w:rPr>
                <w:rFonts w:ascii="Arial" w:hAnsi="Arial" w:cs="Arial"/>
                <w:sz w:val="20"/>
                <w:szCs w:val="20"/>
              </w:rPr>
            </w:pPr>
            <w:r>
              <w:rPr>
                <w:rFonts w:ascii="Arial" w:hAnsi="Arial" w:cs="Arial"/>
                <w:sz w:val="20"/>
                <w:szCs w:val="20"/>
              </w:rPr>
              <w:t>x</w:t>
            </w:r>
          </w:p>
        </w:tc>
        <w:tc>
          <w:tcPr>
            <w:tcW w:w="428" w:type="pct"/>
            <w:vAlign w:val="center"/>
          </w:tcPr>
          <w:p w14:paraId="71EB2449" w14:textId="5CBBE71E" w:rsidR="009C63CA" w:rsidRPr="007103E4" w:rsidRDefault="009C63CA" w:rsidP="0066061A">
            <w:pPr>
              <w:spacing w:after="120"/>
              <w:rPr>
                <w:rFonts w:ascii="Arial" w:hAnsi="Arial" w:cs="Arial"/>
                <w:sz w:val="20"/>
                <w:szCs w:val="20"/>
              </w:rPr>
            </w:pPr>
            <w:r>
              <w:rPr>
                <w:rFonts w:ascii="Arial" w:hAnsi="Arial" w:cs="Arial"/>
                <w:sz w:val="20"/>
                <w:szCs w:val="20"/>
              </w:rPr>
              <w:t>x</w:t>
            </w:r>
          </w:p>
        </w:tc>
      </w:tr>
      <w:tr w:rsidR="009C63CA" w:rsidRPr="00373ACB" w14:paraId="043D8023" w14:textId="77777777" w:rsidTr="009C63CA">
        <w:trPr>
          <w:trHeight w:val="397"/>
        </w:trPr>
        <w:tc>
          <w:tcPr>
            <w:tcW w:w="1457" w:type="pct"/>
            <w:vAlign w:val="center"/>
          </w:tcPr>
          <w:p w14:paraId="0808B03C" w14:textId="77777777" w:rsidR="009C63CA" w:rsidRPr="007103E4" w:rsidRDefault="009C63CA" w:rsidP="0066061A">
            <w:pPr>
              <w:spacing w:after="120"/>
              <w:rPr>
                <w:rFonts w:ascii="Arial" w:hAnsi="Arial" w:cs="Arial"/>
                <w:sz w:val="20"/>
                <w:szCs w:val="20"/>
              </w:rPr>
            </w:pPr>
            <w:r>
              <w:rPr>
                <w:rFonts w:ascii="Arial" w:hAnsi="Arial" w:cs="Arial"/>
                <w:sz w:val="20"/>
                <w:szCs w:val="20"/>
              </w:rPr>
              <w:t>Private Study</w:t>
            </w:r>
          </w:p>
        </w:tc>
        <w:tc>
          <w:tcPr>
            <w:tcW w:w="445" w:type="pct"/>
            <w:vAlign w:val="center"/>
          </w:tcPr>
          <w:p w14:paraId="32BEAF14" w14:textId="5302C8AC" w:rsidR="009C63CA" w:rsidRPr="007103E4" w:rsidRDefault="009C63CA" w:rsidP="0066061A">
            <w:pPr>
              <w:spacing w:after="120"/>
              <w:rPr>
                <w:rFonts w:ascii="Arial" w:hAnsi="Arial" w:cs="Arial"/>
                <w:sz w:val="20"/>
                <w:szCs w:val="20"/>
              </w:rPr>
            </w:pPr>
            <w:r>
              <w:rPr>
                <w:rFonts w:ascii="Arial" w:hAnsi="Arial" w:cs="Arial"/>
                <w:sz w:val="20"/>
                <w:szCs w:val="20"/>
              </w:rPr>
              <w:t>x</w:t>
            </w:r>
          </w:p>
        </w:tc>
        <w:tc>
          <w:tcPr>
            <w:tcW w:w="439" w:type="pct"/>
            <w:vAlign w:val="center"/>
          </w:tcPr>
          <w:p w14:paraId="584F5759" w14:textId="0BADAE67" w:rsidR="009C63CA" w:rsidRPr="007103E4" w:rsidRDefault="009C63CA" w:rsidP="0066061A">
            <w:pPr>
              <w:spacing w:after="120"/>
              <w:rPr>
                <w:rFonts w:ascii="Arial" w:hAnsi="Arial" w:cs="Arial"/>
                <w:sz w:val="20"/>
                <w:szCs w:val="20"/>
              </w:rPr>
            </w:pPr>
            <w:r>
              <w:rPr>
                <w:rFonts w:ascii="Arial" w:hAnsi="Arial" w:cs="Arial"/>
                <w:sz w:val="20"/>
                <w:szCs w:val="20"/>
              </w:rPr>
              <w:t>x</w:t>
            </w:r>
          </w:p>
        </w:tc>
        <w:tc>
          <w:tcPr>
            <w:tcW w:w="439" w:type="pct"/>
            <w:vAlign w:val="center"/>
          </w:tcPr>
          <w:p w14:paraId="76D6DD4D" w14:textId="6FDD78DA" w:rsidR="009C63CA" w:rsidRPr="007103E4" w:rsidRDefault="009C63CA" w:rsidP="0066061A">
            <w:pPr>
              <w:spacing w:after="120"/>
              <w:rPr>
                <w:rFonts w:ascii="Arial" w:hAnsi="Arial" w:cs="Arial"/>
                <w:sz w:val="20"/>
                <w:szCs w:val="20"/>
              </w:rPr>
            </w:pPr>
            <w:r>
              <w:rPr>
                <w:rFonts w:ascii="Arial" w:hAnsi="Arial" w:cs="Arial"/>
                <w:sz w:val="20"/>
                <w:szCs w:val="20"/>
              </w:rPr>
              <w:t>x</w:t>
            </w:r>
          </w:p>
        </w:tc>
        <w:tc>
          <w:tcPr>
            <w:tcW w:w="439" w:type="pct"/>
            <w:vAlign w:val="center"/>
          </w:tcPr>
          <w:p w14:paraId="2BF4C95C" w14:textId="43B01881" w:rsidR="009C63CA" w:rsidRPr="007103E4" w:rsidRDefault="009C63CA" w:rsidP="0066061A">
            <w:pPr>
              <w:spacing w:after="120"/>
              <w:rPr>
                <w:rFonts w:ascii="Arial" w:hAnsi="Arial" w:cs="Arial"/>
                <w:sz w:val="20"/>
                <w:szCs w:val="20"/>
              </w:rPr>
            </w:pPr>
            <w:r>
              <w:rPr>
                <w:rFonts w:ascii="Arial" w:hAnsi="Arial" w:cs="Arial"/>
                <w:sz w:val="20"/>
                <w:szCs w:val="20"/>
              </w:rPr>
              <w:t>x</w:t>
            </w:r>
          </w:p>
        </w:tc>
        <w:tc>
          <w:tcPr>
            <w:tcW w:w="477" w:type="pct"/>
            <w:vAlign w:val="center"/>
          </w:tcPr>
          <w:p w14:paraId="68DDA7F6" w14:textId="76914FD7" w:rsidR="009C63CA" w:rsidRPr="007103E4" w:rsidRDefault="009C63CA" w:rsidP="0066061A">
            <w:pPr>
              <w:spacing w:after="120"/>
              <w:rPr>
                <w:rFonts w:ascii="Arial" w:hAnsi="Arial" w:cs="Arial"/>
                <w:sz w:val="20"/>
                <w:szCs w:val="20"/>
              </w:rPr>
            </w:pPr>
            <w:r>
              <w:rPr>
                <w:rFonts w:ascii="Arial" w:hAnsi="Arial" w:cs="Arial"/>
                <w:sz w:val="20"/>
                <w:szCs w:val="20"/>
              </w:rPr>
              <w:t>x</w:t>
            </w:r>
          </w:p>
        </w:tc>
        <w:tc>
          <w:tcPr>
            <w:tcW w:w="438" w:type="pct"/>
            <w:vAlign w:val="center"/>
          </w:tcPr>
          <w:p w14:paraId="1A816488" w14:textId="4BE22824" w:rsidR="009C63CA" w:rsidRPr="007103E4" w:rsidRDefault="009C63CA" w:rsidP="0066061A">
            <w:pPr>
              <w:spacing w:after="120"/>
              <w:rPr>
                <w:rFonts w:ascii="Arial" w:hAnsi="Arial" w:cs="Arial"/>
                <w:sz w:val="20"/>
                <w:szCs w:val="20"/>
              </w:rPr>
            </w:pPr>
            <w:r>
              <w:rPr>
                <w:rFonts w:ascii="Arial" w:hAnsi="Arial" w:cs="Arial"/>
                <w:sz w:val="20"/>
                <w:szCs w:val="20"/>
              </w:rPr>
              <w:t>x</w:t>
            </w:r>
          </w:p>
        </w:tc>
        <w:tc>
          <w:tcPr>
            <w:tcW w:w="438" w:type="pct"/>
            <w:vAlign w:val="center"/>
          </w:tcPr>
          <w:p w14:paraId="53FD9C19" w14:textId="365BF7DF" w:rsidR="009C63CA" w:rsidRPr="007103E4" w:rsidRDefault="009C63CA" w:rsidP="0066061A">
            <w:pPr>
              <w:spacing w:after="120"/>
              <w:rPr>
                <w:rFonts w:ascii="Arial" w:hAnsi="Arial" w:cs="Arial"/>
                <w:sz w:val="20"/>
                <w:szCs w:val="20"/>
              </w:rPr>
            </w:pPr>
            <w:r>
              <w:rPr>
                <w:rFonts w:ascii="Arial" w:hAnsi="Arial" w:cs="Arial"/>
                <w:sz w:val="20"/>
                <w:szCs w:val="20"/>
              </w:rPr>
              <w:t>x</w:t>
            </w:r>
          </w:p>
        </w:tc>
        <w:tc>
          <w:tcPr>
            <w:tcW w:w="428" w:type="pct"/>
            <w:vAlign w:val="center"/>
          </w:tcPr>
          <w:p w14:paraId="435A44EC" w14:textId="4D3B14EE" w:rsidR="009C63CA" w:rsidRPr="007103E4" w:rsidRDefault="009C63CA" w:rsidP="0066061A">
            <w:pPr>
              <w:spacing w:after="120"/>
              <w:rPr>
                <w:rFonts w:ascii="Arial" w:hAnsi="Arial" w:cs="Arial"/>
                <w:sz w:val="20"/>
                <w:szCs w:val="20"/>
              </w:rPr>
            </w:pPr>
            <w:r>
              <w:rPr>
                <w:rFonts w:ascii="Arial" w:hAnsi="Arial" w:cs="Arial"/>
                <w:sz w:val="20"/>
                <w:szCs w:val="20"/>
              </w:rPr>
              <w:t>x</w:t>
            </w:r>
          </w:p>
        </w:tc>
      </w:tr>
      <w:tr w:rsidR="009C63CA" w:rsidRPr="00373ACB" w14:paraId="092F870D" w14:textId="77777777" w:rsidTr="009C63CA">
        <w:trPr>
          <w:trHeight w:val="397"/>
        </w:trPr>
        <w:tc>
          <w:tcPr>
            <w:tcW w:w="1457" w:type="pct"/>
            <w:shd w:val="clear" w:color="auto" w:fill="D9D9D9" w:themeFill="background1" w:themeFillShade="D9"/>
            <w:vAlign w:val="center"/>
          </w:tcPr>
          <w:p w14:paraId="46697FD4" w14:textId="77777777" w:rsidR="009C63CA" w:rsidRPr="00373ACB" w:rsidRDefault="009C63CA" w:rsidP="0066061A">
            <w:pPr>
              <w:spacing w:after="120"/>
              <w:rPr>
                <w:rFonts w:ascii="Arial" w:hAnsi="Arial" w:cs="Arial"/>
                <w:b/>
                <w:sz w:val="20"/>
                <w:szCs w:val="20"/>
              </w:rPr>
            </w:pPr>
            <w:r w:rsidRPr="00373ACB">
              <w:rPr>
                <w:rFonts w:ascii="Arial" w:hAnsi="Arial" w:cs="Arial"/>
                <w:b/>
                <w:sz w:val="20"/>
                <w:szCs w:val="20"/>
              </w:rPr>
              <w:t>Assessment method</w:t>
            </w:r>
          </w:p>
        </w:tc>
        <w:tc>
          <w:tcPr>
            <w:tcW w:w="445" w:type="pct"/>
            <w:vAlign w:val="center"/>
          </w:tcPr>
          <w:p w14:paraId="058BAA73" w14:textId="77777777" w:rsidR="009C63CA" w:rsidRPr="007103E4" w:rsidRDefault="009C63CA" w:rsidP="0066061A">
            <w:pPr>
              <w:spacing w:after="120"/>
              <w:rPr>
                <w:rFonts w:ascii="Arial" w:hAnsi="Arial" w:cs="Arial"/>
                <w:b/>
                <w:sz w:val="20"/>
                <w:szCs w:val="20"/>
              </w:rPr>
            </w:pPr>
          </w:p>
        </w:tc>
        <w:tc>
          <w:tcPr>
            <w:tcW w:w="439" w:type="pct"/>
            <w:vAlign w:val="center"/>
          </w:tcPr>
          <w:p w14:paraId="5A16C376" w14:textId="77777777" w:rsidR="009C63CA" w:rsidRPr="007103E4" w:rsidRDefault="009C63CA" w:rsidP="0066061A">
            <w:pPr>
              <w:spacing w:after="120"/>
              <w:rPr>
                <w:rFonts w:ascii="Arial" w:hAnsi="Arial" w:cs="Arial"/>
                <w:b/>
                <w:sz w:val="20"/>
                <w:szCs w:val="20"/>
              </w:rPr>
            </w:pPr>
          </w:p>
        </w:tc>
        <w:tc>
          <w:tcPr>
            <w:tcW w:w="439" w:type="pct"/>
            <w:vAlign w:val="center"/>
          </w:tcPr>
          <w:p w14:paraId="36555CDC" w14:textId="77777777" w:rsidR="009C63CA" w:rsidRPr="007103E4" w:rsidRDefault="009C63CA" w:rsidP="0066061A">
            <w:pPr>
              <w:spacing w:after="120"/>
              <w:rPr>
                <w:rFonts w:ascii="Arial" w:hAnsi="Arial" w:cs="Arial"/>
                <w:b/>
                <w:sz w:val="20"/>
                <w:szCs w:val="20"/>
              </w:rPr>
            </w:pPr>
          </w:p>
        </w:tc>
        <w:tc>
          <w:tcPr>
            <w:tcW w:w="439" w:type="pct"/>
            <w:vAlign w:val="center"/>
          </w:tcPr>
          <w:p w14:paraId="03D83958" w14:textId="77777777" w:rsidR="009C63CA" w:rsidRPr="007103E4" w:rsidRDefault="009C63CA" w:rsidP="0066061A">
            <w:pPr>
              <w:spacing w:after="120"/>
              <w:rPr>
                <w:rFonts w:ascii="Arial" w:hAnsi="Arial" w:cs="Arial"/>
                <w:b/>
                <w:sz w:val="20"/>
                <w:szCs w:val="20"/>
              </w:rPr>
            </w:pPr>
          </w:p>
        </w:tc>
        <w:tc>
          <w:tcPr>
            <w:tcW w:w="477" w:type="pct"/>
            <w:vAlign w:val="center"/>
          </w:tcPr>
          <w:p w14:paraId="191C9B25" w14:textId="77777777" w:rsidR="009C63CA" w:rsidRPr="007103E4" w:rsidRDefault="009C63CA" w:rsidP="0066061A">
            <w:pPr>
              <w:spacing w:after="120"/>
              <w:rPr>
                <w:rFonts w:ascii="Arial" w:hAnsi="Arial" w:cs="Arial"/>
                <w:b/>
                <w:sz w:val="20"/>
                <w:szCs w:val="20"/>
              </w:rPr>
            </w:pPr>
          </w:p>
        </w:tc>
        <w:tc>
          <w:tcPr>
            <w:tcW w:w="438" w:type="pct"/>
            <w:vAlign w:val="center"/>
          </w:tcPr>
          <w:p w14:paraId="79789A6D" w14:textId="77777777" w:rsidR="009C63CA" w:rsidRPr="007103E4" w:rsidRDefault="009C63CA" w:rsidP="0066061A">
            <w:pPr>
              <w:spacing w:after="120"/>
              <w:rPr>
                <w:rFonts w:ascii="Arial" w:hAnsi="Arial" w:cs="Arial"/>
                <w:b/>
                <w:sz w:val="20"/>
                <w:szCs w:val="20"/>
              </w:rPr>
            </w:pPr>
          </w:p>
        </w:tc>
        <w:tc>
          <w:tcPr>
            <w:tcW w:w="438" w:type="pct"/>
            <w:vAlign w:val="center"/>
          </w:tcPr>
          <w:p w14:paraId="1F868D34" w14:textId="77777777" w:rsidR="009C63CA" w:rsidRPr="007103E4" w:rsidRDefault="009C63CA" w:rsidP="0066061A">
            <w:pPr>
              <w:spacing w:after="120"/>
              <w:rPr>
                <w:rFonts w:ascii="Arial" w:hAnsi="Arial" w:cs="Arial"/>
                <w:b/>
                <w:sz w:val="20"/>
                <w:szCs w:val="20"/>
              </w:rPr>
            </w:pPr>
          </w:p>
        </w:tc>
        <w:tc>
          <w:tcPr>
            <w:tcW w:w="428" w:type="pct"/>
            <w:vAlign w:val="center"/>
          </w:tcPr>
          <w:p w14:paraId="07E3CAED" w14:textId="77777777" w:rsidR="009C63CA" w:rsidRPr="007103E4" w:rsidRDefault="009C63CA" w:rsidP="0066061A">
            <w:pPr>
              <w:spacing w:after="120"/>
              <w:rPr>
                <w:rFonts w:ascii="Arial" w:hAnsi="Arial" w:cs="Arial"/>
                <w:b/>
                <w:sz w:val="20"/>
                <w:szCs w:val="20"/>
              </w:rPr>
            </w:pPr>
          </w:p>
        </w:tc>
      </w:tr>
      <w:tr w:rsidR="009C63CA" w:rsidRPr="00373ACB" w14:paraId="02AEA67C" w14:textId="77777777" w:rsidTr="009C63CA">
        <w:trPr>
          <w:trHeight w:val="397"/>
        </w:trPr>
        <w:tc>
          <w:tcPr>
            <w:tcW w:w="1457" w:type="pct"/>
            <w:vAlign w:val="center"/>
          </w:tcPr>
          <w:p w14:paraId="7F5CAFC5" w14:textId="5E7F4A53" w:rsidR="009C63CA" w:rsidRPr="00D71DF4" w:rsidRDefault="009C63CA" w:rsidP="00492B66">
            <w:pPr>
              <w:spacing w:after="120"/>
              <w:rPr>
                <w:rFonts w:ascii="Arial" w:hAnsi="Arial" w:cs="Arial"/>
                <w:sz w:val="20"/>
                <w:szCs w:val="20"/>
              </w:rPr>
            </w:pPr>
            <w:r>
              <w:rPr>
                <w:rFonts w:ascii="Arial" w:hAnsi="Arial" w:cs="Arial"/>
                <w:sz w:val="20"/>
                <w:szCs w:val="20"/>
              </w:rPr>
              <w:t>Essay (100%)</w:t>
            </w:r>
          </w:p>
        </w:tc>
        <w:tc>
          <w:tcPr>
            <w:tcW w:w="445" w:type="pct"/>
            <w:vAlign w:val="center"/>
          </w:tcPr>
          <w:p w14:paraId="49417912" w14:textId="5DE56B6A" w:rsidR="009C63CA" w:rsidRPr="007103E4" w:rsidRDefault="009C63CA" w:rsidP="0066061A">
            <w:pPr>
              <w:spacing w:after="120"/>
              <w:rPr>
                <w:rFonts w:ascii="Arial" w:hAnsi="Arial" w:cs="Arial"/>
                <w:sz w:val="20"/>
                <w:szCs w:val="20"/>
              </w:rPr>
            </w:pPr>
            <w:r>
              <w:rPr>
                <w:rFonts w:ascii="Arial" w:hAnsi="Arial" w:cs="Arial"/>
                <w:sz w:val="20"/>
                <w:szCs w:val="20"/>
              </w:rPr>
              <w:t>x</w:t>
            </w:r>
          </w:p>
        </w:tc>
        <w:tc>
          <w:tcPr>
            <w:tcW w:w="439" w:type="pct"/>
            <w:vAlign w:val="center"/>
          </w:tcPr>
          <w:p w14:paraId="6FCE759D" w14:textId="46E94691" w:rsidR="009C63CA" w:rsidRPr="007103E4" w:rsidRDefault="009C63CA" w:rsidP="0066061A">
            <w:pPr>
              <w:spacing w:after="120"/>
              <w:rPr>
                <w:rFonts w:ascii="Arial" w:hAnsi="Arial" w:cs="Arial"/>
                <w:sz w:val="20"/>
                <w:szCs w:val="20"/>
              </w:rPr>
            </w:pPr>
            <w:r>
              <w:rPr>
                <w:rFonts w:ascii="Arial" w:hAnsi="Arial" w:cs="Arial"/>
                <w:sz w:val="20"/>
                <w:szCs w:val="20"/>
              </w:rPr>
              <w:t>x</w:t>
            </w:r>
          </w:p>
        </w:tc>
        <w:tc>
          <w:tcPr>
            <w:tcW w:w="439" w:type="pct"/>
            <w:vAlign w:val="center"/>
          </w:tcPr>
          <w:p w14:paraId="5E82EC36" w14:textId="52E0C011" w:rsidR="009C63CA" w:rsidRPr="007103E4" w:rsidRDefault="009C63CA" w:rsidP="0066061A">
            <w:pPr>
              <w:spacing w:after="120"/>
              <w:rPr>
                <w:rFonts w:ascii="Arial" w:hAnsi="Arial" w:cs="Arial"/>
                <w:sz w:val="20"/>
                <w:szCs w:val="20"/>
              </w:rPr>
            </w:pPr>
            <w:r>
              <w:rPr>
                <w:rFonts w:ascii="Arial" w:hAnsi="Arial" w:cs="Arial"/>
                <w:sz w:val="20"/>
                <w:szCs w:val="20"/>
              </w:rPr>
              <w:t>x</w:t>
            </w:r>
          </w:p>
        </w:tc>
        <w:tc>
          <w:tcPr>
            <w:tcW w:w="439" w:type="pct"/>
            <w:vAlign w:val="center"/>
          </w:tcPr>
          <w:p w14:paraId="5FACCE46" w14:textId="7D436345" w:rsidR="009C63CA" w:rsidRPr="007103E4" w:rsidRDefault="009C63CA" w:rsidP="0066061A">
            <w:pPr>
              <w:spacing w:after="120"/>
              <w:rPr>
                <w:rFonts w:ascii="Arial" w:hAnsi="Arial" w:cs="Arial"/>
                <w:sz w:val="20"/>
                <w:szCs w:val="20"/>
              </w:rPr>
            </w:pPr>
            <w:r>
              <w:rPr>
                <w:rFonts w:ascii="Arial" w:hAnsi="Arial" w:cs="Arial"/>
                <w:sz w:val="20"/>
                <w:szCs w:val="20"/>
              </w:rPr>
              <w:t>x</w:t>
            </w:r>
          </w:p>
        </w:tc>
        <w:tc>
          <w:tcPr>
            <w:tcW w:w="477" w:type="pct"/>
            <w:vAlign w:val="center"/>
          </w:tcPr>
          <w:p w14:paraId="03723A89" w14:textId="5A4704F8" w:rsidR="009C63CA" w:rsidRPr="007103E4" w:rsidRDefault="009C63CA" w:rsidP="0066061A">
            <w:pPr>
              <w:spacing w:after="120"/>
              <w:rPr>
                <w:rFonts w:ascii="Arial" w:hAnsi="Arial" w:cs="Arial"/>
                <w:sz w:val="20"/>
                <w:szCs w:val="20"/>
              </w:rPr>
            </w:pPr>
            <w:r>
              <w:rPr>
                <w:rFonts w:ascii="Arial" w:hAnsi="Arial" w:cs="Arial"/>
                <w:sz w:val="20"/>
                <w:szCs w:val="20"/>
              </w:rPr>
              <w:t>x</w:t>
            </w:r>
          </w:p>
        </w:tc>
        <w:tc>
          <w:tcPr>
            <w:tcW w:w="438" w:type="pct"/>
            <w:vAlign w:val="center"/>
          </w:tcPr>
          <w:p w14:paraId="503C4AD9" w14:textId="43CFF013" w:rsidR="009C63CA" w:rsidRPr="007103E4" w:rsidRDefault="009C63CA" w:rsidP="0066061A">
            <w:pPr>
              <w:spacing w:after="120"/>
              <w:rPr>
                <w:rFonts w:ascii="Arial" w:hAnsi="Arial" w:cs="Arial"/>
                <w:sz w:val="20"/>
                <w:szCs w:val="20"/>
              </w:rPr>
            </w:pPr>
            <w:r>
              <w:rPr>
                <w:rFonts w:ascii="Arial" w:hAnsi="Arial" w:cs="Arial"/>
                <w:sz w:val="20"/>
                <w:szCs w:val="20"/>
              </w:rPr>
              <w:t>x</w:t>
            </w:r>
          </w:p>
        </w:tc>
        <w:tc>
          <w:tcPr>
            <w:tcW w:w="438" w:type="pct"/>
            <w:vAlign w:val="center"/>
          </w:tcPr>
          <w:p w14:paraId="6E6879D6" w14:textId="752DCBF4" w:rsidR="009C63CA" w:rsidRPr="007103E4" w:rsidRDefault="009C63CA" w:rsidP="0066061A">
            <w:pPr>
              <w:spacing w:after="120"/>
              <w:rPr>
                <w:rFonts w:ascii="Arial" w:hAnsi="Arial" w:cs="Arial"/>
                <w:sz w:val="20"/>
                <w:szCs w:val="20"/>
              </w:rPr>
            </w:pPr>
            <w:r>
              <w:rPr>
                <w:rFonts w:ascii="Arial" w:hAnsi="Arial" w:cs="Arial"/>
                <w:sz w:val="20"/>
                <w:szCs w:val="20"/>
              </w:rPr>
              <w:t>x</w:t>
            </w:r>
          </w:p>
        </w:tc>
        <w:tc>
          <w:tcPr>
            <w:tcW w:w="428" w:type="pct"/>
            <w:vAlign w:val="center"/>
          </w:tcPr>
          <w:p w14:paraId="3916EF58" w14:textId="3ED3CBF4" w:rsidR="009C63CA" w:rsidRPr="007103E4" w:rsidRDefault="009C63CA" w:rsidP="0066061A">
            <w:pPr>
              <w:spacing w:after="120"/>
              <w:rPr>
                <w:rFonts w:ascii="Arial" w:hAnsi="Arial" w:cs="Arial"/>
                <w:sz w:val="20"/>
                <w:szCs w:val="20"/>
              </w:rPr>
            </w:pPr>
            <w:r>
              <w:rPr>
                <w:rFonts w:ascii="Arial" w:hAnsi="Arial" w:cs="Arial"/>
                <w:sz w:val="20"/>
                <w:szCs w:val="20"/>
              </w:rPr>
              <w:t>x</w:t>
            </w:r>
          </w:p>
        </w:tc>
      </w:tr>
    </w:tbl>
    <w:p w14:paraId="1B6762A4" w14:textId="77777777" w:rsidR="007A6245" w:rsidRPr="00373ACB" w:rsidRDefault="007A6245" w:rsidP="0066061A">
      <w:pPr>
        <w:spacing w:after="120" w:line="240" w:lineRule="auto"/>
        <w:ind w:left="426" w:right="260"/>
        <w:rPr>
          <w:rFonts w:ascii="Arial" w:hAnsi="Arial" w:cs="Arial"/>
          <w:b/>
          <w:iCs/>
          <w:sz w:val="20"/>
          <w:szCs w:val="20"/>
        </w:rPr>
      </w:pPr>
    </w:p>
    <w:p w14:paraId="1E48FFBB" w14:textId="7187670C" w:rsidR="009C63CA" w:rsidRPr="009C63CA" w:rsidRDefault="009C63CA" w:rsidP="00DF2132">
      <w:pPr>
        <w:numPr>
          <w:ilvl w:val="0"/>
          <w:numId w:val="1"/>
        </w:numPr>
        <w:spacing w:after="120" w:line="240" w:lineRule="auto"/>
        <w:ind w:left="426" w:right="260" w:hanging="426"/>
        <w:rPr>
          <w:rFonts w:ascii="Arial" w:hAnsi="Arial" w:cs="Arial"/>
          <w:b/>
          <w:sz w:val="20"/>
          <w:szCs w:val="20"/>
        </w:rPr>
      </w:pPr>
      <w:r w:rsidRPr="009C63CA">
        <w:rPr>
          <w:rFonts w:ascii="Arial" w:hAnsi="Arial" w:cs="Arial"/>
          <w:b/>
          <w:sz w:val="20"/>
          <w:szCs w:val="20"/>
        </w:rPr>
        <w:t>Inclusive module design</w:t>
      </w:r>
    </w:p>
    <w:p w14:paraId="683FFD00" w14:textId="77777777" w:rsidR="00DF2132" w:rsidRPr="00DF2132" w:rsidRDefault="00DF2132" w:rsidP="009C63CA">
      <w:pPr>
        <w:spacing w:after="120" w:line="240" w:lineRule="auto"/>
        <w:ind w:left="426" w:right="260"/>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DF2132">
        <w:rPr>
          <w:rFonts w:ascii="Arial" w:hAnsi="Arial" w:cs="Arial"/>
          <w:sz w:val="20"/>
          <w:szCs w:val="20"/>
        </w:rPr>
        <w:br/>
      </w:r>
    </w:p>
    <w:p w14:paraId="79D9D784" w14:textId="77777777" w:rsidR="00DF2132" w:rsidRDefault="00DF2132" w:rsidP="00DF2132">
      <w:pPr>
        <w:spacing w:after="120" w:line="240" w:lineRule="auto"/>
        <w:ind w:left="426" w:right="260"/>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352DE016" w14:textId="77777777" w:rsidR="00DF2132" w:rsidRPr="00A7491F"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3BFA6CA8" w14:textId="77777777" w:rsidR="00971465" w:rsidRPr="00D023E6"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11273982" w14:textId="77777777" w:rsidR="00971465" w:rsidRPr="00D023E6"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28D5E6DA" w14:textId="77777777" w:rsidR="00971465" w:rsidRPr="00D023E6"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3105FCA2" w14:textId="77777777" w:rsidR="00971465"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4DB9989C" w14:textId="74A89D6A" w:rsidR="00DF2132" w:rsidRPr="00971465" w:rsidRDefault="001800D4" w:rsidP="001800D4">
      <w:pPr>
        <w:pStyle w:val="ListParagraph"/>
        <w:numPr>
          <w:ilvl w:val="0"/>
          <w:numId w:val="13"/>
        </w:numPr>
        <w:spacing w:after="120" w:line="240" w:lineRule="auto"/>
        <w:ind w:right="260"/>
        <w:rPr>
          <w:rFonts w:ascii="Arial" w:hAnsi="Arial" w:cs="Arial"/>
          <w:sz w:val="20"/>
          <w:szCs w:val="20"/>
        </w:rPr>
      </w:pPr>
      <w:r w:rsidRPr="001800D4">
        <w:rPr>
          <w:rFonts w:ascii="Arial" w:hAnsi="Arial" w:cs="Arial"/>
          <w:sz w:val="20"/>
          <w:szCs w:val="20"/>
        </w:rPr>
        <w:t>In Brussels,</w:t>
      </w:r>
      <w:r>
        <w:rPr>
          <w:rFonts w:ascii="Arial" w:hAnsi="Arial" w:cs="Arial"/>
          <w:sz w:val="20"/>
          <w:szCs w:val="20"/>
        </w:rPr>
        <w:t xml:space="preserve"> lecture</w:t>
      </w:r>
      <w:r w:rsidRPr="001800D4">
        <w:rPr>
          <w:rFonts w:ascii="Arial" w:hAnsi="Arial" w:cs="Arial"/>
          <w:sz w:val="20"/>
          <w:szCs w:val="20"/>
        </w:rPr>
        <w:t xml:space="preserve"> recording will be at the discretion of the module convenor.</w:t>
      </w:r>
      <w:r w:rsidR="00A7491F" w:rsidRPr="00971465">
        <w:rPr>
          <w:rFonts w:ascii="Arial" w:hAnsi="Arial" w:cs="Arial"/>
          <w:sz w:val="20"/>
          <w:szCs w:val="20"/>
        </w:rPr>
        <w:br/>
      </w:r>
    </w:p>
    <w:p w14:paraId="642076A1" w14:textId="77777777"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4C73F626" w14:textId="260B5662" w:rsidR="009A2D37" w:rsidRPr="00373ACB" w:rsidRDefault="00971465" w:rsidP="006978AD">
      <w:pPr>
        <w:spacing w:after="12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3E0BBC">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sidR="00A7491F">
        <w:rPr>
          <w:rFonts w:ascii="Arial" w:hAnsi="Arial" w:cs="Arial"/>
          <w:iCs/>
          <w:sz w:val="20"/>
          <w:szCs w:val="20"/>
        </w:rPr>
        <w:br/>
      </w:r>
    </w:p>
    <w:p w14:paraId="17B6ECB8"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Campus(</w:t>
      </w:r>
      <w:proofErr w:type="spellStart"/>
      <w:r w:rsidRPr="00373ACB">
        <w:rPr>
          <w:rFonts w:ascii="Arial" w:hAnsi="Arial" w:cs="Arial"/>
          <w:b/>
          <w:sz w:val="20"/>
          <w:szCs w:val="20"/>
        </w:rPr>
        <w:t>es</w:t>
      </w:r>
      <w:proofErr w:type="spellEnd"/>
      <w:r w:rsidRPr="00373ACB">
        <w:rPr>
          <w:rFonts w:ascii="Arial" w:hAnsi="Arial" w:cs="Arial"/>
          <w:b/>
          <w:sz w:val="20"/>
          <w:szCs w:val="20"/>
        </w:rPr>
        <w:t xml:space="preserve">) or </w:t>
      </w:r>
      <w:r w:rsidR="00DF2132">
        <w:rPr>
          <w:rFonts w:ascii="Arial" w:hAnsi="Arial" w:cs="Arial"/>
          <w:b/>
          <w:sz w:val="20"/>
          <w:szCs w:val="20"/>
        </w:rPr>
        <w:t>c</w:t>
      </w:r>
      <w:r w:rsidRPr="00373ACB">
        <w:rPr>
          <w:rFonts w:ascii="Arial" w:hAnsi="Arial" w:cs="Arial"/>
          <w:b/>
          <w:sz w:val="20"/>
          <w:szCs w:val="20"/>
        </w:rPr>
        <w:t>entre(s) where module will be delivered:</w:t>
      </w:r>
    </w:p>
    <w:p w14:paraId="5FA40B4F" w14:textId="2C9D7989" w:rsidR="009A2D37" w:rsidRDefault="00DE388B" w:rsidP="0066061A">
      <w:pPr>
        <w:spacing w:after="120" w:line="240" w:lineRule="auto"/>
        <w:ind w:left="426" w:right="260"/>
        <w:rPr>
          <w:rFonts w:ascii="Arial" w:hAnsi="Arial" w:cs="Arial"/>
          <w:iCs/>
          <w:sz w:val="20"/>
          <w:szCs w:val="20"/>
        </w:rPr>
      </w:pPr>
      <w:r>
        <w:rPr>
          <w:rFonts w:ascii="Arial" w:hAnsi="Arial" w:cs="Arial"/>
          <w:iCs/>
          <w:sz w:val="20"/>
          <w:szCs w:val="20"/>
        </w:rPr>
        <w:t>Brussels</w:t>
      </w:r>
    </w:p>
    <w:p w14:paraId="3352C5F1" w14:textId="16C32601" w:rsidR="002037B8" w:rsidRDefault="002037B8">
      <w:pPr>
        <w:rPr>
          <w:rFonts w:ascii="Arial" w:hAnsi="Arial" w:cs="Arial"/>
          <w:iCs/>
          <w:sz w:val="20"/>
          <w:szCs w:val="20"/>
        </w:rPr>
      </w:pPr>
      <w:r>
        <w:rPr>
          <w:rFonts w:ascii="Arial" w:hAnsi="Arial" w:cs="Arial"/>
          <w:iCs/>
          <w:sz w:val="20"/>
          <w:szCs w:val="20"/>
        </w:rPr>
        <w:br w:type="page"/>
      </w:r>
      <w:bookmarkStart w:id="0" w:name="_GoBack"/>
      <w:bookmarkEnd w:id="0"/>
    </w:p>
    <w:p w14:paraId="5795C4E9" w14:textId="77777777" w:rsidR="00DF2132" w:rsidRDefault="00DF2132" w:rsidP="0066061A">
      <w:pPr>
        <w:spacing w:after="120" w:line="240" w:lineRule="auto"/>
        <w:ind w:left="426" w:right="260"/>
        <w:rPr>
          <w:rFonts w:ascii="Arial" w:hAnsi="Arial" w:cs="Arial"/>
          <w:iCs/>
          <w:sz w:val="20"/>
          <w:szCs w:val="20"/>
        </w:rPr>
      </w:pPr>
    </w:p>
    <w:p w14:paraId="09808C24" w14:textId="77777777"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70CE25EC" w14:textId="21F89BFB" w:rsidR="00DF2132" w:rsidRDefault="0033128A" w:rsidP="0033128A">
      <w:pPr>
        <w:spacing w:after="120" w:line="240" w:lineRule="auto"/>
        <w:ind w:left="426" w:right="260"/>
        <w:rPr>
          <w:rFonts w:ascii="Arial" w:hAnsi="Arial" w:cs="Arial"/>
          <w:iCs/>
          <w:sz w:val="20"/>
          <w:szCs w:val="20"/>
        </w:rPr>
      </w:pPr>
      <w:r w:rsidRPr="0033128A">
        <w:rPr>
          <w:rFonts w:ascii="Arial" w:hAnsi="Arial" w:cs="Arial"/>
          <w:iCs/>
          <w:sz w:val="20"/>
          <w:szCs w:val="20"/>
        </w:rPr>
        <w:t>This course is intended to provide a critical appraisal of the principles international humanitarian law (IHL) and how various international tribunals have applied IHL in practice, and therefore it has an international focus.</w:t>
      </w:r>
    </w:p>
    <w:p w14:paraId="5984AEB8" w14:textId="3290B4A4" w:rsidR="002037B8" w:rsidRDefault="002037B8" w:rsidP="0033128A">
      <w:pPr>
        <w:pBdr>
          <w:bottom w:val="single" w:sz="12" w:space="1" w:color="auto"/>
        </w:pBdr>
        <w:spacing w:after="120" w:line="240" w:lineRule="auto"/>
        <w:ind w:left="426" w:right="260"/>
        <w:rPr>
          <w:rFonts w:ascii="Arial" w:hAnsi="Arial" w:cs="Arial"/>
          <w:iCs/>
          <w:sz w:val="20"/>
          <w:szCs w:val="20"/>
        </w:rPr>
      </w:pPr>
    </w:p>
    <w:p w14:paraId="2F91AFB1" w14:textId="4E1DCD1C" w:rsidR="00641D6D" w:rsidRPr="0044167F" w:rsidRDefault="00641D6D" w:rsidP="0066061A">
      <w:pPr>
        <w:spacing w:line="240" w:lineRule="auto"/>
        <w:rPr>
          <w:rFonts w:ascii="Arial" w:hAnsi="Arial" w:cs="Arial"/>
          <w:sz w:val="20"/>
          <w:szCs w:val="20"/>
        </w:rPr>
      </w:pPr>
    </w:p>
    <w:p w14:paraId="030DF4F1"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497A7AA5"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7ABFF584"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108" w:type="dxa"/>
        <w:tblLook w:val="04A0" w:firstRow="1" w:lastRow="0" w:firstColumn="1" w:lastColumn="0" w:noHBand="0" w:noVBand="1"/>
      </w:tblPr>
      <w:tblGrid>
        <w:gridCol w:w="1560"/>
        <w:gridCol w:w="1417"/>
        <w:gridCol w:w="2342"/>
        <w:gridCol w:w="2658"/>
        <w:gridCol w:w="2513"/>
      </w:tblGrid>
      <w:tr w:rsidR="00302082" w:rsidRPr="00373ACB" w14:paraId="2473ACDC" w14:textId="77777777" w:rsidTr="00002762">
        <w:trPr>
          <w:trHeight w:val="317"/>
        </w:trPr>
        <w:tc>
          <w:tcPr>
            <w:tcW w:w="1560" w:type="dxa"/>
          </w:tcPr>
          <w:p w14:paraId="313AB72D"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3491F451"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5E569F64"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3C2DA29C"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513" w:type="dxa"/>
          </w:tcPr>
          <w:p w14:paraId="3DC40800"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32A07AFF" w14:textId="77777777" w:rsidTr="00002762">
        <w:trPr>
          <w:trHeight w:val="305"/>
        </w:trPr>
        <w:tc>
          <w:tcPr>
            <w:tcW w:w="1560" w:type="dxa"/>
          </w:tcPr>
          <w:p w14:paraId="04BB4AFE" w14:textId="664044B7" w:rsidR="00422B69" w:rsidRPr="00373ACB" w:rsidRDefault="002037B8" w:rsidP="0066061A">
            <w:pPr>
              <w:spacing w:after="120"/>
              <w:ind w:right="-330"/>
              <w:rPr>
                <w:rFonts w:ascii="Arial" w:hAnsi="Arial" w:cs="Arial"/>
                <w:sz w:val="20"/>
                <w:szCs w:val="20"/>
              </w:rPr>
            </w:pPr>
            <w:r>
              <w:rPr>
                <w:rFonts w:ascii="Arial" w:hAnsi="Arial" w:cs="Arial"/>
                <w:sz w:val="20"/>
                <w:szCs w:val="20"/>
              </w:rPr>
              <w:t>06/01/2020</w:t>
            </w:r>
          </w:p>
        </w:tc>
        <w:tc>
          <w:tcPr>
            <w:tcW w:w="1417" w:type="dxa"/>
          </w:tcPr>
          <w:p w14:paraId="2038A84D" w14:textId="0C63DC6C" w:rsidR="00422B69" w:rsidRPr="00373ACB" w:rsidRDefault="002037B8"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389D4407" w14:textId="3F543F6E" w:rsidR="00422B69" w:rsidRPr="00373ACB" w:rsidRDefault="002037B8" w:rsidP="0066061A">
            <w:pPr>
              <w:spacing w:after="120"/>
              <w:ind w:right="-330"/>
              <w:rPr>
                <w:rFonts w:ascii="Arial" w:hAnsi="Arial" w:cs="Arial"/>
                <w:sz w:val="20"/>
                <w:szCs w:val="20"/>
              </w:rPr>
            </w:pPr>
            <w:r>
              <w:rPr>
                <w:rFonts w:ascii="Arial" w:hAnsi="Arial" w:cs="Arial"/>
                <w:sz w:val="20"/>
                <w:szCs w:val="20"/>
              </w:rPr>
              <w:t>September 2020</w:t>
            </w:r>
          </w:p>
        </w:tc>
        <w:tc>
          <w:tcPr>
            <w:tcW w:w="2658" w:type="dxa"/>
          </w:tcPr>
          <w:p w14:paraId="044780E9" w14:textId="730F5799" w:rsidR="00422B69" w:rsidRPr="00373ACB" w:rsidRDefault="002037B8" w:rsidP="0066061A">
            <w:pPr>
              <w:spacing w:after="120"/>
              <w:ind w:right="-330"/>
              <w:rPr>
                <w:rFonts w:ascii="Arial" w:hAnsi="Arial" w:cs="Arial"/>
                <w:sz w:val="20"/>
                <w:szCs w:val="20"/>
              </w:rPr>
            </w:pPr>
            <w:r>
              <w:rPr>
                <w:rFonts w:ascii="Arial" w:hAnsi="Arial" w:cs="Arial"/>
                <w:sz w:val="20"/>
                <w:szCs w:val="20"/>
              </w:rPr>
              <w:t>15</w:t>
            </w:r>
          </w:p>
        </w:tc>
        <w:tc>
          <w:tcPr>
            <w:tcW w:w="2513" w:type="dxa"/>
          </w:tcPr>
          <w:p w14:paraId="46291F3F" w14:textId="4E523CDA" w:rsidR="00422B69" w:rsidRPr="00373ACB" w:rsidRDefault="002037B8" w:rsidP="0066061A">
            <w:pPr>
              <w:spacing w:after="120"/>
              <w:ind w:right="-330"/>
              <w:rPr>
                <w:rFonts w:ascii="Arial" w:hAnsi="Arial" w:cs="Arial"/>
                <w:sz w:val="20"/>
                <w:szCs w:val="20"/>
              </w:rPr>
            </w:pPr>
            <w:r>
              <w:rPr>
                <w:rFonts w:ascii="Arial" w:hAnsi="Arial" w:cs="Arial"/>
                <w:sz w:val="20"/>
                <w:szCs w:val="20"/>
              </w:rPr>
              <w:t>No</w:t>
            </w:r>
          </w:p>
        </w:tc>
      </w:tr>
      <w:tr w:rsidR="00302082" w:rsidRPr="00373ACB" w14:paraId="380658CC" w14:textId="77777777" w:rsidTr="00002762">
        <w:trPr>
          <w:trHeight w:val="305"/>
        </w:trPr>
        <w:tc>
          <w:tcPr>
            <w:tcW w:w="1560" w:type="dxa"/>
          </w:tcPr>
          <w:p w14:paraId="519B4A93" w14:textId="77777777" w:rsidR="00422B69" w:rsidRPr="00373ACB" w:rsidRDefault="00422B69" w:rsidP="0066061A">
            <w:pPr>
              <w:spacing w:after="120"/>
              <w:ind w:right="-330"/>
              <w:rPr>
                <w:rFonts w:ascii="Arial" w:hAnsi="Arial" w:cs="Arial"/>
                <w:sz w:val="20"/>
                <w:szCs w:val="20"/>
              </w:rPr>
            </w:pPr>
          </w:p>
        </w:tc>
        <w:tc>
          <w:tcPr>
            <w:tcW w:w="1417" w:type="dxa"/>
          </w:tcPr>
          <w:p w14:paraId="4D88BD3F" w14:textId="77777777" w:rsidR="00422B69" w:rsidRPr="00373ACB" w:rsidRDefault="00422B69" w:rsidP="0066061A">
            <w:pPr>
              <w:spacing w:after="120"/>
              <w:ind w:right="-330"/>
              <w:rPr>
                <w:rFonts w:ascii="Arial" w:hAnsi="Arial" w:cs="Arial"/>
                <w:sz w:val="20"/>
                <w:szCs w:val="20"/>
              </w:rPr>
            </w:pPr>
          </w:p>
        </w:tc>
        <w:tc>
          <w:tcPr>
            <w:tcW w:w="2342" w:type="dxa"/>
          </w:tcPr>
          <w:p w14:paraId="11D0FD8B" w14:textId="77777777" w:rsidR="00422B69" w:rsidRPr="00373ACB" w:rsidRDefault="00422B69" w:rsidP="0066061A">
            <w:pPr>
              <w:spacing w:after="120"/>
              <w:ind w:right="-330"/>
              <w:rPr>
                <w:rFonts w:ascii="Arial" w:hAnsi="Arial" w:cs="Arial"/>
                <w:sz w:val="20"/>
                <w:szCs w:val="20"/>
              </w:rPr>
            </w:pPr>
          </w:p>
        </w:tc>
        <w:tc>
          <w:tcPr>
            <w:tcW w:w="2658" w:type="dxa"/>
          </w:tcPr>
          <w:p w14:paraId="199B874E" w14:textId="77777777" w:rsidR="00422B69" w:rsidRPr="00373ACB" w:rsidRDefault="00422B69" w:rsidP="0066061A">
            <w:pPr>
              <w:spacing w:after="120"/>
              <w:ind w:right="-330"/>
              <w:rPr>
                <w:rFonts w:ascii="Arial" w:hAnsi="Arial" w:cs="Arial"/>
                <w:sz w:val="20"/>
                <w:szCs w:val="20"/>
              </w:rPr>
            </w:pPr>
          </w:p>
        </w:tc>
        <w:tc>
          <w:tcPr>
            <w:tcW w:w="2513" w:type="dxa"/>
          </w:tcPr>
          <w:p w14:paraId="7EA26B96" w14:textId="77777777" w:rsidR="00422B69" w:rsidRPr="00373ACB" w:rsidRDefault="00422B69" w:rsidP="0066061A">
            <w:pPr>
              <w:spacing w:after="120"/>
              <w:ind w:right="-330"/>
              <w:rPr>
                <w:rFonts w:ascii="Arial" w:hAnsi="Arial" w:cs="Arial"/>
                <w:sz w:val="20"/>
                <w:szCs w:val="20"/>
              </w:rPr>
            </w:pPr>
          </w:p>
        </w:tc>
      </w:tr>
    </w:tbl>
    <w:p w14:paraId="668954F6"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88DF40" w16cid:durableId="1E3F14A1"/>
  <w16cid:commentId w16cid:paraId="4CA1A1EB" w16cid:durableId="1E3F1542"/>
  <w16cid:commentId w16cid:paraId="59E28023" w16cid:durableId="1E3F1241"/>
  <w16cid:commentId w16cid:paraId="563E555B" w16cid:durableId="1E3F15FE"/>
  <w16cid:commentId w16cid:paraId="3A398211" w16cid:durableId="1E3F1242"/>
  <w16cid:commentId w16cid:paraId="37DDB944" w16cid:durableId="1E3F1243"/>
  <w16cid:commentId w16cid:paraId="080FEC55" w16cid:durableId="1E3F1244"/>
  <w16cid:commentId w16cid:paraId="39B0BDF6" w16cid:durableId="1E3F16A2"/>
  <w16cid:commentId w16cid:paraId="70F68795" w16cid:durableId="1E3F16CD"/>
  <w16cid:commentId w16cid:paraId="599E76C5" w16cid:durableId="1E3F1245"/>
  <w16cid:commentId w16cid:paraId="6DED4129" w16cid:durableId="1E3F171F"/>
  <w16cid:commentId w16cid:paraId="43FEC4DD" w16cid:durableId="1E3F12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9361B" w14:textId="77777777" w:rsidR="00DE129E" w:rsidRDefault="00DE129E" w:rsidP="009A2D37">
      <w:pPr>
        <w:spacing w:after="0" w:line="240" w:lineRule="auto"/>
      </w:pPr>
      <w:r>
        <w:separator/>
      </w:r>
    </w:p>
  </w:endnote>
  <w:endnote w:type="continuationSeparator" w:id="0">
    <w:p w14:paraId="489EEECC" w14:textId="77777777" w:rsidR="00DE129E" w:rsidRDefault="00DE129E" w:rsidP="009A2D37">
      <w:pPr>
        <w:spacing w:after="0" w:line="240" w:lineRule="auto"/>
      </w:pPr>
      <w:r>
        <w:continuationSeparator/>
      </w:r>
    </w:p>
  </w:endnote>
  <w:endnote w:type="continuationNotice" w:id="1">
    <w:p w14:paraId="575264B7" w14:textId="77777777" w:rsidR="00DE129E" w:rsidRDefault="00DE12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698693"/>
      <w:docPartObj>
        <w:docPartGallery w:val="Page Numbers (Bottom of Page)"/>
        <w:docPartUnique/>
      </w:docPartObj>
    </w:sdtPr>
    <w:sdtEndPr/>
    <w:sdtContent>
      <w:p w14:paraId="6FADB7CC" w14:textId="2ACBECBE" w:rsidR="008B2543" w:rsidRDefault="0019787E" w:rsidP="009A2D37">
        <w:pPr>
          <w:pStyle w:val="Footer"/>
          <w:jc w:val="center"/>
        </w:pPr>
        <w:r>
          <w:fldChar w:fldCharType="begin"/>
        </w:r>
        <w:r>
          <w:instrText xml:space="preserve"> PAGE   \* MERGEFORMAT </w:instrText>
        </w:r>
        <w:r>
          <w:fldChar w:fldCharType="separate"/>
        </w:r>
        <w:r w:rsidR="00DE6275">
          <w:rPr>
            <w:noProof/>
          </w:rPr>
          <w:t>2</w:t>
        </w:r>
        <w:r>
          <w:rPr>
            <w:noProof/>
          </w:rPr>
          <w:fldChar w:fldCharType="end"/>
        </w:r>
      </w:p>
    </w:sdtContent>
  </w:sdt>
  <w:p w14:paraId="7670FF39" w14:textId="66E7626C" w:rsidR="008B2543" w:rsidRPr="007B7724" w:rsidRDefault="00EE36D1" w:rsidP="00971465">
    <w:pPr>
      <w:pStyle w:val="Footer"/>
      <w:spacing w:after="120"/>
      <w:ind w:right="-330"/>
      <w:jc w:val="center"/>
      <w:rPr>
        <w:rFonts w:ascii="Arial" w:hAnsi="Arial"/>
        <w:sz w:val="18"/>
      </w:rPr>
    </w:pPr>
    <w:r w:rsidRPr="00EE36D1">
      <w:rPr>
        <w:rFonts w:ascii="Arial" w:hAnsi="Arial"/>
        <w:sz w:val="18"/>
      </w:rPr>
      <w:t xml:space="preserve">Law of Armed Conflict </w:t>
    </w:r>
    <w:r>
      <w:rPr>
        <w:rFonts w:ascii="Arial" w:hAnsi="Arial"/>
        <w:sz w:val="18"/>
      </w:rPr>
      <w:t>(</w:t>
    </w:r>
    <w:r w:rsidRPr="00EE36D1">
      <w:rPr>
        <w:rFonts w:ascii="Arial" w:hAnsi="Arial"/>
        <w:sz w:val="18"/>
      </w:rPr>
      <w:t>LAWS8610</w:t>
    </w:r>
    <w:r>
      <w:rPr>
        <w:rFonts w:ascii="Arial" w:hAnsi="Arial"/>
        <w:sz w:val="18"/>
      </w:rPr>
      <w:t>/</w:t>
    </w:r>
    <w:r w:rsidRPr="00EE36D1">
      <w:rPr>
        <w:rFonts w:ascii="Arial" w:hAnsi="Arial"/>
        <w:sz w:val="18"/>
      </w:rPr>
      <w:t>LW861)</w:t>
    </w:r>
    <w:r w:rsidR="00971465">
      <w:rPr>
        <w:rFonts w:ascii="Arial" w:hAnsi="Arial"/>
        <w:sz w:val="18"/>
      </w:rPr>
      <w:t xml:space="preserve"> - </w:t>
    </w:r>
    <w:r w:rsidR="008B2543">
      <w:rPr>
        <w:rFonts w:ascii="Arial" w:hAnsi="Arial"/>
        <w:sz w:val="18"/>
      </w:rPr>
      <w:t>(</w:t>
    </w:r>
    <w:r w:rsidR="00971465">
      <w:rPr>
        <w:rFonts w:ascii="Arial" w:hAnsi="Arial"/>
        <w:sz w:val="18"/>
      </w:rPr>
      <w:t>Sept. 20</w:t>
    </w:r>
    <w:r w:rsidR="001800D4">
      <w:rPr>
        <w:rFonts w:ascii="Arial" w:hAnsi="Arial"/>
        <w:sz w:val="18"/>
      </w:rPr>
      <w:t>20</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5E17B" w14:textId="77777777" w:rsidR="00DE129E" w:rsidRDefault="00DE129E" w:rsidP="009A2D37">
      <w:pPr>
        <w:spacing w:after="0" w:line="240" w:lineRule="auto"/>
      </w:pPr>
      <w:r>
        <w:separator/>
      </w:r>
    </w:p>
  </w:footnote>
  <w:footnote w:type="continuationSeparator" w:id="0">
    <w:p w14:paraId="1A171B1C" w14:textId="77777777" w:rsidR="00DE129E" w:rsidRDefault="00DE129E" w:rsidP="009A2D37">
      <w:pPr>
        <w:spacing w:after="0" w:line="240" w:lineRule="auto"/>
      </w:pPr>
      <w:r>
        <w:continuationSeparator/>
      </w:r>
    </w:p>
  </w:footnote>
  <w:footnote w:type="continuationNotice" w:id="1">
    <w:p w14:paraId="236B29B1" w14:textId="77777777" w:rsidR="00DE129E" w:rsidRDefault="00DE12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AD30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E08524C" wp14:editId="1049FA7D">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7ED80D7" w14:textId="77777777" w:rsidR="008B2543" w:rsidRPr="008C00F8" w:rsidRDefault="008B2543" w:rsidP="005E6D38">
    <w:pPr>
      <w:pStyle w:val="Heading1"/>
      <w:spacing w:before="60" w:after="60"/>
      <w:rPr>
        <w:rFonts w:ascii="Arial" w:hAnsi="Arial" w:cs="Arial"/>
      </w:rPr>
    </w:pPr>
  </w:p>
  <w:p w14:paraId="5D7489C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92D30" w14:textId="1D6FBE4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1B4ED4" wp14:editId="0FABBE16">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3F761C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0"/>
  </w:num>
  <w:num w:numId="6">
    <w:abstractNumId w:val="8"/>
  </w:num>
  <w:num w:numId="7">
    <w:abstractNumId w:val="12"/>
  </w:num>
  <w:num w:numId="8">
    <w:abstractNumId w:val="9"/>
  </w:num>
  <w:num w:numId="9">
    <w:abstractNumId w:val="11"/>
  </w:num>
  <w:num w:numId="10">
    <w:abstractNumId w:val="7"/>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18433">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409"/>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F4DB2"/>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0D4"/>
    <w:rsid w:val="00180558"/>
    <w:rsid w:val="001811E5"/>
    <w:rsid w:val="00183B34"/>
    <w:rsid w:val="00185F46"/>
    <w:rsid w:val="00196C6A"/>
    <w:rsid w:val="0019787E"/>
    <w:rsid w:val="001A0DB3"/>
    <w:rsid w:val="001A425B"/>
    <w:rsid w:val="001B1B28"/>
    <w:rsid w:val="001B27FB"/>
    <w:rsid w:val="001C3E7D"/>
    <w:rsid w:val="001C4A85"/>
    <w:rsid w:val="001C5443"/>
    <w:rsid w:val="001D0C7D"/>
    <w:rsid w:val="001D1F2D"/>
    <w:rsid w:val="001D2314"/>
    <w:rsid w:val="001D6398"/>
    <w:rsid w:val="001E1F45"/>
    <w:rsid w:val="001E3842"/>
    <w:rsid w:val="001E5D19"/>
    <w:rsid w:val="001E62C1"/>
    <w:rsid w:val="001F0779"/>
    <w:rsid w:val="001F3C3E"/>
    <w:rsid w:val="0020243A"/>
    <w:rsid w:val="002037B8"/>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128A"/>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0BBC"/>
    <w:rsid w:val="003E1FF7"/>
    <w:rsid w:val="003E311D"/>
    <w:rsid w:val="003F4470"/>
    <w:rsid w:val="003F5A04"/>
    <w:rsid w:val="003F67CD"/>
    <w:rsid w:val="00402ED7"/>
    <w:rsid w:val="004114F8"/>
    <w:rsid w:val="00422B69"/>
    <w:rsid w:val="00423D86"/>
    <w:rsid w:val="004244D0"/>
    <w:rsid w:val="00424C90"/>
    <w:rsid w:val="00436BE9"/>
    <w:rsid w:val="0044167F"/>
    <w:rsid w:val="00441E76"/>
    <w:rsid w:val="004443DA"/>
    <w:rsid w:val="004474A2"/>
    <w:rsid w:val="00460925"/>
    <w:rsid w:val="00471C6C"/>
    <w:rsid w:val="00472023"/>
    <w:rsid w:val="00486993"/>
    <w:rsid w:val="00492B66"/>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67E0"/>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49A0"/>
    <w:rsid w:val="006050CF"/>
    <w:rsid w:val="006253AA"/>
    <w:rsid w:val="00626023"/>
    <w:rsid w:val="00633150"/>
    <w:rsid w:val="00635D8A"/>
    <w:rsid w:val="00637A50"/>
    <w:rsid w:val="00641D6D"/>
    <w:rsid w:val="006438F3"/>
    <w:rsid w:val="00647907"/>
    <w:rsid w:val="00651A82"/>
    <w:rsid w:val="006525E9"/>
    <w:rsid w:val="006540F6"/>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07B44"/>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63CA"/>
    <w:rsid w:val="009C7082"/>
    <w:rsid w:val="009D0006"/>
    <w:rsid w:val="009D068C"/>
    <w:rsid w:val="009D21D4"/>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66547"/>
    <w:rsid w:val="00B67C87"/>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6016"/>
    <w:rsid w:val="00BF716B"/>
    <w:rsid w:val="00BF7233"/>
    <w:rsid w:val="00C02AA2"/>
    <w:rsid w:val="00C04C95"/>
    <w:rsid w:val="00C07A56"/>
    <w:rsid w:val="00C12613"/>
    <w:rsid w:val="00C16DEF"/>
    <w:rsid w:val="00C171E4"/>
    <w:rsid w:val="00C23409"/>
    <w:rsid w:val="00C2492F"/>
    <w:rsid w:val="00C31031"/>
    <w:rsid w:val="00C3744A"/>
    <w:rsid w:val="00C4002A"/>
    <w:rsid w:val="00C46912"/>
    <w:rsid w:val="00C612A8"/>
    <w:rsid w:val="00C67631"/>
    <w:rsid w:val="00C729D7"/>
    <w:rsid w:val="00C76865"/>
    <w:rsid w:val="00C83354"/>
    <w:rsid w:val="00C84004"/>
    <w:rsid w:val="00C843F6"/>
    <w:rsid w:val="00C84507"/>
    <w:rsid w:val="00C862C7"/>
    <w:rsid w:val="00C95CB5"/>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32484"/>
    <w:rsid w:val="00D65506"/>
    <w:rsid w:val="00D71DF4"/>
    <w:rsid w:val="00D773CF"/>
    <w:rsid w:val="00D80EEB"/>
    <w:rsid w:val="00D83563"/>
    <w:rsid w:val="00D8448F"/>
    <w:rsid w:val="00D97FE4"/>
    <w:rsid w:val="00DA64B6"/>
    <w:rsid w:val="00DB5C9D"/>
    <w:rsid w:val="00DD02E6"/>
    <w:rsid w:val="00DD2606"/>
    <w:rsid w:val="00DE129E"/>
    <w:rsid w:val="00DE388B"/>
    <w:rsid w:val="00DE4F08"/>
    <w:rsid w:val="00DE6275"/>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E36D1"/>
    <w:rsid w:val="00EF039B"/>
    <w:rsid w:val="00EF351D"/>
    <w:rsid w:val="00EF4933"/>
    <w:rsid w:val="00EF5044"/>
    <w:rsid w:val="00F00435"/>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28BD"/>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AF22940"/>
  <w15:docId w15:val="{63218ACB-555A-4175-8A49-A9E2D033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lang w:eastAsia="en-GB"/>
    </w:rPr>
  </w:style>
  <w:style w:type="table" w:styleId="LightList">
    <w:name w:val="Light List"/>
    <w:basedOn w:val="TableNormal"/>
    <w:uiPriority w:val="61"/>
    <w:rsid w:val="001800D4"/>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2D1EF-09CD-4DA8-BCC4-CAEDC95B44DA}">
  <ds:schemaRef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CB3C61A-3583-42B0-801E-285100361298}">
  <ds:schemaRefs>
    <ds:schemaRef ds:uri="http://schemas.microsoft.com/sharepoint/v3/contenttype/forms"/>
  </ds:schemaRefs>
</ds:datastoreItem>
</file>

<file path=customXml/itemProps3.xml><?xml version="1.0" encoding="utf-8"?>
<ds:datastoreItem xmlns:ds="http://schemas.openxmlformats.org/officeDocument/2006/customXml" ds:itemID="{E7F68651-F8CB-4E1E-B2D6-16E836E30C92}"/>
</file>

<file path=customXml/itemProps4.xml><?xml version="1.0" encoding="utf-8"?>
<ds:datastoreItem xmlns:ds="http://schemas.openxmlformats.org/officeDocument/2006/customXml" ds:itemID="{9D0AD9B1-E24B-44F0-A175-70B9E9EA2964}">
  <ds:schemaRefs>
    <ds:schemaRef ds:uri="http://schemas.microsoft.com/sharepoint/events"/>
  </ds:schemaRefs>
</ds:datastoreItem>
</file>

<file path=customXml/itemProps5.xml><?xml version="1.0" encoding="utf-8"?>
<ds:datastoreItem xmlns:ds="http://schemas.openxmlformats.org/officeDocument/2006/customXml" ds:itemID="{92605B2F-C0A2-4CE5-BC61-45D2E611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980</Words>
  <Characters>5591</Characters>
  <Application>Microsoft Office Word</Application>
  <DocSecurity>0</DocSecurity>
  <Lines>46</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University of Kent</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Sarah Collins</cp:lastModifiedBy>
  <cp:revision>4</cp:revision>
  <cp:lastPrinted>2015-09-24T14:18:00Z</cp:lastPrinted>
  <dcterms:created xsi:type="dcterms:W3CDTF">2020-01-15T13:33:00Z</dcterms:created>
  <dcterms:modified xsi:type="dcterms:W3CDTF">2020-01-15T13:34:00Z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0a87bce9-c261-4d1b-af2a-5a5509e74895</vt:lpwstr>
  </property>
  <property fmtid="{D5CDD505-2E9C-101B-9397-08002B2CF9AE}" pid="4" name="Order">
    <vt:r8>4800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