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D7D65" w14:textId="3C14A898" w:rsidR="009A2D37" w:rsidRPr="009929F8" w:rsidRDefault="00C07A56" w:rsidP="0066061A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T</w:t>
      </w:r>
      <w:r w:rsidR="009A2D37" w:rsidRPr="009929F8">
        <w:rPr>
          <w:rFonts w:ascii="Arial" w:hAnsi="Arial" w:cs="Arial"/>
          <w:b/>
          <w:sz w:val="20"/>
          <w:szCs w:val="20"/>
        </w:rPr>
        <w:t>itle of the module</w:t>
      </w:r>
    </w:p>
    <w:p w14:paraId="11F06D53" w14:textId="056BBDE3" w:rsidR="009A2D37" w:rsidRPr="009929F8" w:rsidRDefault="00FE062D" w:rsidP="0066061A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LAWS</w:t>
      </w:r>
      <w:r w:rsidR="004473D5">
        <w:rPr>
          <w:rFonts w:ascii="Arial" w:hAnsi="Arial" w:cs="Arial"/>
          <w:sz w:val="20"/>
          <w:szCs w:val="20"/>
        </w:rPr>
        <w:t>6550</w:t>
      </w:r>
      <w:r w:rsidRPr="009929F8">
        <w:rPr>
          <w:rFonts w:ascii="Arial" w:hAnsi="Arial" w:cs="Arial"/>
          <w:sz w:val="20"/>
          <w:szCs w:val="20"/>
        </w:rPr>
        <w:t xml:space="preserve"> (LW</w:t>
      </w:r>
      <w:r w:rsidR="004473D5">
        <w:rPr>
          <w:rFonts w:ascii="Arial" w:hAnsi="Arial" w:cs="Arial"/>
          <w:sz w:val="20"/>
          <w:szCs w:val="20"/>
        </w:rPr>
        <w:t>655</w:t>
      </w:r>
      <w:r w:rsidRPr="009929F8">
        <w:rPr>
          <w:rFonts w:ascii="Arial" w:hAnsi="Arial" w:cs="Arial"/>
          <w:sz w:val="20"/>
          <w:szCs w:val="20"/>
        </w:rPr>
        <w:t xml:space="preserve">): </w:t>
      </w:r>
      <w:r w:rsidR="00D73016" w:rsidRPr="009929F8">
        <w:rPr>
          <w:rFonts w:ascii="Arial" w:hAnsi="Arial" w:cs="Arial"/>
          <w:sz w:val="20"/>
          <w:szCs w:val="20"/>
        </w:rPr>
        <w:t>Sports</w:t>
      </w:r>
      <w:r w:rsidR="002F0A22" w:rsidRPr="009929F8">
        <w:rPr>
          <w:rFonts w:ascii="Arial" w:hAnsi="Arial" w:cs="Arial"/>
          <w:sz w:val="20"/>
          <w:szCs w:val="20"/>
        </w:rPr>
        <w:t xml:space="preserve"> Law</w:t>
      </w:r>
    </w:p>
    <w:p w14:paraId="4F9ED6A1" w14:textId="77777777" w:rsidR="00C07A56" w:rsidRPr="009929F8" w:rsidRDefault="00C07A56" w:rsidP="0066061A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</w:p>
    <w:p w14:paraId="1B9CB149" w14:textId="79E1F84E" w:rsidR="009A2D37" w:rsidRPr="009929F8" w:rsidRDefault="00AA3710" w:rsidP="004F23A9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Division</w:t>
      </w:r>
      <w:r w:rsidR="009A2D37" w:rsidRPr="009929F8">
        <w:rPr>
          <w:rFonts w:ascii="Arial" w:hAnsi="Arial" w:cs="Arial"/>
          <w:b/>
          <w:sz w:val="20"/>
          <w:szCs w:val="20"/>
        </w:rPr>
        <w:t xml:space="preserve"> or partner institution which will be responsible for management of the module</w:t>
      </w:r>
    </w:p>
    <w:p w14:paraId="654A0C58" w14:textId="288627CC" w:rsidR="009A2D37" w:rsidRPr="009929F8" w:rsidRDefault="003C592A" w:rsidP="004F23A9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Law, Society and Social Justice: </w:t>
      </w:r>
      <w:r w:rsidR="00380EAE" w:rsidRPr="009929F8">
        <w:rPr>
          <w:rFonts w:ascii="Arial" w:hAnsi="Arial" w:cs="Arial"/>
          <w:sz w:val="20"/>
          <w:szCs w:val="20"/>
        </w:rPr>
        <w:t>Kent Law School</w:t>
      </w:r>
    </w:p>
    <w:p w14:paraId="64C8691A" w14:textId="77777777" w:rsidR="00C07A56" w:rsidRPr="009929F8" w:rsidRDefault="00C07A56" w:rsidP="004F23A9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</w:p>
    <w:p w14:paraId="7775022D" w14:textId="77777777" w:rsidR="009A2D37" w:rsidRPr="009929F8" w:rsidRDefault="009A2D37" w:rsidP="0066061A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The level of the module (e.g.</w:t>
      </w:r>
      <w:r w:rsidR="004B4865" w:rsidRPr="009929F8">
        <w:rPr>
          <w:rFonts w:ascii="Arial" w:hAnsi="Arial" w:cs="Arial"/>
          <w:b/>
          <w:sz w:val="20"/>
          <w:szCs w:val="20"/>
        </w:rPr>
        <w:t xml:space="preserve"> </w:t>
      </w:r>
      <w:r w:rsidR="00D83563" w:rsidRPr="009929F8">
        <w:rPr>
          <w:rFonts w:ascii="Arial" w:hAnsi="Arial" w:cs="Arial"/>
          <w:b/>
          <w:sz w:val="20"/>
          <w:szCs w:val="20"/>
        </w:rPr>
        <w:t>Level</w:t>
      </w:r>
      <w:r w:rsidR="00441E76" w:rsidRPr="009929F8">
        <w:rPr>
          <w:rFonts w:ascii="Arial" w:hAnsi="Arial" w:cs="Arial"/>
          <w:b/>
          <w:sz w:val="20"/>
          <w:szCs w:val="20"/>
        </w:rPr>
        <w:t xml:space="preserve"> 4</w:t>
      </w:r>
      <w:r w:rsidR="001D0C7D" w:rsidRPr="009929F8">
        <w:rPr>
          <w:rFonts w:ascii="Arial" w:hAnsi="Arial" w:cs="Arial"/>
          <w:b/>
          <w:sz w:val="20"/>
          <w:szCs w:val="20"/>
        </w:rPr>
        <w:t xml:space="preserve">, </w:t>
      </w:r>
      <w:r w:rsidR="00441E76" w:rsidRPr="009929F8">
        <w:rPr>
          <w:rFonts w:ascii="Arial" w:hAnsi="Arial" w:cs="Arial"/>
          <w:b/>
          <w:sz w:val="20"/>
          <w:szCs w:val="20"/>
        </w:rPr>
        <w:t>Level 5</w:t>
      </w:r>
      <w:r w:rsidR="001D0C7D" w:rsidRPr="009929F8">
        <w:rPr>
          <w:rFonts w:ascii="Arial" w:hAnsi="Arial" w:cs="Arial"/>
          <w:b/>
          <w:sz w:val="20"/>
          <w:szCs w:val="20"/>
        </w:rPr>
        <w:t xml:space="preserve">, </w:t>
      </w:r>
      <w:r w:rsidR="00441E76" w:rsidRPr="009929F8">
        <w:rPr>
          <w:rFonts w:ascii="Arial" w:hAnsi="Arial" w:cs="Arial"/>
          <w:b/>
          <w:sz w:val="20"/>
          <w:szCs w:val="20"/>
        </w:rPr>
        <w:t>Level 6</w:t>
      </w:r>
      <w:r w:rsidR="001D0C7D" w:rsidRPr="009929F8">
        <w:rPr>
          <w:rFonts w:ascii="Arial" w:hAnsi="Arial" w:cs="Arial"/>
          <w:b/>
          <w:sz w:val="20"/>
          <w:szCs w:val="20"/>
        </w:rPr>
        <w:t xml:space="preserve"> or </w:t>
      </w:r>
      <w:r w:rsidR="00C612A8" w:rsidRPr="009929F8">
        <w:rPr>
          <w:rFonts w:ascii="Arial" w:hAnsi="Arial" w:cs="Arial"/>
          <w:b/>
          <w:sz w:val="20"/>
          <w:szCs w:val="20"/>
        </w:rPr>
        <w:t>L</w:t>
      </w:r>
      <w:r w:rsidR="00441E76" w:rsidRPr="009929F8">
        <w:rPr>
          <w:rFonts w:ascii="Arial" w:hAnsi="Arial" w:cs="Arial"/>
          <w:b/>
          <w:sz w:val="20"/>
          <w:szCs w:val="20"/>
        </w:rPr>
        <w:t>evel 7</w:t>
      </w:r>
      <w:r w:rsidRPr="009929F8">
        <w:rPr>
          <w:rFonts w:ascii="Arial" w:hAnsi="Arial" w:cs="Arial"/>
          <w:b/>
          <w:sz w:val="20"/>
          <w:szCs w:val="20"/>
        </w:rPr>
        <w:t>)</w:t>
      </w:r>
    </w:p>
    <w:p w14:paraId="5EE18297" w14:textId="77777777" w:rsidR="009A2D37" w:rsidRPr="009929F8" w:rsidRDefault="002F0A22" w:rsidP="004F23A9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>Level</w:t>
      </w:r>
      <w:r w:rsidRPr="009929F8">
        <w:rPr>
          <w:rFonts w:ascii="Arial" w:hAnsi="Arial" w:cs="Arial"/>
          <w:sz w:val="20"/>
          <w:szCs w:val="20"/>
        </w:rPr>
        <w:t xml:space="preserve"> 6</w:t>
      </w:r>
    </w:p>
    <w:p w14:paraId="0C5BB9A5" w14:textId="77777777" w:rsidR="00C07A56" w:rsidRPr="009929F8" w:rsidRDefault="00C07A56" w:rsidP="004F23A9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</w:p>
    <w:p w14:paraId="35ED99CD" w14:textId="77777777" w:rsidR="009A2D37" w:rsidRPr="009929F8" w:rsidRDefault="009A2D37" w:rsidP="004F23A9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 xml:space="preserve">The number of credits and the ECTS value which the module represents </w:t>
      </w:r>
    </w:p>
    <w:p w14:paraId="7732236A" w14:textId="77777777" w:rsidR="00BC1D37" w:rsidRPr="009929F8" w:rsidRDefault="00BC1D37" w:rsidP="0066061A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15</w:t>
      </w:r>
      <w:r w:rsidR="002F0A22" w:rsidRPr="009929F8">
        <w:rPr>
          <w:rFonts w:ascii="Arial" w:hAnsi="Arial" w:cs="Arial"/>
          <w:sz w:val="20"/>
          <w:szCs w:val="20"/>
        </w:rPr>
        <w:t xml:space="preserve"> credits (</w:t>
      </w:r>
      <w:r w:rsidRPr="009929F8">
        <w:rPr>
          <w:rFonts w:ascii="Arial" w:hAnsi="Arial" w:cs="Arial"/>
          <w:sz w:val="20"/>
          <w:szCs w:val="20"/>
        </w:rPr>
        <w:t>7.5 ECTS Credits)</w:t>
      </w:r>
    </w:p>
    <w:p w14:paraId="59858075" w14:textId="77777777" w:rsidR="00C07A56" w:rsidRPr="009929F8" w:rsidRDefault="00C07A56" w:rsidP="005E3FA7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</w:p>
    <w:p w14:paraId="719DF885" w14:textId="77777777" w:rsidR="009A2D37" w:rsidRPr="009929F8" w:rsidRDefault="009A2D37" w:rsidP="004F23A9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929F8">
        <w:rPr>
          <w:rFonts w:ascii="Arial" w:hAnsi="Arial" w:cs="Arial"/>
          <w:b/>
          <w:sz w:val="20"/>
          <w:szCs w:val="20"/>
        </w:rPr>
        <w:t>Which term(s) the module is to be taught in (or other teaching pattern)</w:t>
      </w:r>
    </w:p>
    <w:p w14:paraId="5453F55C" w14:textId="77777777" w:rsidR="00BC1D37" w:rsidRPr="009929F8" w:rsidRDefault="002F0A22" w:rsidP="004F23A9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Autumn</w:t>
      </w:r>
      <w:r w:rsidR="004B4865" w:rsidRPr="009929F8">
        <w:rPr>
          <w:rFonts w:ascii="Arial" w:hAnsi="Arial" w:cs="Arial"/>
          <w:sz w:val="20"/>
          <w:szCs w:val="20"/>
        </w:rPr>
        <w:t xml:space="preserve"> </w:t>
      </w:r>
      <w:r w:rsidR="00220C6E" w:rsidRPr="009929F8">
        <w:rPr>
          <w:rFonts w:ascii="Arial" w:hAnsi="Arial" w:cs="Arial"/>
          <w:sz w:val="20"/>
          <w:szCs w:val="20"/>
        </w:rPr>
        <w:t>or Spring</w:t>
      </w:r>
    </w:p>
    <w:p w14:paraId="33F8ABC1" w14:textId="77777777" w:rsidR="00C07A56" w:rsidRPr="009929F8" w:rsidRDefault="00C07A56" w:rsidP="004F23A9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65E1E314" w14:textId="77777777" w:rsidR="00B2615F" w:rsidRPr="009929F8" w:rsidRDefault="00B2615F" w:rsidP="004F23A9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Prerequisite and co-requisite modules</w:t>
      </w:r>
    </w:p>
    <w:p w14:paraId="25D1598C" w14:textId="77777777" w:rsidR="005E3FA7" w:rsidRPr="009929F8" w:rsidRDefault="002F0A22" w:rsidP="004F23A9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None</w:t>
      </w:r>
    </w:p>
    <w:p w14:paraId="6B651D2F" w14:textId="77777777" w:rsidR="005E3FA7" w:rsidRPr="009929F8" w:rsidRDefault="005E3FA7" w:rsidP="005E3FA7">
      <w:pPr>
        <w:spacing w:after="120" w:line="240" w:lineRule="auto"/>
        <w:ind w:left="426" w:right="260"/>
        <w:rPr>
          <w:rFonts w:ascii="Arial" w:hAnsi="Arial" w:cs="Arial"/>
          <w:b/>
          <w:sz w:val="20"/>
          <w:szCs w:val="20"/>
        </w:rPr>
      </w:pPr>
    </w:p>
    <w:p w14:paraId="211D7F4C" w14:textId="77777777" w:rsidR="009A2D37" w:rsidRPr="009929F8" w:rsidRDefault="009A2D37" w:rsidP="004F23A9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929F8">
        <w:rPr>
          <w:rFonts w:ascii="Arial" w:hAnsi="Arial" w:cs="Arial"/>
          <w:b/>
          <w:sz w:val="20"/>
          <w:szCs w:val="20"/>
        </w:rPr>
        <w:t>The programmes of study to which the module contributes</w:t>
      </w:r>
    </w:p>
    <w:p w14:paraId="03A95DC1" w14:textId="1EC6BFD1" w:rsidR="009A2D37" w:rsidRPr="009929F8" w:rsidRDefault="002F0A22" w:rsidP="004F23A9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>All Social Sciences undergraduate Law</w:t>
      </w:r>
      <w:r w:rsidRPr="009929F8">
        <w:rPr>
          <w:rFonts w:ascii="Arial" w:hAnsi="Arial" w:cs="Arial"/>
          <w:sz w:val="20"/>
          <w:szCs w:val="20"/>
        </w:rPr>
        <w:t xml:space="preserve"> programmes</w:t>
      </w:r>
      <w:r w:rsidR="00D73016" w:rsidRPr="009929F8">
        <w:rPr>
          <w:rFonts w:ascii="Arial" w:hAnsi="Arial" w:cs="Arial"/>
          <w:sz w:val="20"/>
          <w:szCs w:val="20"/>
        </w:rPr>
        <w:t xml:space="preserve">. In addition, the module is </w:t>
      </w:r>
      <w:r w:rsidR="003B7CE9" w:rsidRPr="009929F8">
        <w:rPr>
          <w:rFonts w:ascii="Arial" w:hAnsi="Arial" w:cs="Arial"/>
          <w:sz w:val="20"/>
          <w:szCs w:val="20"/>
        </w:rPr>
        <w:t>available as a</w:t>
      </w:r>
      <w:r w:rsidR="00B96F2F">
        <w:rPr>
          <w:rFonts w:ascii="Arial" w:hAnsi="Arial" w:cs="Arial"/>
          <w:sz w:val="20"/>
          <w:szCs w:val="20"/>
        </w:rPr>
        <w:t xml:space="preserve"> wild option. </w:t>
      </w:r>
    </w:p>
    <w:p w14:paraId="137E721C" w14:textId="77777777" w:rsidR="00C07A56" w:rsidRPr="009929F8" w:rsidRDefault="00C07A56" w:rsidP="004F23A9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</w:p>
    <w:p w14:paraId="74EC4A1A" w14:textId="77777777" w:rsidR="009A2D37" w:rsidRPr="009929F8" w:rsidRDefault="009A2D37" w:rsidP="004F23A9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The intended subject specific learning outcomes</w:t>
      </w:r>
      <w:r w:rsidR="00C729D7" w:rsidRPr="009929F8">
        <w:rPr>
          <w:rFonts w:ascii="Arial" w:hAnsi="Arial" w:cs="Arial"/>
          <w:b/>
          <w:sz w:val="20"/>
          <w:szCs w:val="20"/>
        </w:rPr>
        <w:t>.</w:t>
      </w:r>
      <w:r w:rsidR="00C729D7" w:rsidRPr="009929F8">
        <w:rPr>
          <w:rFonts w:ascii="Arial" w:hAnsi="Arial" w:cs="Arial"/>
          <w:b/>
          <w:sz w:val="20"/>
          <w:szCs w:val="20"/>
        </w:rPr>
        <w:br/>
        <w:t>On successfully completing the module students will be able to:</w:t>
      </w:r>
    </w:p>
    <w:p w14:paraId="27E3AE8C" w14:textId="21262416" w:rsidR="002D008B" w:rsidRPr="009929F8" w:rsidRDefault="003B7CE9" w:rsidP="004F23A9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Demonstrate a </w:t>
      </w:r>
      <w:r w:rsidR="00072299" w:rsidRPr="009929F8">
        <w:rPr>
          <w:rFonts w:ascii="Arial" w:hAnsi="Arial" w:cs="Arial"/>
          <w:sz w:val="20"/>
          <w:szCs w:val="20"/>
        </w:rPr>
        <w:t>detailed</w:t>
      </w:r>
      <w:r w:rsidRPr="009929F8">
        <w:rPr>
          <w:rFonts w:ascii="Arial" w:hAnsi="Arial" w:cs="Arial"/>
          <w:sz w:val="20"/>
          <w:szCs w:val="20"/>
        </w:rPr>
        <w:t xml:space="preserve"> understanding of foundational elements </w:t>
      </w:r>
      <w:r w:rsidR="00353254" w:rsidRPr="009929F8">
        <w:rPr>
          <w:rFonts w:ascii="Arial" w:hAnsi="Arial" w:cs="Arial"/>
          <w:sz w:val="20"/>
          <w:szCs w:val="20"/>
        </w:rPr>
        <w:t>and issues concerning</w:t>
      </w:r>
      <w:r w:rsidRPr="009929F8">
        <w:rPr>
          <w:rFonts w:ascii="Arial" w:hAnsi="Arial" w:cs="Arial"/>
          <w:sz w:val="20"/>
          <w:szCs w:val="20"/>
        </w:rPr>
        <w:t xml:space="preserve"> sports law</w:t>
      </w:r>
      <w:r w:rsidR="002D008B" w:rsidRPr="009929F8">
        <w:rPr>
          <w:rFonts w:ascii="Arial" w:hAnsi="Arial" w:cs="Arial"/>
          <w:sz w:val="20"/>
          <w:szCs w:val="20"/>
        </w:rPr>
        <w:t>.</w:t>
      </w:r>
    </w:p>
    <w:p w14:paraId="64AC084C" w14:textId="4F432287" w:rsidR="002F0A22" w:rsidRPr="009929F8" w:rsidRDefault="002D008B" w:rsidP="004F23A9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Demonstrate a</w:t>
      </w:r>
      <w:r w:rsidR="00072299" w:rsidRPr="009929F8">
        <w:rPr>
          <w:rFonts w:ascii="Arial" w:hAnsi="Arial" w:cs="Arial"/>
          <w:sz w:val="20"/>
          <w:szCs w:val="20"/>
        </w:rPr>
        <w:t xml:space="preserve"> detailed</w:t>
      </w:r>
      <w:r w:rsidRPr="009929F8">
        <w:rPr>
          <w:rFonts w:ascii="Arial" w:hAnsi="Arial" w:cs="Arial"/>
          <w:sz w:val="20"/>
          <w:szCs w:val="20"/>
        </w:rPr>
        <w:t xml:space="preserve"> appreciation of the international context and influences on the development of sports law</w:t>
      </w:r>
      <w:r w:rsidR="00072299" w:rsidRPr="009929F8">
        <w:rPr>
          <w:rFonts w:ascii="Arial" w:hAnsi="Arial" w:cs="Arial"/>
          <w:sz w:val="20"/>
          <w:szCs w:val="20"/>
        </w:rPr>
        <w:t>.</w:t>
      </w:r>
    </w:p>
    <w:p w14:paraId="36C74AD7" w14:textId="691483B3" w:rsidR="002D008B" w:rsidRPr="009929F8" w:rsidRDefault="003B7CE9" w:rsidP="004F23A9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Demonstrate a </w:t>
      </w:r>
      <w:r w:rsidR="00072299" w:rsidRPr="009929F8">
        <w:rPr>
          <w:rFonts w:ascii="Arial" w:hAnsi="Arial" w:cs="Arial"/>
          <w:sz w:val="20"/>
          <w:szCs w:val="20"/>
        </w:rPr>
        <w:t>detailed</w:t>
      </w:r>
      <w:r w:rsidRPr="009929F8">
        <w:rPr>
          <w:rFonts w:ascii="Arial" w:hAnsi="Arial" w:cs="Arial"/>
          <w:sz w:val="20"/>
          <w:szCs w:val="20"/>
        </w:rPr>
        <w:t xml:space="preserve"> appreciation of the role of law </w:t>
      </w:r>
      <w:r w:rsidR="00072299" w:rsidRPr="009929F8">
        <w:rPr>
          <w:rFonts w:ascii="Arial" w:hAnsi="Arial" w:cs="Arial"/>
          <w:sz w:val="20"/>
          <w:szCs w:val="20"/>
        </w:rPr>
        <w:t xml:space="preserve">in </w:t>
      </w:r>
      <w:r w:rsidRPr="009929F8">
        <w:rPr>
          <w:rFonts w:ascii="Arial" w:hAnsi="Arial" w:cs="Arial"/>
          <w:sz w:val="20"/>
          <w:szCs w:val="20"/>
        </w:rPr>
        <w:t>giving effect to sports p</w:t>
      </w:r>
      <w:r w:rsidR="002D008B" w:rsidRPr="009929F8">
        <w:rPr>
          <w:rFonts w:ascii="Arial" w:hAnsi="Arial" w:cs="Arial"/>
          <w:sz w:val="20"/>
          <w:szCs w:val="20"/>
        </w:rPr>
        <w:t>olicy objectives and values</w:t>
      </w:r>
      <w:r w:rsidR="00BC4824">
        <w:rPr>
          <w:rFonts w:ascii="Arial" w:hAnsi="Arial" w:cs="Arial"/>
          <w:sz w:val="20"/>
          <w:szCs w:val="20"/>
        </w:rPr>
        <w:t>.</w:t>
      </w:r>
    </w:p>
    <w:p w14:paraId="168EDDEB" w14:textId="40B1D925" w:rsidR="002F0A22" w:rsidRPr="009929F8" w:rsidRDefault="00072299" w:rsidP="004F23A9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O</w:t>
      </w:r>
      <w:r w:rsidR="00251B14" w:rsidRPr="009929F8">
        <w:rPr>
          <w:rFonts w:ascii="Arial" w:hAnsi="Arial" w:cs="Arial"/>
          <w:sz w:val="20"/>
          <w:szCs w:val="20"/>
        </w:rPr>
        <w:t>ffer c</w:t>
      </w:r>
      <w:r w:rsidR="003B7CE9" w:rsidRPr="009929F8">
        <w:rPr>
          <w:rFonts w:ascii="Arial" w:hAnsi="Arial" w:cs="Arial"/>
          <w:sz w:val="20"/>
          <w:szCs w:val="20"/>
        </w:rPr>
        <w:t xml:space="preserve">ritical evaluation of the role of law </w:t>
      </w:r>
      <w:r w:rsidR="00322CA2" w:rsidRPr="009929F8">
        <w:rPr>
          <w:rFonts w:ascii="Arial" w:hAnsi="Arial" w:cs="Arial"/>
          <w:sz w:val="20"/>
          <w:szCs w:val="20"/>
        </w:rPr>
        <w:t>and policy</w:t>
      </w:r>
      <w:r w:rsidR="004B4865" w:rsidRPr="009929F8">
        <w:rPr>
          <w:rFonts w:ascii="Arial" w:hAnsi="Arial" w:cs="Arial"/>
          <w:sz w:val="20"/>
          <w:szCs w:val="20"/>
        </w:rPr>
        <w:t xml:space="preserve"> </w:t>
      </w:r>
      <w:r w:rsidR="00353254" w:rsidRPr="009929F8">
        <w:rPr>
          <w:rFonts w:ascii="Arial" w:hAnsi="Arial" w:cs="Arial"/>
          <w:sz w:val="20"/>
          <w:szCs w:val="20"/>
        </w:rPr>
        <w:t>involved in the development of sport</w:t>
      </w:r>
      <w:r w:rsidR="00322CA2" w:rsidRPr="009929F8">
        <w:rPr>
          <w:rFonts w:ascii="Arial" w:hAnsi="Arial" w:cs="Arial"/>
          <w:sz w:val="20"/>
          <w:szCs w:val="20"/>
        </w:rPr>
        <w:t>s governance</w:t>
      </w:r>
      <w:r w:rsidR="00BC4824">
        <w:rPr>
          <w:rFonts w:ascii="Arial" w:hAnsi="Arial" w:cs="Arial"/>
          <w:sz w:val="20"/>
          <w:szCs w:val="20"/>
        </w:rPr>
        <w:t>.</w:t>
      </w:r>
    </w:p>
    <w:p w14:paraId="01E4429D" w14:textId="04143695" w:rsidR="00322CA2" w:rsidRPr="009929F8" w:rsidRDefault="00072299" w:rsidP="00D64126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L</w:t>
      </w:r>
      <w:r w:rsidR="00353254" w:rsidRPr="009929F8">
        <w:rPr>
          <w:rFonts w:ascii="Arial" w:hAnsi="Arial" w:cs="Arial"/>
          <w:sz w:val="20"/>
          <w:szCs w:val="20"/>
        </w:rPr>
        <w:t>ocat</w:t>
      </w:r>
      <w:r w:rsidRPr="009929F8">
        <w:rPr>
          <w:rFonts w:ascii="Arial" w:hAnsi="Arial" w:cs="Arial"/>
          <w:sz w:val="20"/>
          <w:szCs w:val="20"/>
        </w:rPr>
        <w:t>e</w:t>
      </w:r>
      <w:r w:rsidR="00290A2D" w:rsidRPr="009929F8">
        <w:rPr>
          <w:rFonts w:ascii="Arial" w:hAnsi="Arial" w:cs="Arial"/>
          <w:sz w:val="20"/>
          <w:szCs w:val="20"/>
        </w:rPr>
        <w:t xml:space="preserve"> and</w:t>
      </w:r>
      <w:r w:rsidR="00353254" w:rsidRPr="009929F8">
        <w:rPr>
          <w:rFonts w:ascii="Arial" w:hAnsi="Arial" w:cs="Arial"/>
          <w:sz w:val="20"/>
          <w:szCs w:val="20"/>
        </w:rPr>
        <w:t xml:space="preserve"> retriev</w:t>
      </w:r>
      <w:r w:rsidRPr="009929F8">
        <w:rPr>
          <w:rFonts w:ascii="Arial" w:hAnsi="Arial" w:cs="Arial"/>
          <w:sz w:val="20"/>
          <w:szCs w:val="20"/>
        </w:rPr>
        <w:t>e</w:t>
      </w:r>
      <w:r w:rsidR="00353254" w:rsidRPr="009929F8">
        <w:rPr>
          <w:rFonts w:ascii="Arial" w:hAnsi="Arial" w:cs="Arial"/>
          <w:sz w:val="20"/>
          <w:szCs w:val="20"/>
        </w:rPr>
        <w:t xml:space="preserve"> legal, policy and other relevant sources for the study of sports law and using these effectively in written work.</w:t>
      </w:r>
    </w:p>
    <w:p w14:paraId="2CDC2407" w14:textId="167EB33F" w:rsidR="00353254" w:rsidRPr="009929F8" w:rsidRDefault="00D64126" w:rsidP="00353254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Understand relevant legal sources such as legislative material and judicial decisions.</w:t>
      </w:r>
    </w:p>
    <w:p w14:paraId="145EF3B8" w14:textId="15AF2572" w:rsidR="00373ACB" w:rsidRPr="009929F8" w:rsidRDefault="00373ACB" w:rsidP="00353254">
      <w:pPr>
        <w:pStyle w:val="ListParagraph"/>
        <w:spacing w:after="120" w:line="240" w:lineRule="auto"/>
        <w:ind w:left="851" w:right="260"/>
        <w:rPr>
          <w:rFonts w:ascii="Arial" w:hAnsi="Arial" w:cs="Arial"/>
          <w:sz w:val="20"/>
          <w:szCs w:val="20"/>
        </w:rPr>
      </w:pPr>
    </w:p>
    <w:p w14:paraId="19B895CA" w14:textId="77777777" w:rsidR="00380EAE" w:rsidRPr="009929F8" w:rsidRDefault="009A2D37" w:rsidP="0066061A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The intended generic learning outcomes</w:t>
      </w:r>
      <w:r w:rsidR="00C729D7" w:rsidRPr="009929F8">
        <w:rPr>
          <w:rFonts w:ascii="Arial" w:hAnsi="Arial" w:cs="Arial"/>
          <w:b/>
          <w:sz w:val="20"/>
          <w:szCs w:val="20"/>
        </w:rPr>
        <w:t>.</w:t>
      </w:r>
      <w:r w:rsidR="00C729D7" w:rsidRPr="009929F8">
        <w:rPr>
          <w:rFonts w:ascii="Arial" w:hAnsi="Arial" w:cs="Arial"/>
          <w:b/>
          <w:sz w:val="20"/>
          <w:szCs w:val="20"/>
        </w:rPr>
        <w:br/>
        <w:t>On successfully completing the module students will be able to:</w:t>
      </w:r>
    </w:p>
    <w:p w14:paraId="595725D9" w14:textId="2CEFDE92" w:rsidR="00353254" w:rsidRPr="009929F8" w:rsidRDefault="00251B14" w:rsidP="00353254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Demonstrate an ability to </w:t>
      </w:r>
      <w:r w:rsidR="00353254" w:rsidRPr="009929F8">
        <w:rPr>
          <w:rFonts w:ascii="Arial" w:hAnsi="Arial" w:cs="Arial"/>
          <w:sz w:val="20"/>
          <w:szCs w:val="20"/>
        </w:rPr>
        <w:t>analyse salient issues and problems and critically appraise the issues to their wider socio-economic context</w:t>
      </w:r>
      <w:r w:rsidR="00BC4824">
        <w:rPr>
          <w:rFonts w:ascii="Arial" w:hAnsi="Arial" w:cs="Arial"/>
          <w:sz w:val="20"/>
          <w:szCs w:val="20"/>
        </w:rPr>
        <w:t>.</w:t>
      </w:r>
    </w:p>
    <w:p w14:paraId="7F53C9E6" w14:textId="093A4682" w:rsidR="00A430D6" w:rsidRPr="009929F8" w:rsidRDefault="00353254" w:rsidP="00B55B91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Present research-substantiated </w:t>
      </w:r>
      <w:r w:rsidR="00B55B91" w:rsidRPr="009929F8">
        <w:rPr>
          <w:rFonts w:ascii="Arial" w:hAnsi="Arial" w:cs="Arial"/>
          <w:sz w:val="20"/>
          <w:szCs w:val="20"/>
        </w:rPr>
        <w:t>analysis and arguments in written work</w:t>
      </w:r>
      <w:r w:rsidR="00BC4824">
        <w:rPr>
          <w:rFonts w:ascii="Arial" w:hAnsi="Arial" w:cs="Arial"/>
          <w:sz w:val="20"/>
          <w:szCs w:val="20"/>
        </w:rPr>
        <w:t>.</w:t>
      </w:r>
    </w:p>
    <w:p w14:paraId="4C75751D" w14:textId="3DB09951" w:rsidR="00B55B91" w:rsidRPr="009929F8" w:rsidRDefault="00A430D6" w:rsidP="00B55B91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Recognise and evaluate</w:t>
      </w:r>
      <w:r w:rsidR="00B55B91" w:rsidRPr="009929F8">
        <w:rPr>
          <w:rFonts w:ascii="Arial" w:hAnsi="Arial" w:cs="Arial"/>
          <w:sz w:val="20"/>
          <w:szCs w:val="20"/>
        </w:rPr>
        <w:t xml:space="preserve"> alternative solutions to problems</w:t>
      </w:r>
      <w:r w:rsidR="00BC4824">
        <w:rPr>
          <w:rFonts w:ascii="Arial" w:hAnsi="Arial" w:cs="Arial"/>
          <w:sz w:val="20"/>
          <w:szCs w:val="20"/>
        </w:rPr>
        <w:t>.</w:t>
      </w:r>
    </w:p>
    <w:p w14:paraId="511ABD6A" w14:textId="21F3F9C1" w:rsidR="00B55B91" w:rsidRPr="009929F8" w:rsidRDefault="00141603" w:rsidP="00B55B91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Demonstrate</w:t>
      </w:r>
      <w:r w:rsidR="00B55B91" w:rsidRPr="009929F8">
        <w:rPr>
          <w:rFonts w:ascii="Arial" w:hAnsi="Arial" w:cs="Arial"/>
          <w:sz w:val="20"/>
          <w:szCs w:val="20"/>
        </w:rPr>
        <w:t xml:space="preserve"> self-critical learning skills, including reflection upon learning progress</w:t>
      </w:r>
      <w:r w:rsidR="00BC4824">
        <w:rPr>
          <w:rFonts w:ascii="Arial" w:hAnsi="Arial" w:cs="Arial"/>
          <w:sz w:val="20"/>
          <w:szCs w:val="20"/>
        </w:rPr>
        <w:t>.</w:t>
      </w:r>
    </w:p>
    <w:p w14:paraId="09E16A39" w14:textId="77777777" w:rsidR="002F0A22" w:rsidRPr="009929F8" w:rsidRDefault="00B55B91" w:rsidP="00B55B91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O</w:t>
      </w:r>
      <w:r w:rsidR="002F0A22" w:rsidRPr="009929F8">
        <w:rPr>
          <w:rFonts w:ascii="Arial" w:hAnsi="Arial" w:cs="Arial"/>
          <w:sz w:val="20"/>
          <w:szCs w:val="20"/>
        </w:rPr>
        <w:t xml:space="preserve">rganise their work, engage in independent </w:t>
      </w:r>
      <w:r w:rsidRPr="009929F8">
        <w:rPr>
          <w:rFonts w:ascii="Arial" w:hAnsi="Arial" w:cs="Arial"/>
          <w:sz w:val="20"/>
          <w:szCs w:val="20"/>
        </w:rPr>
        <w:t xml:space="preserve">research, </w:t>
      </w:r>
      <w:r w:rsidR="00A430D6" w:rsidRPr="009929F8">
        <w:rPr>
          <w:rFonts w:ascii="Arial" w:hAnsi="Arial" w:cs="Arial"/>
          <w:sz w:val="20"/>
          <w:szCs w:val="20"/>
        </w:rPr>
        <w:t>study and use of resources</w:t>
      </w:r>
      <w:r w:rsidRPr="009929F8">
        <w:rPr>
          <w:rFonts w:ascii="Arial" w:hAnsi="Arial" w:cs="Arial"/>
          <w:sz w:val="20"/>
          <w:szCs w:val="20"/>
        </w:rPr>
        <w:t>.</w:t>
      </w:r>
    </w:p>
    <w:p w14:paraId="27B4B099" w14:textId="6C522252" w:rsidR="00251B14" w:rsidRPr="009929F8" w:rsidRDefault="00322CA2" w:rsidP="00B55B91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Produce written work in an appropriate format, with correct use of spelling, punctuation, grammar, citation and references.</w:t>
      </w:r>
    </w:p>
    <w:p w14:paraId="59E7B7A5" w14:textId="6EEC16DE" w:rsidR="009A2D37" w:rsidRPr="009929F8" w:rsidRDefault="00B55B91" w:rsidP="009929F8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eastAsia="Times New Roman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9929F8">
        <w:rPr>
          <w:rFonts w:ascii="Arial" w:eastAsia="Times New Roman" w:hAnsi="Arial" w:cs="Arial"/>
          <w:b/>
          <w:sz w:val="20"/>
          <w:szCs w:val="20"/>
          <w:lang w:eastAsia="en-US"/>
        </w:rPr>
        <w:br w:type="page"/>
      </w:r>
      <w:r w:rsidR="009A2D37" w:rsidRPr="009929F8">
        <w:rPr>
          <w:rFonts w:ascii="Arial" w:hAnsi="Arial" w:cs="Arial"/>
          <w:b/>
          <w:sz w:val="20"/>
          <w:szCs w:val="20"/>
        </w:rPr>
        <w:lastRenderedPageBreak/>
        <w:t>A synopsis of the curriculum</w:t>
      </w:r>
    </w:p>
    <w:p w14:paraId="297D1B85" w14:textId="126D9FCF" w:rsidR="00322CA2" w:rsidRPr="009929F8" w:rsidRDefault="002572DF" w:rsidP="00322CA2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The overall objective of the module is to provide a</w:t>
      </w:r>
      <w:r w:rsidR="001315D1">
        <w:rPr>
          <w:rFonts w:ascii="Arial" w:hAnsi="Arial" w:cs="Arial"/>
          <w:sz w:val="20"/>
          <w:szCs w:val="20"/>
        </w:rPr>
        <w:t>n</w:t>
      </w:r>
      <w:r w:rsidRPr="009929F8">
        <w:rPr>
          <w:rFonts w:ascii="Arial" w:hAnsi="Arial" w:cs="Arial"/>
          <w:sz w:val="20"/>
          <w:szCs w:val="20"/>
        </w:rPr>
        <w:t xml:space="preserve"> exposition </w:t>
      </w:r>
      <w:r w:rsidR="002D1495" w:rsidRPr="009929F8">
        <w:rPr>
          <w:rFonts w:ascii="Arial" w:hAnsi="Arial" w:cs="Arial"/>
          <w:sz w:val="20"/>
          <w:szCs w:val="20"/>
        </w:rPr>
        <w:t xml:space="preserve">and appreciation of </w:t>
      </w:r>
      <w:r w:rsidRPr="009929F8">
        <w:rPr>
          <w:rFonts w:ascii="Arial" w:hAnsi="Arial" w:cs="Arial"/>
          <w:sz w:val="20"/>
          <w:szCs w:val="20"/>
        </w:rPr>
        <w:t xml:space="preserve">Sports Law, considering key elements of the legal and institutional framework. </w:t>
      </w:r>
      <w:r w:rsidR="003C326D" w:rsidRPr="009929F8">
        <w:rPr>
          <w:rFonts w:ascii="Arial" w:hAnsi="Arial" w:cs="Arial"/>
          <w:sz w:val="20"/>
          <w:szCs w:val="20"/>
        </w:rPr>
        <w:t>Sport in the UK (as elsewhere) is now subject to a very wide range set of systems of supervision involving the application of principles and institutional governance subject to a wide spectrum of legal sources, including public and private law</w:t>
      </w:r>
      <w:r w:rsidR="00850B49" w:rsidRPr="009929F8">
        <w:rPr>
          <w:rFonts w:ascii="Arial" w:hAnsi="Arial" w:cs="Arial"/>
          <w:sz w:val="20"/>
          <w:szCs w:val="20"/>
        </w:rPr>
        <w:t xml:space="preserve">, </w:t>
      </w:r>
      <w:r w:rsidR="003C326D" w:rsidRPr="009929F8">
        <w:rPr>
          <w:rFonts w:ascii="Arial" w:hAnsi="Arial" w:cs="Arial"/>
          <w:sz w:val="20"/>
          <w:szCs w:val="20"/>
        </w:rPr>
        <w:t>national and international law</w:t>
      </w:r>
      <w:r w:rsidR="00850B49" w:rsidRPr="009929F8">
        <w:rPr>
          <w:rFonts w:ascii="Arial" w:hAnsi="Arial" w:cs="Arial"/>
          <w:sz w:val="20"/>
          <w:szCs w:val="20"/>
        </w:rPr>
        <w:t xml:space="preserve"> as well as </w:t>
      </w:r>
      <w:r w:rsidR="00850B49" w:rsidRPr="009929F8">
        <w:rPr>
          <w:rFonts w:ascii="Arial" w:hAnsi="Arial" w:cs="Arial"/>
          <w:i/>
          <w:sz w:val="20"/>
          <w:szCs w:val="20"/>
        </w:rPr>
        <w:t>sui generis</w:t>
      </w:r>
      <w:r w:rsidR="00850B49" w:rsidRPr="009929F8">
        <w:rPr>
          <w:rFonts w:ascii="Arial" w:hAnsi="Arial" w:cs="Arial"/>
          <w:sz w:val="20"/>
          <w:szCs w:val="20"/>
        </w:rPr>
        <w:t xml:space="preserve"> dispute resolution systems such as the Court of Arbitration for Sport based in Switzerland</w:t>
      </w:r>
      <w:r w:rsidR="003C326D" w:rsidRPr="009929F8">
        <w:rPr>
          <w:rFonts w:ascii="Arial" w:hAnsi="Arial" w:cs="Arial"/>
          <w:sz w:val="20"/>
          <w:szCs w:val="20"/>
        </w:rPr>
        <w:t xml:space="preserve">. </w:t>
      </w:r>
      <w:r w:rsidRPr="009929F8">
        <w:rPr>
          <w:rFonts w:ascii="Arial" w:hAnsi="Arial" w:cs="Arial"/>
          <w:sz w:val="20"/>
          <w:szCs w:val="20"/>
        </w:rPr>
        <w:t xml:space="preserve">The module will develop student learning by focusing on a range of legal topics and </w:t>
      </w:r>
      <w:r w:rsidR="00744746" w:rsidRPr="009929F8">
        <w:rPr>
          <w:rFonts w:ascii="Arial" w:hAnsi="Arial" w:cs="Arial"/>
          <w:sz w:val="20"/>
          <w:szCs w:val="20"/>
        </w:rPr>
        <w:t>issues, which</w:t>
      </w:r>
      <w:r w:rsidRPr="009929F8">
        <w:rPr>
          <w:rFonts w:ascii="Arial" w:hAnsi="Arial" w:cs="Arial"/>
          <w:sz w:val="20"/>
          <w:szCs w:val="20"/>
        </w:rPr>
        <w:t xml:space="preserve"> constitute integral </w:t>
      </w:r>
      <w:r w:rsidR="003C326D" w:rsidRPr="009929F8">
        <w:rPr>
          <w:rFonts w:ascii="Arial" w:hAnsi="Arial" w:cs="Arial"/>
          <w:sz w:val="20"/>
          <w:szCs w:val="20"/>
        </w:rPr>
        <w:t xml:space="preserve">key </w:t>
      </w:r>
      <w:r w:rsidRPr="009929F8">
        <w:rPr>
          <w:rFonts w:ascii="Arial" w:hAnsi="Arial" w:cs="Arial"/>
          <w:sz w:val="20"/>
          <w:szCs w:val="20"/>
        </w:rPr>
        <w:t xml:space="preserve">components of </w:t>
      </w:r>
      <w:r w:rsidR="00850B49" w:rsidRPr="009929F8">
        <w:rPr>
          <w:rFonts w:ascii="Arial" w:hAnsi="Arial" w:cs="Arial"/>
          <w:sz w:val="20"/>
          <w:szCs w:val="20"/>
        </w:rPr>
        <w:t>Sports Law</w:t>
      </w:r>
      <w:r w:rsidR="00322CA2" w:rsidRPr="009929F8">
        <w:rPr>
          <w:rFonts w:ascii="Arial" w:hAnsi="Arial" w:cs="Arial"/>
          <w:sz w:val="20"/>
          <w:szCs w:val="20"/>
        </w:rPr>
        <w:t>.</w:t>
      </w:r>
    </w:p>
    <w:p w14:paraId="3F958A58" w14:textId="77777777" w:rsidR="002572DF" w:rsidRPr="009929F8" w:rsidRDefault="002572DF" w:rsidP="00B55B91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</w:p>
    <w:p w14:paraId="66E92151" w14:textId="4436F70E" w:rsidR="009A2D37" w:rsidRDefault="009A2D37" w:rsidP="00446076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 xml:space="preserve">Reading List </w:t>
      </w:r>
      <w:r w:rsidR="00274ED7" w:rsidRPr="009929F8">
        <w:rPr>
          <w:rFonts w:ascii="Arial" w:hAnsi="Arial" w:cs="Arial"/>
          <w:sz w:val="20"/>
          <w:szCs w:val="20"/>
        </w:rPr>
        <w:t>(Indicative list, current at time of publication. Reading lists will be published annually)</w:t>
      </w:r>
    </w:p>
    <w:p w14:paraId="305F8809" w14:textId="6F6B8096" w:rsidR="006D4263" w:rsidRPr="00AA3710" w:rsidRDefault="006D4263" w:rsidP="00AA371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Beloff et al, Sports Law (2nd ed</w:t>
      </w:r>
      <w:r w:rsidR="00AA3710">
        <w:rPr>
          <w:rFonts w:ascii="Arial" w:hAnsi="Arial" w:cs="Arial"/>
          <w:iCs/>
          <w:sz w:val="20"/>
          <w:szCs w:val="20"/>
        </w:rPr>
        <w:t>,</w:t>
      </w:r>
      <w:r w:rsidRPr="00AA3710">
        <w:rPr>
          <w:rFonts w:ascii="Arial" w:hAnsi="Arial" w:cs="Arial"/>
          <w:iCs/>
          <w:sz w:val="20"/>
          <w:szCs w:val="20"/>
        </w:rPr>
        <w:t xml:space="preserve"> Hart, 2012)</w:t>
      </w:r>
    </w:p>
    <w:p w14:paraId="6CD42EFB" w14:textId="686186BF" w:rsidR="006D4263" w:rsidRPr="00AA3710" w:rsidRDefault="006D4263" w:rsidP="00AA371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Blackshaw, International Sports Law: An Introductory Guide (Asser, 2017)</w:t>
      </w:r>
    </w:p>
    <w:p w14:paraId="7AE99407" w14:textId="77777777" w:rsidR="006D4263" w:rsidRPr="00AA3710" w:rsidRDefault="006D4263" w:rsidP="00AA371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 xml:space="preserve">Gardiner/O’Leary/Welch/Boyes/Naidoo, Sports Law (4th ed, Routledge, 2012) </w:t>
      </w:r>
    </w:p>
    <w:p w14:paraId="456BF1FC" w14:textId="7EFE45B2" w:rsidR="006D4263" w:rsidRPr="00AA3710" w:rsidRDefault="006D4263" w:rsidP="00AA371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 xml:space="preserve">Gardiner/Parrish/Siekmann (eds), EU, Sport, Law and </w:t>
      </w:r>
      <w:r w:rsidR="00744746" w:rsidRPr="00AA3710">
        <w:rPr>
          <w:rFonts w:ascii="Arial" w:hAnsi="Arial" w:cs="Arial"/>
          <w:iCs/>
          <w:sz w:val="20"/>
          <w:szCs w:val="20"/>
        </w:rPr>
        <w:t>Policy: Regulation</w:t>
      </w:r>
      <w:r w:rsidRPr="00AA3710">
        <w:rPr>
          <w:rFonts w:ascii="Arial" w:hAnsi="Arial" w:cs="Arial"/>
          <w:iCs/>
          <w:sz w:val="20"/>
          <w:szCs w:val="20"/>
        </w:rPr>
        <w:t>, Re-regulation and Representation (Asser, 2009)</w:t>
      </w:r>
    </w:p>
    <w:p w14:paraId="0BB0A589" w14:textId="391F97F2" w:rsidR="006D4263" w:rsidRPr="00AA3710" w:rsidRDefault="006D4263" w:rsidP="00AA371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Grayson, Sport and the Law</w:t>
      </w:r>
      <w:r w:rsidR="00AA3710">
        <w:rPr>
          <w:rFonts w:ascii="Arial" w:hAnsi="Arial" w:cs="Arial"/>
          <w:iCs/>
          <w:sz w:val="20"/>
          <w:szCs w:val="20"/>
        </w:rPr>
        <w:t xml:space="preserve"> </w:t>
      </w:r>
      <w:r w:rsidRPr="00AA3710">
        <w:rPr>
          <w:rFonts w:ascii="Arial" w:hAnsi="Arial" w:cs="Arial"/>
          <w:iCs/>
          <w:sz w:val="20"/>
          <w:szCs w:val="20"/>
        </w:rPr>
        <w:t>(3rd ed</w:t>
      </w:r>
      <w:r w:rsidR="00AA3710">
        <w:rPr>
          <w:rFonts w:ascii="Arial" w:hAnsi="Arial" w:cs="Arial"/>
          <w:iCs/>
          <w:sz w:val="20"/>
          <w:szCs w:val="20"/>
        </w:rPr>
        <w:t>,</w:t>
      </w:r>
      <w:r w:rsidRPr="00AA3710">
        <w:rPr>
          <w:rFonts w:ascii="Arial" w:hAnsi="Arial" w:cs="Arial"/>
          <w:iCs/>
          <w:sz w:val="20"/>
          <w:szCs w:val="20"/>
        </w:rPr>
        <w:t xml:space="preserve"> Bloomsbury, 2000)</w:t>
      </w:r>
    </w:p>
    <w:p w14:paraId="15A40796" w14:textId="3A399C76" w:rsidR="006D4263" w:rsidRPr="00AA3710" w:rsidRDefault="006D4263" w:rsidP="00AA371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James, Sports Law (3rd ed</w:t>
      </w:r>
      <w:r w:rsidR="00AA3710">
        <w:rPr>
          <w:rFonts w:ascii="Arial" w:hAnsi="Arial" w:cs="Arial"/>
          <w:iCs/>
          <w:sz w:val="20"/>
          <w:szCs w:val="20"/>
        </w:rPr>
        <w:t>,</w:t>
      </w:r>
      <w:r w:rsidR="00744746" w:rsidRPr="00AA3710">
        <w:rPr>
          <w:rFonts w:ascii="Arial" w:hAnsi="Arial" w:cs="Arial"/>
          <w:iCs/>
          <w:sz w:val="20"/>
          <w:szCs w:val="20"/>
        </w:rPr>
        <w:t xml:space="preserve"> </w:t>
      </w:r>
      <w:r w:rsidRPr="00AA3710">
        <w:rPr>
          <w:rFonts w:ascii="Arial" w:hAnsi="Arial" w:cs="Arial"/>
          <w:iCs/>
          <w:sz w:val="20"/>
          <w:szCs w:val="20"/>
        </w:rPr>
        <w:t>Palgrave, 2017)</w:t>
      </w:r>
    </w:p>
    <w:p w14:paraId="7FE69066" w14:textId="3187634F" w:rsidR="006D4263" w:rsidRPr="00AA3710" w:rsidRDefault="006D4263" w:rsidP="00AA371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Lewis /Taylor (eds), Sport: Law and Practice (3rd ed</w:t>
      </w:r>
      <w:r w:rsidR="00AA3710">
        <w:rPr>
          <w:rFonts w:ascii="Arial" w:hAnsi="Arial" w:cs="Arial"/>
          <w:iCs/>
          <w:sz w:val="20"/>
          <w:szCs w:val="20"/>
        </w:rPr>
        <w:t>,</w:t>
      </w:r>
      <w:r w:rsidRPr="00AA3710">
        <w:rPr>
          <w:rFonts w:ascii="Arial" w:hAnsi="Arial" w:cs="Arial"/>
          <w:iCs/>
          <w:sz w:val="20"/>
          <w:szCs w:val="20"/>
        </w:rPr>
        <w:t xml:space="preserve"> Bloomsbury, 2014)</w:t>
      </w:r>
    </w:p>
    <w:p w14:paraId="711FCB08" w14:textId="02AD20E8" w:rsidR="006D4263" w:rsidRPr="00AA3710" w:rsidRDefault="006D4263" w:rsidP="00AA371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Nafziger (ed), Transnational Law of Sports (Elgar, 2013)</w:t>
      </w:r>
    </w:p>
    <w:p w14:paraId="4B3EA0C0" w14:textId="77777777" w:rsidR="006D4263" w:rsidRPr="00AA3710" w:rsidRDefault="006D4263" w:rsidP="00AA371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Siekmann/Soel (eds), Lex Sportiva: What is Sports Law (Asser, 2012)</w:t>
      </w:r>
    </w:p>
    <w:p w14:paraId="1B991A8B" w14:textId="77777777" w:rsidR="00446076" w:rsidRPr="009929F8" w:rsidRDefault="00446076" w:rsidP="00771B79">
      <w:pPr>
        <w:pStyle w:val="ListParagraph"/>
        <w:spacing w:after="120" w:line="240" w:lineRule="auto"/>
        <w:ind w:left="1418" w:right="260"/>
        <w:rPr>
          <w:rFonts w:ascii="Arial" w:hAnsi="Arial" w:cs="Arial"/>
          <w:sz w:val="20"/>
          <w:szCs w:val="20"/>
        </w:rPr>
      </w:pPr>
    </w:p>
    <w:p w14:paraId="015B20F0" w14:textId="771EF0D8" w:rsidR="00DE4F08" w:rsidRPr="009929F8" w:rsidRDefault="009A2D37" w:rsidP="00446076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Learning</w:t>
      </w:r>
      <w:r w:rsidR="006F3F8B" w:rsidRPr="009929F8">
        <w:rPr>
          <w:rFonts w:ascii="Arial" w:hAnsi="Arial" w:cs="Arial"/>
          <w:b/>
          <w:sz w:val="20"/>
          <w:szCs w:val="20"/>
        </w:rPr>
        <w:t xml:space="preserve"> and Teaching m</w:t>
      </w:r>
      <w:r w:rsidRPr="009929F8">
        <w:rPr>
          <w:rFonts w:ascii="Arial" w:hAnsi="Arial" w:cs="Arial"/>
          <w:b/>
          <w:sz w:val="20"/>
          <w:szCs w:val="20"/>
        </w:rPr>
        <w:t>ethods</w:t>
      </w:r>
    </w:p>
    <w:p w14:paraId="790A732B" w14:textId="77777777" w:rsidR="009929F8" w:rsidRPr="009929F8" w:rsidRDefault="009929F8" w:rsidP="004473D5">
      <w:p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</w:p>
    <w:p w14:paraId="76B00295" w14:textId="1B76373F" w:rsidR="007D3D0B" w:rsidRDefault="007D3D0B" w:rsidP="006F534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6F5340">
        <w:rPr>
          <w:rFonts w:ascii="Arial" w:hAnsi="Arial" w:cs="Arial"/>
          <w:iCs/>
          <w:sz w:val="20"/>
          <w:szCs w:val="20"/>
        </w:rPr>
        <w:t xml:space="preserve">Total study hours: </w:t>
      </w:r>
      <w:r w:rsidR="006E50A9" w:rsidRPr="006F5340">
        <w:rPr>
          <w:rFonts w:ascii="Arial" w:hAnsi="Arial" w:cs="Arial"/>
          <w:iCs/>
          <w:sz w:val="20"/>
          <w:szCs w:val="20"/>
        </w:rPr>
        <w:t xml:space="preserve">150 </w:t>
      </w:r>
    </w:p>
    <w:p w14:paraId="59319ABA" w14:textId="77777777" w:rsidR="007D3D0B" w:rsidRDefault="007D3D0B" w:rsidP="006F534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Contact hours: 20</w:t>
      </w:r>
    </w:p>
    <w:p w14:paraId="200B571B" w14:textId="02837AC3" w:rsidR="00FE062D" w:rsidRPr="006F5340" w:rsidRDefault="007D3D0B" w:rsidP="006F5340">
      <w:pPr>
        <w:pStyle w:val="ListParagraph"/>
        <w:numPr>
          <w:ilvl w:val="0"/>
          <w:numId w:val="36"/>
        </w:num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Private study hours: 130</w:t>
      </w:r>
      <w:r w:rsidR="006E50A9" w:rsidRPr="006F5340">
        <w:rPr>
          <w:rFonts w:ascii="Arial" w:hAnsi="Arial" w:cs="Arial"/>
          <w:iCs/>
          <w:sz w:val="20"/>
          <w:szCs w:val="20"/>
        </w:rPr>
        <w:t xml:space="preserve"> </w:t>
      </w:r>
      <w:r w:rsidR="002F2BFD" w:rsidRPr="006F5340">
        <w:rPr>
          <w:rFonts w:ascii="Arial" w:hAnsi="Arial" w:cs="Arial"/>
          <w:iCs/>
          <w:sz w:val="20"/>
          <w:szCs w:val="20"/>
        </w:rPr>
        <w:t xml:space="preserve"> </w:t>
      </w:r>
    </w:p>
    <w:p w14:paraId="6E1957F6" w14:textId="77777777" w:rsidR="00771B79" w:rsidRPr="009929F8" w:rsidRDefault="00771B79" w:rsidP="002F2BFD">
      <w:pPr>
        <w:rPr>
          <w:rFonts w:ascii="Arial" w:hAnsi="Arial" w:cs="Arial"/>
          <w:b/>
          <w:sz w:val="20"/>
          <w:szCs w:val="20"/>
        </w:rPr>
      </w:pPr>
    </w:p>
    <w:p w14:paraId="5D5063B3" w14:textId="0898C845" w:rsidR="00335C13" w:rsidRPr="009929F8" w:rsidRDefault="00EF4933" w:rsidP="00446076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Assessment methods</w:t>
      </w:r>
      <w:r w:rsidR="006F3F8B" w:rsidRPr="009929F8">
        <w:rPr>
          <w:rFonts w:ascii="Arial" w:hAnsi="Arial" w:cs="Arial"/>
          <w:b/>
          <w:sz w:val="20"/>
          <w:szCs w:val="20"/>
        </w:rPr>
        <w:t>.</w:t>
      </w:r>
    </w:p>
    <w:p w14:paraId="700DBED7" w14:textId="77777777" w:rsidR="00335C13" w:rsidRPr="009929F8" w:rsidRDefault="00335C13" w:rsidP="00335C13">
      <w:pPr>
        <w:spacing w:after="120" w:line="240" w:lineRule="auto"/>
        <w:ind w:left="426" w:right="260"/>
        <w:rPr>
          <w:rFonts w:ascii="Arial" w:hAnsi="Arial" w:cs="Arial"/>
          <w:b/>
          <w:sz w:val="20"/>
          <w:szCs w:val="20"/>
        </w:rPr>
      </w:pPr>
    </w:p>
    <w:p w14:paraId="5A5F1EC3" w14:textId="77777777" w:rsidR="00373ACB" w:rsidRPr="009929F8" w:rsidRDefault="00335C13">
      <w:pPr>
        <w:spacing w:after="120" w:line="240" w:lineRule="auto"/>
        <w:ind w:left="426" w:right="260"/>
        <w:rPr>
          <w:rFonts w:ascii="Arial" w:hAnsi="Arial" w:cs="Arial"/>
          <w:b/>
          <w:i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  <w:u w:val="single"/>
        </w:rPr>
        <w:t>13.1 Main assessment methods</w:t>
      </w:r>
    </w:p>
    <w:p w14:paraId="6BC4877A" w14:textId="77777777" w:rsidR="007D3D0B" w:rsidRDefault="007D3D0B" w:rsidP="004F23A9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</w:p>
    <w:p w14:paraId="0E2C04F8" w14:textId="2F5B1D68" w:rsidR="009834DA" w:rsidRDefault="00456566" w:rsidP="004F23A9">
      <w:pPr>
        <w:spacing w:after="120" w:line="240" w:lineRule="auto"/>
        <w:ind w:left="426" w:right="260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The module will be </w:t>
      </w:r>
      <w:r w:rsidRPr="009929F8">
        <w:rPr>
          <w:rFonts w:ascii="Arial" w:hAnsi="Arial" w:cs="Arial"/>
          <w:iCs/>
          <w:sz w:val="20"/>
          <w:szCs w:val="20"/>
        </w:rPr>
        <w:t>examined on the basis of 100% coursework</w:t>
      </w:r>
      <w:r w:rsidR="009834DA" w:rsidRPr="009929F8">
        <w:rPr>
          <w:rFonts w:ascii="Arial" w:hAnsi="Arial" w:cs="Arial"/>
          <w:iCs/>
          <w:sz w:val="20"/>
          <w:szCs w:val="20"/>
        </w:rPr>
        <w:t>:</w:t>
      </w:r>
    </w:p>
    <w:p w14:paraId="5583ED15" w14:textId="77777777" w:rsidR="00AA3710" w:rsidRPr="009929F8" w:rsidRDefault="00AA3710" w:rsidP="004F23A9">
      <w:pPr>
        <w:spacing w:after="120" w:line="240" w:lineRule="auto"/>
        <w:ind w:left="426" w:right="260"/>
        <w:rPr>
          <w:rFonts w:ascii="Arial" w:hAnsi="Arial" w:cs="Arial"/>
          <w:iCs/>
          <w:sz w:val="20"/>
          <w:szCs w:val="20"/>
        </w:rPr>
      </w:pPr>
    </w:p>
    <w:p w14:paraId="49C767AC" w14:textId="12AFB4D9" w:rsidR="009834DA" w:rsidRPr="009929F8" w:rsidRDefault="00F92804" w:rsidP="004F23A9">
      <w:pPr>
        <w:spacing w:after="120" w:line="240" w:lineRule="auto"/>
        <w:ind w:left="426" w:right="260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ab/>
        <w:t xml:space="preserve">1. </w:t>
      </w:r>
      <w:r w:rsidR="00AA3710">
        <w:rPr>
          <w:rFonts w:ascii="Arial" w:hAnsi="Arial" w:cs="Arial"/>
          <w:iCs/>
          <w:sz w:val="20"/>
          <w:szCs w:val="20"/>
        </w:rPr>
        <w:t xml:space="preserve">Short written assignment - </w:t>
      </w:r>
      <w:r w:rsidRPr="009929F8">
        <w:rPr>
          <w:rFonts w:ascii="Arial" w:hAnsi="Arial" w:cs="Arial"/>
          <w:iCs/>
          <w:sz w:val="20"/>
          <w:szCs w:val="20"/>
        </w:rPr>
        <w:t>1,000 word</w:t>
      </w:r>
      <w:r w:rsidR="00AA3710">
        <w:rPr>
          <w:rFonts w:ascii="Arial" w:hAnsi="Arial" w:cs="Arial"/>
          <w:iCs/>
          <w:sz w:val="20"/>
          <w:szCs w:val="20"/>
        </w:rPr>
        <w:t>s</w:t>
      </w:r>
      <w:r w:rsidRPr="009929F8">
        <w:rPr>
          <w:rFonts w:ascii="Arial" w:hAnsi="Arial" w:cs="Arial"/>
          <w:iCs/>
          <w:sz w:val="20"/>
          <w:szCs w:val="20"/>
        </w:rPr>
        <w:t xml:space="preserve"> (20%)</w:t>
      </w:r>
    </w:p>
    <w:p w14:paraId="790AFD2F" w14:textId="00B8A7F1" w:rsidR="00AA3710" w:rsidRDefault="00F92804" w:rsidP="0019541D">
      <w:pPr>
        <w:spacing w:after="120" w:line="240" w:lineRule="auto"/>
        <w:ind w:right="260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ab/>
        <w:t xml:space="preserve">2. </w:t>
      </w:r>
      <w:r w:rsidR="00AA3710">
        <w:rPr>
          <w:rFonts w:ascii="Arial" w:hAnsi="Arial" w:cs="Arial"/>
          <w:iCs/>
          <w:sz w:val="20"/>
          <w:szCs w:val="20"/>
        </w:rPr>
        <w:t xml:space="preserve">Longer written assignment - </w:t>
      </w:r>
      <w:r w:rsidR="00AA3710" w:rsidRPr="009929F8">
        <w:rPr>
          <w:rFonts w:ascii="Arial" w:hAnsi="Arial" w:cs="Arial"/>
          <w:iCs/>
          <w:sz w:val="20"/>
          <w:szCs w:val="20"/>
        </w:rPr>
        <w:t xml:space="preserve"> </w:t>
      </w:r>
      <w:r w:rsidRPr="009929F8">
        <w:rPr>
          <w:rFonts w:ascii="Arial" w:hAnsi="Arial" w:cs="Arial"/>
          <w:iCs/>
          <w:sz w:val="20"/>
          <w:szCs w:val="20"/>
        </w:rPr>
        <w:t>3,000 word</w:t>
      </w:r>
      <w:r w:rsidR="00AA3710">
        <w:rPr>
          <w:rFonts w:ascii="Arial" w:hAnsi="Arial" w:cs="Arial"/>
          <w:iCs/>
          <w:sz w:val="20"/>
          <w:szCs w:val="20"/>
        </w:rPr>
        <w:t>s</w:t>
      </w:r>
      <w:r w:rsidRPr="009929F8">
        <w:rPr>
          <w:rFonts w:ascii="Arial" w:hAnsi="Arial" w:cs="Arial"/>
          <w:iCs/>
          <w:sz w:val="20"/>
          <w:szCs w:val="20"/>
        </w:rPr>
        <w:t xml:space="preserve"> (80%). </w:t>
      </w:r>
    </w:p>
    <w:p w14:paraId="339E6841" w14:textId="70CCBA10" w:rsidR="00335C13" w:rsidRPr="009929F8" w:rsidRDefault="00456566" w:rsidP="00335C13">
      <w:pPr>
        <w:spacing w:after="120" w:line="240" w:lineRule="auto"/>
        <w:ind w:left="426" w:right="260"/>
        <w:rPr>
          <w:rFonts w:ascii="Arial" w:hAnsi="Arial" w:cs="Arial"/>
          <w:iCs/>
          <w:sz w:val="20"/>
          <w:szCs w:val="20"/>
          <w:u w:val="single"/>
        </w:rPr>
      </w:pPr>
      <w:r w:rsidRPr="009929F8">
        <w:rPr>
          <w:rFonts w:ascii="Arial" w:hAnsi="Arial" w:cs="Arial"/>
          <w:iCs/>
          <w:sz w:val="20"/>
          <w:szCs w:val="20"/>
        </w:rPr>
        <w:br/>
      </w:r>
      <w:r w:rsidRPr="009929F8">
        <w:rPr>
          <w:rFonts w:ascii="Arial" w:hAnsi="Arial" w:cs="Arial"/>
          <w:iCs/>
          <w:sz w:val="20"/>
          <w:szCs w:val="20"/>
        </w:rPr>
        <w:br/>
      </w:r>
      <w:r w:rsidR="00335C13" w:rsidRPr="009929F8">
        <w:rPr>
          <w:rFonts w:ascii="Arial" w:hAnsi="Arial" w:cs="Arial"/>
          <w:iCs/>
          <w:sz w:val="20"/>
          <w:szCs w:val="20"/>
          <w:u w:val="single"/>
        </w:rPr>
        <w:t>13.2 Reassessment methods</w:t>
      </w:r>
    </w:p>
    <w:p w14:paraId="107ECCEE" w14:textId="77777777" w:rsidR="007D3D0B" w:rsidRDefault="007D3D0B" w:rsidP="00335C13">
      <w:pPr>
        <w:spacing w:after="120" w:line="240" w:lineRule="auto"/>
        <w:ind w:left="426" w:right="260"/>
        <w:rPr>
          <w:rFonts w:ascii="Arial" w:hAnsi="Arial" w:cs="Arial"/>
          <w:iCs/>
          <w:sz w:val="20"/>
          <w:szCs w:val="20"/>
        </w:rPr>
      </w:pPr>
    </w:p>
    <w:p w14:paraId="5F124F45" w14:textId="5FE2EFFA" w:rsidR="00335C13" w:rsidRPr="009929F8" w:rsidRDefault="0019541D" w:rsidP="00335C13">
      <w:pPr>
        <w:spacing w:after="120" w:line="240" w:lineRule="auto"/>
        <w:ind w:left="426" w:right="2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Like-for-like</w:t>
      </w:r>
    </w:p>
    <w:p w14:paraId="5C77E9C0" w14:textId="77777777" w:rsidR="00F92804" w:rsidRPr="009929F8" w:rsidRDefault="00F92804" w:rsidP="00335C13">
      <w:pPr>
        <w:spacing w:after="120" w:line="240" w:lineRule="auto"/>
        <w:ind w:left="426" w:right="260"/>
        <w:rPr>
          <w:rFonts w:ascii="Arial" w:hAnsi="Arial" w:cs="Arial"/>
          <w:iCs/>
          <w:sz w:val="20"/>
          <w:szCs w:val="20"/>
        </w:rPr>
      </w:pPr>
    </w:p>
    <w:p w14:paraId="04454E0C" w14:textId="77777777" w:rsidR="008A0F59" w:rsidRDefault="008A0F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F4F42DD" w14:textId="5D96FBC3" w:rsidR="00274ED7" w:rsidRPr="00BC4824" w:rsidRDefault="006F3F8B" w:rsidP="009929F8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sz w:val="20"/>
          <w:szCs w:val="20"/>
        </w:rPr>
      </w:pPr>
      <w:r w:rsidRPr="00BC4824">
        <w:rPr>
          <w:rFonts w:ascii="Arial" w:hAnsi="Arial" w:cs="Arial"/>
          <w:b/>
          <w:sz w:val="20"/>
          <w:szCs w:val="20"/>
        </w:rPr>
        <w:lastRenderedPageBreak/>
        <w:t>Map of Module Learning Outcomes</w:t>
      </w:r>
      <w:r w:rsidR="00B30E07" w:rsidRPr="00BC4824">
        <w:rPr>
          <w:rFonts w:ascii="Arial" w:hAnsi="Arial" w:cs="Arial"/>
          <w:b/>
          <w:sz w:val="20"/>
          <w:szCs w:val="20"/>
        </w:rPr>
        <w:t xml:space="preserve"> (sections 8 &amp; 9)</w:t>
      </w:r>
      <w:r w:rsidRPr="00BC4824">
        <w:rPr>
          <w:rFonts w:ascii="Arial" w:hAnsi="Arial" w:cs="Arial"/>
          <w:b/>
          <w:sz w:val="20"/>
          <w:szCs w:val="20"/>
        </w:rPr>
        <w:t xml:space="preserve"> to Learning</w:t>
      </w:r>
      <w:r w:rsidR="00B30E07" w:rsidRPr="00BC4824">
        <w:rPr>
          <w:rFonts w:ascii="Arial" w:hAnsi="Arial" w:cs="Arial"/>
          <w:b/>
          <w:sz w:val="20"/>
          <w:szCs w:val="20"/>
        </w:rPr>
        <w:t xml:space="preserve"> and Teaching Methods (</w:t>
      </w:r>
      <w:r w:rsidR="00B30E07" w:rsidRPr="00BC4824">
        <w:rPr>
          <w:rFonts w:ascii="Arial" w:hAnsi="Arial" w:cs="Arial"/>
          <w:b/>
          <w:iCs/>
          <w:sz w:val="20"/>
          <w:szCs w:val="20"/>
        </w:rPr>
        <w:t>section</w:t>
      </w:r>
      <w:r w:rsidR="009929F8" w:rsidRPr="00BC4824">
        <w:rPr>
          <w:rFonts w:ascii="Arial" w:hAnsi="Arial" w:cs="Arial"/>
          <w:b/>
          <w:iCs/>
          <w:sz w:val="20"/>
          <w:szCs w:val="20"/>
        </w:rPr>
        <w:t xml:space="preserve"> </w:t>
      </w:r>
      <w:r w:rsidR="00B30E07" w:rsidRPr="00BC4824">
        <w:rPr>
          <w:rFonts w:ascii="Arial" w:hAnsi="Arial" w:cs="Arial"/>
          <w:b/>
          <w:iCs/>
          <w:sz w:val="20"/>
          <w:szCs w:val="20"/>
        </w:rPr>
        <w:t>12</w:t>
      </w:r>
      <w:r w:rsidRPr="00BC4824">
        <w:rPr>
          <w:rFonts w:ascii="Arial" w:hAnsi="Arial" w:cs="Arial"/>
          <w:b/>
          <w:iCs/>
          <w:sz w:val="20"/>
          <w:szCs w:val="20"/>
        </w:rPr>
        <w:t xml:space="preserve">) </w:t>
      </w:r>
      <w:r w:rsidRPr="00BC4824">
        <w:rPr>
          <w:rFonts w:ascii="Arial" w:hAnsi="Arial" w:cs="Arial"/>
          <w:b/>
          <w:sz w:val="20"/>
          <w:szCs w:val="20"/>
        </w:rPr>
        <w:t>and m</w:t>
      </w:r>
      <w:r w:rsidR="00B30E07" w:rsidRPr="00BC4824">
        <w:rPr>
          <w:rFonts w:ascii="Arial" w:hAnsi="Arial" w:cs="Arial"/>
          <w:b/>
          <w:sz w:val="20"/>
          <w:szCs w:val="20"/>
        </w:rPr>
        <w:t>ethods of Assessment (section 13</w:t>
      </w:r>
      <w:r w:rsidR="00EF4933" w:rsidRPr="00BC4824">
        <w:rPr>
          <w:rFonts w:ascii="Arial" w:hAnsi="Arial" w:cs="Arial"/>
          <w:b/>
          <w:sz w:val="20"/>
          <w:szCs w:val="20"/>
        </w:rPr>
        <w:t>)</w:t>
      </w:r>
    </w:p>
    <w:p w14:paraId="1EC50981" w14:textId="77777777" w:rsidR="00727780" w:rsidRPr="009929F8" w:rsidRDefault="00727780" w:rsidP="0066061A">
      <w:pPr>
        <w:spacing w:after="120" w:line="240" w:lineRule="auto"/>
        <w:ind w:right="260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Style w:val="TableGrid"/>
        <w:tblW w:w="4065" w:type="pct"/>
        <w:jc w:val="center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</w:tblGrid>
      <w:tr w:rsidR="009929F8" w:rsidRPr="009929F8" w14:paraId="006E5ECA" w14:textId="77777777" w:rsidTr="009929F8">
        <w:trPr>
          <w:trHeight w:val="397"/>
          <w:jc w:val="center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080A5F07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9929F8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333" w:type="pct"/>
            <w:vAlign w:val="center"/>
          </w:tcPr>
          <w:p w14:paraId="10EC35C2" w14:textId="59815E52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33" w:type="pct"/>
            <w:vAlign w:val="center"/>
          </w:tcPr>
          <w:p w14:paraId="50D71F61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333" w:type="pct"/>
            <w:vAlign w:val="center"/>
          </w:tcPr>
          <w:p w14:paraId="67DBA62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33" w:type="pct"/>
            <w:vAlign w:val="center"/>
          </w:tcPr>
          <w:p w14:paraId="7081FEC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33" w:type="pct"/>
            <w:vAlign w:val="center"/>
          </w:tcPr>
          <w:p w14:paraId="46192078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333" w:type="pct"/>
            <w:vAlign w:val="center"/>
          </w:tcPr>
          <w:p w14:paraId="79E37B18" w14:textId="3EA854B5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333" w:type="pct"/>
            <w:vAlign w:val="center"/>
          </w:tcPr>
          <w:p w14:paraId="4CFF6A58" w14:textId="7F584F34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33" w:type="pct"/>
            <w:vAlign w:val="center"/>
          </w:tcPr>
          <w:p w14:paraId="7D9F8822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33" w:type="pct"/>
            <w:vAlign w:val="center"/>
          </w:tcPr>
          <w:p w14:paraId="6C367C35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333" w:type="pct"/>
            <w:vAlign w:val="center"/>
          </w:tcPr>
          <w:p w14:paraId="0147E0D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333" w:type="pct"/>
            <w:vAlign w:val="center"/>
          </w:tcPr>
          <w:p w14:paraId="3D8934A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333" w:type="pct"/>
            <w:vAlign w:val="center"/>
          </w:tcPr>
          <w:p w14:paraId="53B5CC6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</w:tr>
      <w:tr w:rsidR="009929F8" w:rsidRPr="009929F8" w14:paraId="47E148D4" w14:textId="77777777" w:rsidTr="009929F8">
        <w:trPr>
          <w:trHeight w:val="397"/>
          <w:jc w:val="center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25370BAE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929F8">
              <w:rPr>
                <w:rFonts w:ascii="Arial" w:hAnsi="Arial" w:cs="Arial"/>
                <w:b/>
                <w:sz w:val="20"/>
                <w:szCs w:val="20"/>
              </w:rPr>
              <w:t>Learning /teaching method</w:t>
            </w:r>
          </w:p>
        </w:tc>
        <w:tc>
          <w:tcPr>
            <w:tcW w:w="333" w:type="pct"/>
            <w:vAlign w:val="center"/>
          </w:tcPr>
          <w:p w14:paraId="4B9E5B19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519BE2D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7A1940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CB77AB3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5EAEF6F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E749A09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0F036F5" w14:textId="26F635A4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A7959B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C731C3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70F45CC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FF583B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8C9FC5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9F8" w:rsidRPr="009929F8" w14:paraId="795B0DF9" w14:textId="77777777" w:rsidTr="009929F8">
        <w:trPr>
          <w:trHeight w:val="397"/>
          <w:jc w:val="center"/>
        </w:trPr>
        <w:tc>
          <w:tcPr>
            <w:tcW w:w="999" w:type="pct"/>
            <w:vAlign w:val="center"/>
          </w:tcPr>
          <w:p w14:paraId="28B3B699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333" w:type="pct"/>
            <w:vAlign w:val="center"/>
          </w:tcPr>
          <w:p w14:paraId="2F809B8D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73DC39E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2A5356B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76FF2B33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62941DB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223AFBA1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7D051FD" w14:textId="6A4633B8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DE6322C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431FA4F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0086F8C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EAC233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CCF577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F8" w:rsidRPr="009929F8" w14:paraId="34E03E6A" w14:textId="77777777" w:rsidTr="009929F8">
        <w:trPr>
          <w:trHeight w:val="397"/>
          <w:jc w:val="center"/>
        </w:trPr>
        <w:tc>
          <w:tcPr>
            <w:tcW w:w="999" w:type="pct"/>
            <w:vAlign w:val="center"/>
          </w:tcPr>
          <w:p w14:paraId="35340DEE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333" w:type="pct"/>
            <w:vAlign w:val="center"/>
          </w:tcPr>
          <w:p w14:paraId="16967B5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26064F7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5B2324B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E43E82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E2D128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FBEECB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22DA009" w14:textId="4BD4048A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0B6159E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0C3BF1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0861DE8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4363D9A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7FE5FB22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F8" w:rsidRPr="009929F8" w14:paraId="179A27D6" w14:textId="77777777" w:rsidTr="009929F8">
        <w:trPr>
          <w:trHeight w:val="397"/>
          <w:jc w:val="center"/>
        </w:trPr>
        <w:tc>
          <w:tcPr>
            <w:tcW w:w="999" w:type="pct"/>
            <w:vAlign w:val="center"/>
          </w:tcPr>
          <w:p w14:paraId="19C7341D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Private Study</w:t>
            </w:r>
          </w:p>
        </w:tc>
        <w:tc>
          <w:tcPr>
            <w:tcW w:w="333" w:type="pct"/>
            <w:vAlign w:val="center"/>
          </w:tcPr>
          <w:p w14:paraId="1467C288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B9E88CF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BF3704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05261541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210A157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E79D6AF" w14:textId="5AC675E0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AE62836" w14:textId="7A8AEB82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0AA1590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AE0A72C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477A301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5935B1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711A4371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29F8" w:rsidRPr="009929F8" w14:paraId="4853E19A" w14:textId="77777777" w:rsidTr="009929F8">
        <w:trPr>
          <w:trHeight w:val="397"/>
          <w:jc w:val="center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0FF6F1DF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929F8">
              <w:rPr>
                <w:rFonts w:ascii="Arial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333" w:type="pct"/>
            <w:vAlign w:val="center"/>
          </w:tcPr>
          <w:p w14:paraId="79E59A6F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862912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86776A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440F89B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B8E34D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E187493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98DF079" w14:textId="632DC62C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54F400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C581FDD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BCB3A8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E910D5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DB949DF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9F8" w:rsidRPr="009929F8" w14:paraId="077B5E80" w14:textId="77777777" w:rsidTr="009929F8">
        <w:trPr>
          <w:trHeight w:val="397"/>
          <w:jc w:val="center"/>
        </w:trPr>
        <w:tc>
          <w:tcPr>
            <w:tcW w:w="999" w:type="pct"/>
            <w:vAlign w:val="center"/>
          </w:tcPr>
          <w:p w14:paraId="647B1A60" w14:textId="201D3A5D" w:rsidR="009929F8" w:rsidRPr="009929F8" w:rsidRDefault="00AA3710" w:rsidP="009929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written assignment</w:t>
            </w:r>
            <w:r w:rsidR="0099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9F8" w:rsidRPr="009929F8">
              <w:rPr>
                <w:rFonts w:ascii="Arial" w:hAnsi="Arial" w:cs="Arial"/>
                <w:sz w:val="20"/>
                <w:szCs w:val="20"/>
              </w:rPr>
              <w:t>(20%)</w:t>
            </w:r>
          </w:p>
        </w:tc>
        <w:tc>
          <w:tcPr>
            <w:tcW w:w="333" w:type="pct"/>
            <w:vAlign w:val="center"/>
          </w:tcPr>
          <w:p w14:paraId="305D7FA6" w14:textId="474CA725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0DF6C52C" w14:textId="12D47A2F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4EF6CF7F" w14:textId="4D45DA58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D8322E9" w14:textId="2A8E0026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FEB86D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5542455" w14:textId="7479C67A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49A03A32" w14:textId="5AB9E5C4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22E57F6F" w14:textId="1E192703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5956950C" w14:textId="5837183C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9A0D163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2B96DC0C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5A0EDE8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29F8" w:rsidRPr="009929F8" w14:paraId="35E871DD" w14:textId="77777777" w:rsidTr="009929F8">
        <w:trPr>
          <w:trHeight w:val="397"/>
          <w:jc w:val="center"/>
        </w:trPr>
        <w:tc>
          <w:tcPr>
            <w:tcW w:w="999" w:type="pct"/>
            <w:vAlign w:val="center"/>
          </w:tcPr>
          <w:p w14:paraId="466D1F22" w14:textId="7D77A66F" w:rsidR="009929F8" w:rsidRPr="009929F8" w:rsidRDefault="00AA3710" w:rsidP="009929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Longer written assignment </w:t>
            </w:r>
            <w:r w:rsidR="009929F8" w:rsidRPr="009929F8">
              <w:rPr>
                <w:rFonts w:ascii="Arial" w:hAnsi="Arial" w:cs="Arial"/>
                <w:sz w:val="20"/>
                <w:szCs w:val="20"/>
              </w:rPr>
              <w:t>(80%)</w:t>
            </w:r>
          </w:p>
        </w:tc>
        <w:tc>
          <w:tcPr>
            <w:tcW w:w="333" w:type="pct"/>
            <w:vAlign w:val="center"/>
          </w:tcPr>
          <w:p w14:paraId="151B813D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5B39B09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4F3869DF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07AD2FD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6A7C6F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6F7E211" w14:textId="0AA4EF3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D8893D3" w14:textId="78029AC1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B9BD1E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3D16DDA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74702E9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508930DA" w14:textId="54E7B02B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0B2C97D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16500A1" w14:textId="77777777" w:rsidR="00D973F2" w:rsidRPr="009929F8" w:rsidRDefault="00D973F2" w:rsidP="004F23A9">
      <w:pPr>
        <w:spacing w:after="120" w:line="240" w:lineRule="auto"/>
        <w:ind w:left="426" w:right="260"/>
        <w:rPr>
          <w:rFonts w:ascii="Arial" w:hAnsi="Arial" w:cs="Arial"/>
          <w:b/>
          <w:sz w:val="20"/>
          <w:szCs w:val="20"/>
        </w:rPr>
      </w:pPr>
    </w:p>
    <w:p w14:paraId="0AD5F60F" w14:textId="77777777" w:rsidR="00D973F2" w:rsidRPr="009929F8" w:rsidRDefault="00D973F2">
      <w:pPr>
        <w:rPr>
          <w:rFonts w:ascii="Arial" w:hAnsi="Arial" w:cs="Arial"/>
          <w:b/>
          <w:sz w:val="20"/>
          <w:szCs w:val="20"/>
        </w:rPr>
      </w:pPr>
    </w:p>
    <w:p w14:paraId="45C56E08" w14:textId="24DBAF31" w:rsidR="009929F8" w:rsidRDefault="00335C13" w:rsidP="009929F8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The </w:t>
      </w:r>
      <w:r w:rsidR="00AA3710">
        <w:rPr>
          <w:rFonts w:ascii="Arial" w:hAnsi="Arial" w:cs="Arial"/>
          <w:sz w:val="20"/>
          <w:szCs w:val="20"/>
        </w:rPr>
        <w:t>Division</w:t>
      </w:r>
      <w:r w:rsidRPr="009929F8">
        <w:rPr>
          <w:rFonts w:ascii="Arial" w:hAnsi="Arial" w:cs="Arial"/>
          <w:sz w:val="20"/>
          <w:szCs w:val="20"/>
        </w:rPr>
        <w:t xml:space="preserve"> recognises and has embedded the expectations of current equality legislation, by ensuring that the module is as accessible as possible by design. Additional alternative</w:t>
      </w:r>
      <w:r w:rsidR="009929F8">
        <w:rPr>
          <w:rFonts w:ascii="Arial" w:hAnsi="Arial" w:cs="Arial"/>
          <w:sz w:val="20"/>
          <w:szCs w:val="20"/>
        </w:rPr>
        <w:t xml:space="preserve"> arrangements for students with </w:t>
      </w:r>
      <w:r w:rsidRPr="009929F8">
        <w:rPr>
          <w:rFonts w:ascii="Arial" w:hAnsi="Arial" w:cs="Arial"/>
          <w:sz w:val="20"/>
          <w:szCs w:val="20"/>
        </w:rPr>
        <w:t xml:space="preserve">Inclusive Learning Plans (ILPs)/declared disabilities will be made on an individual basis, in consultation with </w:t>
      </w:r>
      <w:r w:rsidR="009929F8">
        <w:rPr>
          <w:rFonts w:ascii="Arial" w:hAnsi="Arial" w:cs="Arial"/>
          <w:sz w:val="20"/>
          <w:szCs w:val="20"/>
        </w:rPr>
        <w:t xml:space="preserve">the relevant </w:t>
      </w:r>
      <w:r w:rsidRPr="009929F8">
        <w:rPr>
          <w:rFonts w:ascii="Arial" w:hAnsi="Arial" w:cs="Arial"/>
          <w:sz w:val="20"/>
          <w:szCs w:val="20"/>
        </w:rPr>
        <w:t>policies and support services.</w:t>
      </w:r>
    </w:p>
    <w:p w14:paraId="23561344" w14:textId="77777777" w:rsidR="009929F8" w:rsidRDefault="009929F8" w:rsidP="009929F8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</w:p>
    <w:p w14:paraId="3F2AE3AF" w14:textId="76BEAC1A" w:rsidR="00D973F2" w:rsidRPr="009929F8" w:rsidRDefault="00335C13" w:rsidP="00BC4824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The inclusive practices in the guidance (see Annex B Appendix A) have been considered in order to support all students in the following areas:</w:t>
      </w:r>
    </w:p>
    <w:p w14:paraId="6B6D853E" w14:textId="77777777" w:rsidR="00335C13" w:rsidRPr="009929F8" w:rsidRDefault="00335C13" w:rsidP="00335C13">
      <w:pPr>
        <w:spacing w:after="120" w:line="240" w:lineRule="auto"/>
        <w:ind w:left="426" w:right="260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br/>
      </w:r>
      <w:r w:rsidRPr="009929F8">
        <w:rPr>
          <w:rFonts w:ascii="Arial" w:hAnsi="Arial" w:cs="Arial"/>
          <w:b/>
          <w:sz w:val="20"/>
          <w:szCs w:val="20"/>
        </w:rPr>
        <w:t>a) Accessible resources and curriculum</w:t>
      </w:r>
    </w:p>
    <w:p w14:paraId="639D7F1A" w14:textId="77777777" w:rsidR="00335C13" w:rsidRPr="009929F8" w:rsidRDefault="00335C13" w:rsidP="00335C13">
      <w:pPr>
        <w:pStyle w:val="ListParagraph"/>
        <w:numPr>
          <w:ilvl w:val="0"/>
          <w:numId w:val="30"/>
        </w:numPr>
        <w:spacing w:after="120" w:line="240" w:lineRule="auto"/>
        <w:ind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Preference will be given to electronic resources that meet minimum accessibility standards and support the use of assistive technologies.</w:t>
      </w:r>
    </w:p>
    <w:p w14:paraId="2C21F1B9" w14:textId="77777777" w:rsidR="00335C13" w:rsidRPr="009929F8" w:rsidRDefault="00335C13" w:rsidP="00335C13">
      <w:pPr>
        <w:pStyle w:val="ListParagraph"/>
        <w:numPr>
          <w:ilvl w:val="0"/>
          <w:numId w:val="30"/>
        </w:numPr>
        <w:spacing w:after="120" w:line="240" w:lineRule="auto"/>
        <w:ind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Module outlines will be made accessible at least four weeks before the module starts. </w:t>
      </w:r>
    </w:p>
    <w:p w14:paraId="2D43018D" w14:textId="77777777" w:rsidR="00335C13" w:rsidRPr="009929F8" w:rsidRDefault="00335C13" w:rsidP="00335C13">
      <w:pPr>
        <w:pStyle w:val="ListParagraph"/>
        <w:numPr>
          <w:ilvl w:val="0"/>
          <w:numId w:val="30"/>
        </w:numPr>
        <w:spacing w:after="120" w:line="240" w:lineRule="auto"/>
        <w:ind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Prioritised reading lists will be made available sufficiently in advance to accommodate the provision of alternative formats and support those with a slow reading speed. </w:t>
      </w:r>
    </w:p>
    <w:p w14:paraId="7E9F52AA" w14:textId="77777777" w:rsidR="00335C13" w:rsidRPr="009929F8" w:rsidRDefault="00335C13" w:rsidP="00335C13">
      <w:pPr>
        <w:pStyle w:val="ListParagraph"/>
        <w:numPr>
          <w:ilvl w:val="0"/>
          <w:numId w:val="30"/>
        </w:numPr>
        <w:spacing w:after="120" w:line="240" w:lineRule="auto"/>
        <w:ind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Lecture/seminar slides/outlines will be made available in electronic format in advance to allow all students to prepare (particularly students with </w:t>
      </w:r>
      <w:r w:rsidR="00D973F2" w:rsidRPr="009929F8">
        <w:rPr>
          <w:rFonts w:ascii="Arial" w:hAnsi="Arial" w:cs="Arial"/>
          <w:sz w:val="20"/>
          <w:szCs w:val="20"/>
        </w:rPr>
        <w:t>note taking</w:t>
      </w:r>
      <w:r w:rsidRPr="009929F8">
        <w:rPr>
          <w:rFonts w:ascii="Arial" w:hAnsi="Arial" w:cs="Arial"/>
          <w:sz w:val="20"/>
          <w:szCs w:val="20"/>
        </w:rPr>
        <w:t xml:space="preserve"> difficulties). </w:t>
      </w:r>
    </w:p>
    <w:p w14:paraId="413338CC" w14:textId="77777777" w:rsidR="00335C13" w:rsidRPr="009929F8" w:rsidRDefault="00335C13" w:rsidP="00335C13">
      <w:pPr>
        <w:pStyle w:val="ListParagraph"/>
        <w:numPr>
          <w:ilvl w:val="0"/>
          <w:numId w:val="30"/>
        </w:numPr>
        <w:spacing w:after="120" w:line="240" w:lineRule="auto"/>
        <w:ind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In accordance with the KLS school-level statement on Lecture Capture, lectures will be recorded to assist </w:t>
      </w:r>
      <w:r w:rsidR="00D973F2" w:rsidRPr="009929F8">
        <w:rPr>
          <w:rFonts w:ascii="Arial" w:hAnsi="Arial" w:cs="Arial"/>
          <w:sz w:val="20"/>
          <w:szCs w:val="20"/>
        </w:rPr>
        <w:t>note taking</w:t>
      </w:r>
      <w:r w:rsidRPr="009929F8">
        <w:rPr>
          <w:rFonts w:ascii="Arial" w:hAnsi="Arial" w:cs="Arial"/>
          <w:sz w:val="20"/>
          <w:szCs w:val="20"/>
        </w:rPr>
        <w:t xml:space="preserve"> unless one or more of the lectures contains sensitive material. The module convenor will notify students in advance of any lectures that will not be recorded.</w:t>
      </w:r>
      <w:r w:rsidRPr="009929F8">
        <w:rPr>
          <w:rFonts w:ascii="Arial" w:hAnsi="Arial" w:cs="Arial"/>
          <w:sz w:val="20"/>
          <w:szCs w:val="20"/>
        </w:rPr>
        <w:br/>
      </w:r>
    </w:p>
    <w:p w14:paraId="6516B975" w14:textId="77777777" w:rsidR="00335C13" w:rsidRPr="009929F8" w:rsidRDefault="00335C13" w:rsidP="00335C13">
      <w:pPr>
        <w:spacing w:after="120" w:line="240" w:lineRule="auto"/>
        <w:ind w:left="426" w:right="260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b) Learning, teaching and assessment methods</w:t>
      </w:r>
    </w:p>
    <w:p w14:paraId="33D5A50E" w14:textId="0AB8D6D9" w:rsidR="00D973F2" w:rsidRPr="009929F8" w:rsidRDefault="00335C13" w:rsidP="00D973F2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 xml:space="preserve">The inclusive practices in the guidance (Annex B Appendix A, section </w:t>
      </w:r>
      <w:r w:rsidR="00744746" w:rsidRPr="009929F8">
        <w:rPr>
          <w:rFonts w:ascii="Arial" w:hAnsi="Arial" w:cs="Arial"/>
          <w:iCs/>
          <w:sz w:val="20"/>
          <w:szCs w:val="20"/>
        </w:rPr>
        <w:t>b (</w:t>
      </w:r>
      <w:r w:rsidRPr="009929F8">
        <w:rPr>
          <w:rFonts w:ascii="Arial" w:hAnsi="Arial" w:cs="Arial"/>
          <w:iCs/>
          <w:sz w:val="20"/>
          <w:szCs w:val="20"/>
        </w:rPr>
        <w:t>1) and (2)) have all been considered in order to support all students in their assessments on this module.</w:t>
      </w:r>
      <w:r w:rsidRPr="009929F8">
        <w:rPr>
          <w:rFonts w:ascii="Arial" w:hAnsi="Arial" w:cs="Arial"/>
          <w:iCs/>
          <w:sz w:val="20"/>
          <w:szCs w:val="20"/>
        </w:rPr>
        <w:br/>
      </w:r>
    </w:p>
    <w:p w14:paraId="2629E4FA" w14:textId="6D979A3C" w:rsidR="00335C13" w:rsidRPr="00BC4824" w:rsidRDefault="00335C13" w:rsidP="00BC4824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sz w:val="20"/>
          <w:szCs w:val="20"/>
        </w:rPr>
      </w:pPr>
      <w:r w:rsidRPr="00BC4824">
        <w:rPr>
          <w:rFonts w:ascii="Arial" w:hAnsi="Arial" w:cs="Arial"/>
          <w:b/>
          <w:sz w:val="20"/>
          <w:szCs w:val="20"/>
        </w:rPr>
        <w:lastRenderedPageBreak/>
        <w:t>Campus(es) or centre(s) where module will be delivered:</w:t>
      </w:r>
    </w:p>
    <w:p w14:paraId="30420AF6" w14:textId="77777777" w:rsidR="00335C13" w:rsidRPr="009929F8" w:rsidRDefault="00335C13" w:rsidP="009929F8">
      <w:pPr>
        <w:spacing w:after="120" w:line="240" w:lineRule="auto"/>
        <w:ind w:left="426" w:right="260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>Canterbury</w:t>
      </w:r>
      <w:r w:rsidR="00A430D6" w:rsidRPr="009929F8">
        <w:rPr>
          <w:rFonts w:ascii="Arial" w:hAnsi="Arial" w:cs="Arial"/>
          <w:iCs/>
          <w:sz w:val="20"/>
          <w:szCs w:val="20"/>
        </w:rPr>
        <w:t xml:space="preserve"> </w:t>
      </w:r>
      <w:r w:rsidR="00ED1518" w:rsidRPr="009929F8">
        <w:rPr>
          <w:rFonts w:ascii="Arial" w:hAnsi="Arial" w:cs="Arial"/>
          <w:iCs/>
          <w:sz w:val="20"/>
          <w:szCs w:val="20"/>
        </w:rPr>
        <w:t>and</w:t>
      </w:r>
      <w:r w:rsidR="00D973F2" w:rsidRPr="009929F8">
        <w:rPr>
          <w:rFonts w:ascii="Arial" w:hAnsi="Arial" w:cs="Arial"/>
          <w:iCs/>
          <w:sz w:val="20"/>
          <w:szCs w:val="20"/>
        </w:rPr>
        <w:t xml:space="preserve"> Medway</w:t>
      </w:r>
      <w:r w:rsidR="00ED1518" w:rsidRPr="009929F8">
        <w:rPr>
          <w:rFonts w:ascii="Arial" w:hAnsi="Arial" w:cs="Arial"/>
          <w:iCs/>
          <w:sz w:val="20"/>
          <w:szCs w:val="20"/>
        </w:rPr>
        <w:t>.</w:t>
      </w:r>
    </w:p>
    <w:p w14:paraId="70AB456C" w14:textId="77777777" w:rsidR="00ED1518" w:rsidRPr="009929F8" w:rsidRDefault="00ED1518" w:rsidP="00ED1518">
      <w:pPr>
        <w:rPr>
          <w:rFonts w:ascii="Arial" w:hAnsi="Arial" w:cs="Arial"/>
          <w:iCs/>
          <w:sz w:val="20"/>
          <w:szCs w:val="20"/>
        </w:rPr>
      </w:pPr>
    </w:p>
    <w:p w14:paraId="75933A11" w14:textId="6B84DB39" w:rsidR="00335C13" w:rsidRPr="009929F8" w:rsidRDefault="00335C13" w:rsidP="00BC4824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 xml:space="preserve">Internationalisation </w:t>
      </w:r>
    </w:p>
    <w:p w14:paraId="2C278581" w14:textId="4CA70A74" w:rsidR="00A018FA" w:rsidRPr="009929F8" w:rsidRDefault="0081111B" w:rsidP="00BC4824">
      <w:pPr>
        <w:spacing w:after="120" w:line="240" w:lineRule="auto"/>
        <w:ind w:left="426" w:right="260"/>
        <w:rPr>
          <w:rFonts w:ascii="Arial" w:hAnsi="Arial" w:cs="Arial"/>
          <w:sz w:val="20"/>
          <w:szCs w:val="20"/>
        </w:rPr>
      </w:pPr>
      <w:r w:rsidRPr="00BC4824">
        <w:rPr>
          <w:rFonts w:ascii="Arial" w:hAnsi="Arial" w:cs="Arial"/>
          <w:iCs/>
          <w:sz w:val="20"/>
          <w:szCs w:val="20"/>
        </w:rPr>
        <w:t>Th</w:t>
      </w:r>
      <w:r w:rsidR="00ED1518" w:rsidRPr="00BC4824">
        <w:rPr>
          <w:rFonts w:ascii="Arial" w:hAnsi="Arial" w:cs="Arial"/>
          <w:iCs/>
          <w:sz w:val="20"/>
          <w:szCs w:val="20"/>
        </w:rPr>
        <w:t>e</w:t>
      </w:r>
      <w:r w:rsidR="00ED1518" w:rsidRPr="009929F8">
        <w:rPr>
          <w:rFonts w:ascii="Arial" w:hAnsi="Arial" w:cs="Arial"/>
          <w:sz w:val="20"/>
          <w:szCs w:val="20"/>
        </w:rPr>
        <w:t xml:space="preserve"> </w:t>
      </w:r>
      <w:r w:rsidRPr="009929F8">
        <w:rPr>
          <w:rFonts w:ascii="Arial" w:hAnsi="Arial" w:cs="Arial"/>
          <w:sz w:val="20"/>
          <w:szCs w:val="20"/>
        </w:rPr>
        <w:t xml:space="preserve">module </w:t>
      </w:r>
      <w:r w:rsidR="00ED1518" w:rsidRPr="009929F8">
        <w:rPr>
          <w:rFonts w:ascii="Arial" w:hAnsi="Arial" w:cs="Arial"/>
          <w:sz w:val="20"/>
          <w:szCs w:val="20"/>
        </w:rPr>
        <w:t>contains a considerable range of international-related in addition to national aspects relevant to the study of Sports Law. Notably, Sports Law is subject to a substantial degree of regulation and adjudication derived from regional (notably EU) and international law as well international private and public institutions (</w:t>
      </w:r>
      <w:r w:rsidR="00744746" w:rsidRPr="009929F8">
        <w:rPr>
          <w:rFonts w:ascii="Arial" w:hAnsi="Arial" w:cs="Arial"/>
          <w:sz w:val="20"/>
          <w:szCs w:val="20"/>
        </w:rPr>
        <w:t>e.g.</w:t>
      </w:r>
      <w:r w:rsidR="00ED1518" w:rsidRPr="009929F8">
        <w:rPr>
          <w:rFonts w:ascii="Arial" w:hAnsi="Arial" w:cs="Arial"/>
          <w:sz w:val="20"/>
          <w:szCs w:val="20"/>
        </w:rPr>
        <w:t xml:space="preserve"> International Sports Federations, CAS).</w:t>
      </w:r>
      <w:r w:rsidR="006709C2" w:rsidRPr="009929F8">
        <w:rPr>
          <w:rFonts w:ascii="Arial" w:hAnsi="Arial" w:cs="Arial"/>
          <w:sz w:val="20"/>
          <w:szCs w:val="20"/>
        </w:rPr>
        <w:t xml:space="preserve"> In many respects, Sports Law is increasingly subject to transnational influences, notably in relation to regulation and management of the professional ‘elite’ sports sector.</w:t>
      </w:r>
    </w:p>
    <w:p w14:paraId="62F8B3D5" w14:textId="77777777" w:rsidR="00BC4824" w:rsidRDefault="00BC48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396BED" w14:textId="11F26FF0" w:rsidR="00441E76" w:rsidRPr="009929F8" w:rsidRDefault="00AA3710" w:rsidP="004A33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DIVISIONAL</w:t>
      </w:r>
      <w:r w:rsidR="00441E76" w:rsidRPr="009929F8">
        <w:rPr>
          <w:rFonts w:ascii="Arial" w:hAnsi="Arial" w:cs="Arial"/>
          <w:b/>
          <w:sz w:val="20"/>
          <w:szCs w:val="20"/>
        </w:rPr>
        <w:t xml:space="preserve"> USE ONLY</w:t>
      </w:r>
    </w:p>
    <w:p w14:paraId="4CEE1034" w14:textId="77777777" w:rsidR="00D83563" w:rsidRPr="009929F8" w:rsidRDefault="00D83563" w:rsidP="0066061A">
      <w:pPr>
        <w:spacing w:after="120" w:line="240" w:lineRule="auto"/>
        <w:ind w:right="260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Revision record – all revisions must be recorded in the grid and full details of the change retained in the appropriate committee records.</w:t>
      </w:r>
    </w:p>
    <w:p w14:paraId="63F08211" w14:textId="77777777" w:rsidR="00422B69" w:rsidRPr="009929F8" w:rsidRDefault="00422B69" w:rsidP="0066061A">
      <w:pPr>
        <w:spacing w:after="120" w:line="240" w:lineRule="auto"/>
        <w:ind w:right="-33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417"/>
        <w:gridCol w:w="2342"/>
        <w:gridCol w:w="2658"/>
        <w:gridCol w:w="2400"/>
      </w:tblGrid>
      <w:tr w:rsidR="00302082" w:rsidRPr="009929F8" w14:paraId="5D5D3647" w14:textId="77777777" w:rsidTr="00BC4824">
        <w:trPr>
          <w:trHeight w:val="317"/>
        </w:trPr>
        <w:tc>
          <w:tcPr>
            <w:tcW w:w="1673" w:type="dxa"/>
          </w:tcPr>
          <w:p w14:paraId="1CBABB97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417" w:type="dxa"/>
          </w:tcPr>
          <w:p w14:paraId="42BB5B89" w14:textId="77777777" w:rsidR="00422B69" w:rsidRPr="009929F8" w:rsidRDefault="00422B69" w:rsidP="0066061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2342" w:type="dxa"/>
          </w:tcPr>
          <w:p w14:paraId="28B35BC8" w14:textId="0A6ABAEF" w:rsidR="00422B69" w:rsidRPr="009929F8" w:rsidRDefault="009929F8" w:rsidP="004F23A9">
            <w:pPr>
              <w:spacing w:after="120"/>
              <w:ind w:righ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date of the delivery of </w:t>
            </w:r>
            <w:r w:rsidR="00422B69" w:rsidRPr="009929F8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658" w:type="dxa"/>
          </w:tcPr>
          <w:p w14:paraId="03D4C64D" w14:textId="77777777" w:rsidR="00422B69" w:rsidRPr="009929F8" w:rsidRDefault="00422B69" w:rsidP="004F23A9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400" w:type="dxa"/>
          </w:tcPr>
          <w:p w14:paraId="14C825C2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Impacts PLOs</w:t>
            </w:r>
            <w:r w:rsidR="00002762" w:rsidRPr="009929F8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1A425B" w:rsidRPr="009929F8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929F8" w14:paraId="2F9CE4AF" w14:textId="77777777" w:rsidTr="00BC4824">
        <w:trPr>
          <w:trHeight w:val="305"/>
        </w:trPr>
        <w:tc>
          <w:tcPr>
            <w:tcW w:w="1673" w:type="dxa"/>
          </w:tcPr>
          <w:p w14:paraId="5BF8217A" w14:textId="6B35EA34" w:rsidR="00422B69" w:rsidRPr="009929F8" w:rsidRDefault="003C592A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13/11/2020</w:t>
            </w:r>
          </w:p>
        </w:tc>
        <w:tc>
          <w:tcPr>
            <w:tcW w:w="1417" w:type="dxa"/>
          </w:tcPr>
          <w:p w14:paraId="59291D6F" w14:textId="2FB21E13" w:rsidR="00422B69" w:rsidRPr="009929F8" w:rsidRDefault="00AA3710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2342" w:type="dxa"/>
          </w:tcPr>
          <w:p w14:paraId="195B1C8B" w14:textId="08806162" w:rsidR="00422B69" w:rsidRPr="009929F8" w:rsidRDefault="00AA3710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2021</w:t>
            </w:r>
          </w:p>
        </w:tc>
        <w:tc>
          <w:tcPr>
            <w:tcW w:w="2658" w:type="dxa"/>
          </w:tcPr>
          <w:p w14:paraId="5762C594" w14:textId="0A1B83C0" w:rsidR="00422B69" w:rsidRPr="009929F8" w:rsidRDefault="00AA3710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13, 14</w:t>
            </w:r>
          </w:p>
        </w:tc>
        <w:tc>
          <w:tcPr>
            <w:tcW w:w="2400" w:type="dxa"/>
          </w:tcPr>
          <w:p w14:paraId="0342AABE" w14:textId="76D41D56" w:rsidR="00422B69" w:rsidRPr="009929F8" w:rsidRDefault="00AA3710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2082" w:rsidRPr="009929F8" w14:paraId="33B244CB" w14:textId="77777777" w:rsidTr="00BC4824">
        <w:trPr>
          <w:trHeight w:val="305"/>
        </w:trPr>
        <w:tc>
          <w:tcPr>
            <w:tcW w:w="1673" w:type="dxa"/>
          </w:tcPr>
          <w:p w14:paraId="30FDE71E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9836B4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57751D6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D8B4C4C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3FAB303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5FD41" w14:textId="77777777" w:rsidR="00D83563" w:rsidRPr="009929F8" w:rsidRDefault="00D83563" w:rsidP="004F23A9">
      <w:pPr>
        <w:spacing w:after="120" w:line="240" w:lineRule="auto"/>
        <w:ind w:right="-330"/>
        <w:rPr>
          <w:rFonts w:ascii="Arial" w:hAnsi="Arial" w:cs="Arial"/>
          <w:sz w:val="20"/>
          <w:szCs w:val="20"/>
        </w:rPr>
      </w:pPr>
    </w:p>
    <w:sectPr w:rsidR="00D83563" w:rsidRPr="009929F8" w:rsidSect="003C592A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7F88E" w16cid:durableId="1F75D06F"/>
  <w16cid:commentId w16cid:paraId="5EF46C5C" w16cid:durableId="1F75D0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C53C1" w14:textId="77777777" w:rsidR="00FA3F57" w:rsidRDefault="00FA3F57" w:rsidP="00055045">
      <w:pPr>
        <w:spacing w:after="0" w:line="240" w:lineRule="auto"/>
      </w:pPr>
      <w:r>
        <w:separator/>
      </w:r>
    </w:p>
  </w:endnote>
  <w:endnote w:type="continuationSeparator" w:id="0">
    <w:p w14:paraId="54D82256" w14:textId="77777777" w:rsidR="00FA3F57" w:rsidRDefault="00FA3F57" w:rsidP="00055045">
      <w:pPr>
        <w:spacing w:after="0" w:line="240" w:lineRule="auto"/>
      </w:pPr>
      <w:r>
        <w:continuationSeparator/>
      </w:r>
    </w:p>
  </w:endnote>
  <w:endnote w:type="continuationNotice" w:id="1">
    <w:p w14:paraId="5518B1B6" w14:textId="77777777" w:rsidR="00FA3F57" w:rsidRDefault="00FA3F57" w:rsidP="00055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B36B" w14:textId="77777777" w:rsidR="003C592A" w:rsidRDefault="003C592A" w:rsidP="00BC4824">
    <w:pPr>
      <w:pStyle w:val="Footer"/>
      <w:jc w:val="center"/>
    </w:pPr>
  </w:p>
  <w:p w14:paraId="1E1C28E6" w14:textId="77777777" w:rsidR="003C592A" w:rsidRDefault="003C592A" w:rsidP="00BC4824">
    <w:pPr>
      <w:pStyle w:val="Footer"/>
      <w:jc w:val="center"/>
      <w:rPr>
        <w:rFonts w:eastAsiaTheme="minorHAnsi"/>
        <w:lang w:eastAsia="en-US"/>
      </w:rPr>
    </w:pPr>
  </w:p>
  <w:sdt>
    <w:sdtPr>
      <w:id w:val="1672785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63201C4" w14:textId="4E5AB6F9" w:rsidR="00BC4824" w:rsidRDefault="008D10F3" w:rsidP="00BC4824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BC4824">
          <w:rPr>
            <w:rFonts w:ascii="Arial" w:hAnsi="Arial" w:cs="Arial"/>
            <w:noProof/>
            <w:sz w:val="20"/>
            <w:szCs w:val="20"/>
          </w:rPr>
          <w:fldChar w:fldCharType="begin"/>
        </w:r>
        <w:r w:rsidR="002D1495" w:rsidRPr="00BC4824">
          <w:rPr>
            <w:rFonts w:ascii="Arial" w:hAnsi="Arial" w:cs="Arial"/>
            <w:noProof/>
            <w:sz w:val="20"/>
            <w:szCs w:val="20"/>
          </w:rPr>
          <w:instrText xml:space="preserve"> PAGE   \* MERGEFORMAT </w:instrText>
        </w:r>
        <w:r w:rsidRPr="00BC4824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3C592A">
          <w:rPr>
            <w:rFonts w:ascii="Arial" w:hAnsi="Arial" w:cs="Arial"/>
            <w:noProof/>
            <w:sz w:val="20"/>
            <w:szCs w:val="20"/>
          </w:rPr>
          <w:t>2</w:t>
        </w:r>
        <w:r w:rsidRPr="00BC4824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0E5147EF" w14:textId="2EA00A6F" w:rsidR="00F92804" w:rsidRPr="003C592A" w:rsidRDefault="004473D5" w:rsidP="003C592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Sports Law (LW655/LAW</w:t>
        </w:r>
        <w:r w:rsidR="00EC67C1">
          <w:rPr>
            <w:rFonts w:ascii="Arial" w:hAnsi="Arial" w:cs="Arial"/>
            <w:noProof/>
            <w:sz w:val="20"/>
            <w:szCs w:val="20"/>
          </w:rPr>
          <w:t>S</w:t>
        </w:r>
        <w:r>
          <w:rPr>
            <w:rFonts w:ascii="Arial" w:hAnsi="Arial" w:cs="Arial"/>
            <w:noProof/>
            <w:sz w:val="20"/>
            <w:szCs w:val="20"/>
          </w:rPr>
          <w:t>6550</w:t>
        </w:r>
        <w:r w:rsidR="00BC4824">
          <w:rPr>
            <w:rFonts w:ascii="Arial" w:hAnsi="Arial" w:cs="Arial"/>
            <w:noProof/>
            <w:sz w:val="20"/>
            <w:szCs w:val="20"/>
          </w:rPr>
          <w:t>) – Sept. 20</w:t>
        </w:r>
        <w:r w:rsidR="00AA3710">
          <w:rPr>
            <w:rFonts w:ascii="Arial" w:hAnsi="Arial" w:cs="Arial"/>
            <w:noProof/>
            <w:sz w:val="20"/>
            <w:szCs w:val="20"/>
          </w:rPr>
          <w:t>21</w:t>
        </w:r>
        <w:r w:rsidR="00BC4824">
          <w:rPr>
            <w:rFonts w:ascii="Arial" w:hAnsi="Arial" w:cs="Arial"/>
            <w:noProof/>
            <w:sz w:val="20"/>
            <w:szCs w:val="20"/>
          </w:rPr>
          <w:t xml:space="preserve"> onwards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23706" w14:textId="77777777" w:rsidR="00FA3F57" w:rsidRDefault="00FA3F57" w:rsidP="00055045">
      <w:pPr>
        <w:spacing w:after="0" w:line="240" w:lineRule="auto"/>
      </w:pPr>
      <w:r>
        <w:separator/>
      </w:r>
    </w:p>
  </w:footnote>
  <w:footnote w:type="continuationSeparator" w:id="0">
    <w:p w14:paraId="06B8952F" w14:textId="77777777" w:rsidR="00FA3F57" w:rsidRDefault="00FA3F57" w:rsidP="00055045">
      <w:pPr>
        <w:spacing w:after="0" w:line="240" w:lineRule="auto"/>
      </w:pPr>
      <w:r>
        <w:continuationSeparator/>
      </w:r>
    </w:p>
  </w:footnote>
  <w:footnote w:type="continuationNotice" w:id="1">
    <w:p w14:paraId="18786A00" w14:textId="77777777" w:rsidR="00FA3F57" w:rsidRDefault="00FA3F57" w:rsidP="00055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A578" w14:textId="77777777" w:rsidR="00F92804" w:rsidRPr="0075408A" w:rsidRDefault="00F92804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2B23570" wp14:editId="79B8D5B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0829A53E" w14:textId="77777777" w:rsidR="00F92804" w:rsidRPr="008C00F8" w:rsidRDefault="00F92804" w:rsidP="005E6D38">
    <w:pPr>
      <w:pStyle w:val="Heading1"/>
      <w:spacing w:before="60" w:after="60"/>
      <w:rPr>
        <w:rFonts w:ascii="Arial" w:hAnsi="Arial" w:cs="Arial"/>
      </w:rPr>
    </w:pPr>
  </w:p>
  <w:p w14:paraId="40B4FB4A" w14:textId="77777777" w:rsidR="00F92804" w:rsidRDefault="00F92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7E8D" w14:textId="77777777" w:rsidR="00F92804" w:rsidRPr="0075408A" w:rsidRDefault="00F92804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2EC9B83" wp14:editId="0A16C12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745C8C8" w14:textId="77777777" w:rsidR="00F92804" w:rsidRPr="000F7FBF" w:rsidRDefault="00F92804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8A1420"/>
    <w:multiLevelType w:val="hybridMultilevel"/>
    <w:tmpl w:val="6FB6F5D0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AB7BAC"/>
    <w:multiLevelType w:val="hybridMultilevel"/>
    <w:tmpl w:val="86F263A8"/>
    <w:lvl w:ilvl="0" w:tplc="95F2D2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44F78"/>
    <w:multiLevelType w:val="hybridMultilevel"/>
    <w:tmpl w:val="F88A7584"/>
    <w:lvl w:ilvl="0" w:tplc="4F6C72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777"/>
    <w:multiLevelType w:val="hybridMultilevel"/>
    <w:tmpl w:val="8E5E276C"/>
    <w:lvl w:ilvl="0" w:tplc="B7085A5A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1BF95B22"/>
    <w:multiLevelType w:val="hybridMultilevel"/>
    <w:tmpl w:val="61F444C2"/>
    <w:lvl w:ilvl="0" w:tplc="47D087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C22D6F"/>
    <w:multiLevelType w:val="hybridMultilevel"/>
    <w:tmpl w:val="622A6F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730FE8"/>
    <w:multiLevelType w:val="hybridMultilevel"/>
    <w:tmpl w:val="EFB0C6C6"/>
    <w:lvl w:ilvl="0" w:tplc="EBC6A114">
      <w:start w:val="1"/>
      <w:numFmt w:val="decimal"/>
      <w:lvlText w:val="%1."/>
      <w:lvlJc w:val="left"/>
      <w:pPr>
        <w:ind w:left="3762" w:hanging="360"/>
      </w:pPr>
      <w:rPr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7DF6ABC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1DA5086">
      <w:numFmt w:val="bullet"/>
      <w:lvlText w:val="•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33E8"/>
    <w:multiLevelType w:val="hybridMultilevel"/>
    <w:tmpl w:val="8F86907A"/>
    <w:lvl w:ilvl="0" w:tplc="1FF67004">
      <w:start w:val="17"/>
      <w:numFmt w:val="decimal"/>
      <w:pStyle w:val="Heading9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743DE"/>
    <w:multiLevelType w:val="hybridMultilevel"/>
    <w:tmpl w:val="0272275E"/>
    <w:lvl w:ilvl="0" w:tplc="22265A20">
      <w:start w:val="1"/>
      <w:numFmt w:val="decimal"/>
      <w:lvlText w:val="%1."/>
      <w:lvlJc w:val="left"/>
      <w:pPr>
        <w:ind w:left="3762" w:hanging="360"/>
      </w:pPr>
      <w:rPr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7DF6ABC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1DA5086">
      <w:numFmt w:val="bullet"/>
      <w:lvlText w:val="•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A5B29"/>
    <w:multiLevelType w:val="hybridMultilevel"/>
    <w:tmpl w:val="FBCC4D74"/>
    <w:lvl w:ilvl="0" w:tplc="C1DA5086">
      <w:numFmt w:val="bullet"/>
      <w:lvlText w:val="•"/>
      <w:lvlJc w:val="left"/>
      <w:pPr>
        <w:ind w:left="3306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6D6EBD"/>
    <w:multiLevelType w:val="hybridMultilevel"/>
    <w:tmpl w:val="227E8828"/>
    <w:lvl w:ilvl="0" w:tplc="0809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A2E99"/>
    <w:multiLevelType w:val="hybridMultilevel"/>
    <w:tmpl w:val="FE56D44C"/>
    <w:lvl w:ilvl="0" w:tplc="EC1C751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C7685"/>
    <w:multiLevelType w:val="hybridMultilevel"/>
    <w:tmpl w:val="295880EE"/>
    <w:lvl w:ilvl="0" w:tplc="080C000F">
      <w:start w:val="1"/>
      <w:numFmt w:val="decimal"/>
      <w:lvlText w:val="%1."/>
      <w:lvlJc w:val="left"/>
      <w:pPr>
        <w:ind w:left="4122" w:hanging="360"/>
      </w:pPr>
    </w:lvl>
    <w:lvl w:ilvl="1" w:tplc="080C0019" w:tentative="1">
      <w:start w:val="1"/>
      <w:numFmt w:val="lowerLetter"/>
      <w:lvlText w:val="%2."/>
      <w:lvlJc w:val="left"/>
      <w:pPr>
        <w:ind w:left="4842" w:hanging="360"/>
      </w:pPr>
    </w:lvl>
    <w:lvl w:ilvl="2" w:tplc="080C001B" w:tentative="1">
      <w:start w:val="1"/>
      <w:numFmt w:val="lowerRoman"/>
      <w:lvlText w:val="%3."/>
      <w:lvlJc w:val="right"/>
      <w:pPr>
        <w:ind w:left="5562" w:hanging="180"/>
      </w:pPr>
    </w:lvl>
    <w:lvl w:ilvl="3" w:tplc="080C000F" w:tentative="1">
      <w:start w:val="1"/>
      <w:numFmt w:val="decimal"/>
      <w:lvlText w:val="%4."/>
      <w:lvlJc w:val="left"/>
      <w:pPr>
        <w:ind w:left="6282" w:hanging="360"/>
      </w:pPr>
    </w:lvl>
    <w:lvl w:ilvl="4" w:tplc="080C0019" w:tentative="1">
      <w:start w:val="1"/>
      <w:numFmt w:val="lowerLetter"/>
      <w:lvlText w:val="%5."/>
      <w:lvlJc w:val="left"/>
      <w:pPr>
        <w:ind w:left="7002" w:hanging="360"/>
      </w:pPr>
    </w:lvl>
    <w:lvl w:ilvl="5" w:tplc="080C001B" w:tentative="1">
      <w:start w:val="1"/>
      <w:numFmt w:val="lowerRoman"/>
      <w:lvlText w:val="%6."/>
      <w:lvlJc w:val="right"/>
      <w:pPr>
        <w:ind w:left="7722" w:hanging="180"/>
      </w:pPr>
    </w:lvl>
    <w:lvl w:ilvl="6" w:tplc="080C000F" w:tentative="1">
      <w:start w:val="1"/>
      <w:numFmt w:val="decimal"/>
      <w:lvlText w:val="%7."/>
      <w:lvlJc w:val="left"/>
      <w:pPr>
        <w:ind w:left="8442" w:hanging="360"/>
      </w:pPr>
    </w:lvl>
    <w:lvl w:ilvl="7" w:tplc="080C0019" w:tentative="1">
      <w:start w:val="1"/>
      <w:numFmt w:val="lowerLetter"/>
      <w:lvlText w:val="%8."/>
      <w:lvlJc w:val="left"/>
      <w:pPr>
        <w:ind w:left="9162" w:hanging="360"/>
      </w:pPr>
    </w:lvl>
    <w:lvl w:ilvl="8" w:tplc="080C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7" w15:restartNumberingAfterBreak="0">
    <w:nsid w:val="3F8649E0"/>
    <w:multiLevelType w:val="hybridMultilevel"/>
    <w:tmpl w:val="B34CF16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4230EB"/>
    <w:multiLevelType w:val="multilevel"/>
    <w:tmpl w:val="14345FE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Plantin" w:hAnsi="Planti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CDB22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3B3005"/>
    <w:multiLevelType w:val="hybridMultilevel"/>
    <w:tmpl w:val="FD7886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0797AB1"/>
    <w:multiLevelType w:val="hybridMultilevel"/>
    <w:tmpl w:val="5E28B3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1956B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9AA10F9"/>
    <w:multiLevelType w:val="hybridMultilevel"/>
    <w:tmpl w:val="6F28BDB6"/>
    <w:lvl w:ilvl="0" w:tplc="F02A44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680042D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165F0A"/>
    <w:multiLevelType w:val="hybridMultilevel"/>
    <w:tmpl w:val="808043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F848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5F4B78"/>
    <w:multiLevelType w:val="hybridMultilevel"/>
    <w:tmpl w:val="4E1C15FA"/>
    <w:lvl w:ilvl="0" w:tplc="0809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16E2A"/>
    <w:multiLevelType w:val="hybridMultilevel"/>
    <w:tmpl w:val="449A3B6C"/>
    <w:lvl w:ilvl="0" w:tplc="71BE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B41F80"/>
    <w:multiLevelType w:val="hybridMultilevel"/>
    <w:tmpl w:val="56602144"/>
    <w:lvl w:ilvl="0" w:tplc="BD5C1BE2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56B7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13817"/>
    <w:multiLevelType w:val="hybridMultilevel"/>
    <w:tmpl w:val="D774FFAC"/>
    <w:lvl w:ilvl="0" w:tplc="22265A20">
      <w:start w:val="1"/>
      <w:numFmt w:val="decimal"/>
      <w:lvlText w:val="%1."/>
      <w:lvlJc w:val="left"/>
      <w:pPr>
        <w:ind w:left="3762" w:hanging="360"/>
      </w:pPr>
      <w:rPr>
        <w:b w:val="0"/>
        <w:i w:val="0"/>
      </w:rPr>
    </w:lvl>
    <w:lvl w:ilvl="1" w:tplc="C1DA508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7DF6ABC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1DA5086">
      <w:numFmt w:val="bullet"/>
      <w:lvlText w:val="•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25"/>
  </w:num>
  <w:num w:numId="6">
    <w:abstractNumId w:val="23"/>
  </w:num>
  <w:num w:numId="7">
    <w:abstractNumId w:val="32"/>
  </w:num>
  <w:num w:numId="8">
    <w:abstractNumId w:val="24"/>
  </w:num>
  <w:num w:numId="9">
    <w:abstractNumId w:val="29"/>
  </w:num>
  <w:num w:numId="10">
    <w:abstractNumId w:val="20"/>
  </w:num>
  <w:num w:numId="11">
    <w:abstractNumId w:val="5"/>
  </w:num>
  <w:num w:numId="12">
    <w:abstractNumId w:val="21"/>
  </w:num>
  <w:num w:numId="13">
    <w:abstractNumId w:val="8"/>
  </w:num>
  <w:num w:numId="14">
    <w:abstractNumId w:val="17"/>
  </w:num>
  <w:num w:numId="15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19"/>
  </w:num>
  <w:num w:numId="20">
    <w:abstractNumId w:val="31"/>
  </w:num>
  <w:num w:numId="21">
    <w:abstractNumId w:val="22"/>
  </w:num>
  <w:num w:numId="22">
    <w:abstractNumId w:val="27"/>
  </w:num>
  <w:num w:numId="23">
    <w:abstractNumId w:val="2"/>
  </w:num>
  <w:num w:numId="24">
    <w:abstractNumId w:val="14"/>
  </w:num>
  <w:num w:numId="25">
    <w:abstractNumId w:val="28"/>
  </w:num>
  <w:num w:numId="26">
    <w:abstractNumId w:val="30"/>
  </w:num>
  <w:num w:numId="2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6"/>
  </w:num>
  <w:num w:numId="30">
    <w:abstractNumId w:val="4"/>
  </w:num>
  <w:num w:numId="31">
    <w:abstractNumId w:val="33"/>
  </w:num>
  <w:num w:numId="32">
    <w:abstractNumId w:val="11"/>
  </w:num>
  <w:num w:numId="33">
    <w:abstractNumId w:val="16"/>
  </w:num>
  <w:num w:numId="34">
    <w:abstractNumId w:val="13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0"/>
    <w:rsid w:val="00000C8C"/>
    <w:rsid w:val="000017F2"/>
    <w:rsid w:val="00002762"/>
    <w:rsid w:val="00005661"/>
    <w:rsid w:val="00010A16"/>
    <w:rsid w:val="0001243F"/>
    <w:rsid w:val="000161F3"/>
    <w:rsid w:val="00021EA0"/>
    <w:rsid w:val="00025992"/>
    <w:rsid w:val="00027937"/>
    <w:rsid w:val="00030C9E"/>
    <w:rsid w:val="00031E67"/>
    <w:rsid w:val="000408CC"/>
    <w:rsid w:val="00045373"/>
    <w:rsid w:val="00055045"/>
    <w:rsid w:val="00063A2F"/>
    <w:rsid w:val="000678D3"/>
    <w:rsid w:val="00072299"/>
    <w:rsid w:val="0007557C"/>
    <w:rsid w:val="00081B27"/>
    <w:rsid w:val="00094810"/>
    <w:rsid w:val="000B55B5"/>
    <w:rsid w:val="000C0294"/>
    <w:rsid w:val="000C7A1C"/>
    <w:rsid w:val="000D2A8A"/>
    <w:rsid w:val="000D32AC"/>
    <w:rsid w:val="000E20C1"/>
    <w:rsid w:val="000E3B73"/>
    <w:rsid w:val="000F0FCB"/>
    <w:rsid w:val="000F5F16"/>
    <w:rsid w:val="000F6C56"/>
    <w:rsid w:val="000F7FBF"/>
    <w:rsid w:val="00106BE5"/>
    <w:rsid w:val="001070F8"/>
    <w:rsid w:val="00110947"/>
    <w:rsid w:val="00111906"/>
    <w:rsid w:val="00111CB3"/>
    <w:rsid w:val="00117577"/>
    <w:rsid w:val="00117793"/>
    <w:rsid w:val="001206E4"/>
    <w:rsid w:val="001214D3"/>
    <w:rsid w:val="00121BFC"/>
    <w:rsid w:val="001315D1"/>
    <w:rsid w:val="001402AD"/>
    <w:rsid w:val="00141603"/>
    <w:rsid w:val="001540CE"/>
    <w:rsid w:val="0015717B"/>
    <w:rsid w:val="00157ACA"/>
    <w:rsid w:val="00160427"/>
    <w:rsid w:val="00162D46"/>
    <w:rsid w:val="00171669"/>
    <w:rsid w:val="00172793"/>
    <w:rsid w:val="0017756A"/>
    <w:rsid w:val="00180558"/>
    <w:rsid w:val="001811E5"/>
    <w:rsid w:val="00183B34"/>
    <w:rsid w:val="00185F46"/>
    <w:rsid w:val="0019541D"/>
    <w:rsid w:val="00196C6A"/>
    <w:rsid w:val="0019787E"/>
    <w:rsid w:val="001A425B"/>
    <w:rsid w:val="001A6975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24FE"/>
    <w:rsid w:val="001E62C1"/>
    <w:rsid w:val="001F0779"/>
    <w:rsid w:val="001F3C3E"/>
    <w:rsid w:val="0020243A"/>
    <w:rsid w:val="0021578E"/>
    <w:rsid w:val="00220C6E"/>
    <w:rsid w:val="00227582"/>
    <w:rsid w:val="002308BE"/>
    <w:rsid w:val="002407C0"/>
    <w:rsid w:val="002461AF"/>
    <w:rsid w:val="002465A1"/>
    <w:rsid w:val="00251B14"/>
    <w:rsid w:val="002572DF"/>
    <w:rsid w:val="00264576"/>
    <w:rsid w:val="002653FE"/>
    <w:rsid w:val="0026585A"/>
    <w:rsid w:val="00266735"/>
    <w:rsid w:val="00273CF0"/>
    <w:rsid w:val="002748D4"/>
    <w:rsid w:val="00274ED7"/>
    <w:rsid w:val="00281EFB"/>
    <w:rsid w:val="0028448D"/>
    <w:rsid w:val="0028461D"/>
    <w:rsid w:val="0028590C"/>
    <w:rsid w:val="002861AD"/>
    <w:rsid w:val="00290A2D"/>
    <w:rsid w:val="00292C46"/>
    <w:rsid w:val="002938D6"/>
    <w:rsid w:val="00294B73"/>
    <w:rsid w:val="002A0C18"/>
    <w:rsid w:val="002A219B"/>
    <w:rsid w:val="002A22DB"/>
    <w:rsid w:val="002B20F5"/>
    <w:rsid w:val="002B2A1A"/>
    <w:rsid w:val="002B4676"/>
    <w:rsid w:val="002B71F2"/>
    <w:rsid w:val="002C3678"/>
    <w:rsid w:val="002D008B"/>
    <w:rsid w:val="002D1495"/>
    <w:rsid w:val="002E71C0"/>
    <w:rsid w:val="002F05F4"/>
    <w:rsid w:val="002F0A22"/>
    <w:rsid w:val="002F0CE4"/>
    <w:rsid w:val="002F23EF"/>
    <w:rsid w:val="002F24F4"/>
    <w:rsid w:val="002F2626"/>
    <w:rsid w:val="002F2BFD"/>
    <w:rsid w:val="00302082"/>
    <w:rsid w:val="0030408E"/>
    <w:rsid w:val="00304503"/>
    <w:rsid w:val="00306620"/>
    <w:rsid w:val="00322CA2"/>
    <w:rsid w:val="003262B9"/>
    <w:rsid w:val="00334A02"/>
    <w:rsid w:val="00335875"/>
    <w:rsid w:val="00335C13"/>
    <w:rsid w:val="00335FBE"/>
    <w:rsid w:val="00352D8E"/>
    <w:rsid w:val="00353254"/>
    <w:rsid w:val="00356B68"/>
    <w:rsid w:val="0035702D"/>
    <w:rsid w:val="003604D4"/>
    <w:rsid w:val="003627B0"/>
    <w:rsid w:val="00363CB3"/>
    <w:rsid w:val="00373ACB"/>
    <w:rsid w:val="00374DF6"/>
    <w:rsid w:val="003759B0"/>
    <w:rsid w:val="00375F84"/>
    <w:rsid w:val="00376E34"/>
    <w:rsid w:val="003804E7"/>
    <w:rsid w:val="00380EAE"/>
    <w:rsid w:val="003934D2"/>
    <w:rsid w:val="003973A1"/>
    <w:rsid w:val="003A5DA0"/>
    <w:rsid w:val="003A5EEB"/>
    <w:rsid w:val="003A6143"/>
    <w:rsid w:val="003B35F4"/>
    <w:rsid w:val="003B7C76"/>
    <w:rsid w:val="003B7CE9"/>
    <w:rsid w:val="003C326D"/>
    <w:rsid w:val="003C3E0C"/>
    <w:rsid w:val="003C5836"/>
    <w:rsid w:val="003C592A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3004"/>
    <w:rsid w:val="00436BE9"/>
    <w:rsid w:val="00441E76"/>
    <w:rsid w:val="004443DA"/>
    <w:rsid w:val="00446076"/>
    <w:rsid w:val="004473D5"/>
    <w:rsid w:val="004474A2"/>
    <w:rsid w:val="00456566"/>
    <w:rsid w:val="00460925"/>
    <w:rsid w:val="00471C6C"/>
    <w:rsid w:val="00472023"/>
    <w:rsid w:val="004721CB"/>
    <w:rsid w:val="00486993"/>
    <w:rsid w:val="0048769F"/>
    <w:rsid w:val="00492DA4"/>
    <w:rsid w:val="00496AA3"/>
    <w:rsid w:val="00497C98"/>
    <w:rsid w:val="004A3380"/>
    <w:rsid w:val="004A39D7"/>
    <w:rsid w:val="004A4064"/>
    <w:rsid w:val="004A55FA"/>
    <w:rsid w:val="004B4865"/>
    <w:rsid w:val="004C1EC4"/>
    <w:rsid w:val="004D035C"/>
    <w:rsid w:val="004D12EF"/>
    <w:rsid w:val="004F23A9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7EC9"/>
    <w:rsid w:val="00571630"/>
    <w:rsid w:val="005759F4"/>
    <w:rsid w:val="0057699B"/>
    <w:rsid w:val="005779D1"/>
    <w:rsid w:val="0058041A"/>
    <w:rsid w:val="00582C57"/>
    <w:rsid w:val="0058619E"/>
    <w:rsid w:val="0058743D"/>
    <w:rsid w:val="00587BF7"/>
    <w:rsid w:val="0059477B"/>
    <w:rsid w:val="00596884"/>
    <w:rsid w:val="005A14B5"/>
    <w:rsid w:val="005A2FDA"/>
    <w:rsid w:val="005A458B"/>
    <w:rsid w:val="005A6628"/>
    <w:rsid w:val="005B5A98"/>
    <w:rsid w:val="005B5FF3"/>
    <w:rsid w:val="005C1A4F"/>
    <w:rsid w:val="005C27D7"/>
    <w:rsid w:val="005E1A3A"/>
    <w:rsid w:val="005E3FA7"/>
    <w:rsid w:val="005E6ADC"/>
    <w:rsid w:val="005E6D10"/>
    <w:rsid w:val="005E6D38"/>
    <w:rsid w:val="005E7B3F"/>
    <w:rsid w:val="005F040F"/>
    <w:rsid w:val="005F2C42"/>
    <w:rsid w:val="006050CF"/>
    <w:rsid w:val="00607A37"/>
    <w:rsid w:val="00614E27"/>
    <w:rsid w:val="006253AA"/>
    <w:rsid w:val="00626023"/>
    <w:rsid w:val="00633150"/>
    <w:rsid w:val="00635D8A"/>
    <w:rsid w:val="00637A50"/>
    <w:rsid w:val="00640FC5"/>
    <w:rsid w:val="00641D6D"/>
    <w:rsid w:val="006438F3"/>
    <w:rsid w:val="00647907"/>
    <w:rsid w:val="006518A5"/>
    <w:rsid w:val="00651A82"/>
    <w:rsid w:val="006525E9"/>
    <w:rsid w:val="0066061A"/>
    <w:rsid w:val="0066747B"/>
    <w:rsid w:val="006709C2"/>
    <w:rsid w:val="006725EC"/>
    <w:rsid w:val="00674ED0"/>
    <w:rsid w:val="00682650"/>
    <w:rsid w:val="00684851"/>
    <w:rsid w:val="006921C4"/>
    <w:rsid w:val="00695285"/>
    <w:rsid w:val="00697BBA"/>
    <w:rsid w:val="006A6BB4"/>
    <w:rsid w:val="006A7FB0"/>
    <w:rsid w:val="006C2A9A"/>
    <w:rsid w:val="006C423D"/>
    <w:rsid w:val="006C46EF"/>
    <w:rsid w:val="006C4C67"/>
    <w:rsid w:val="006D3DA0"/>
    <w:rsid w:val="006D41AB"/>
    <w:rsid w:val="006D4263"/>
    <w:rsid w:val="006D444F"/>
    <w:rsid w:val="006E50A9"/>
    <w:rsid w:val="006F1A15"/>
    <w:rsid w:val="006F3F8B"/>
    <w:rsid w:val="006F5340"/>
    <w:rsid w:val="00700488"/>
    <w:rsid w:val="00703404"/>
    <w:rsid w:val="00703F79"/>
    <w:rsid w:val="00703F92"/>
    <w:rsid w:val="00704637"/>
    <w:rsid w:val="007103E4"/>
    <w:rsid w:val="007105E4"/>
    <w:rsid w:val="00714EE5"/>
    <w:rsid w:val="00716463"/>
    <w:rsid w:val="00720270"/>
    <w:rsid w:val="00720CB1"/>
    <w:rsid w:val="00724362"/>
    <w:rsid w:val="00727780"/>
    <w:rsid w:val="0073792C"/>
    <w:rsid w:val="00744746"/>
    <w:rsid w:val="00754069"/>
    <w:rsid w:val="007566F1"/>
    <w:rsid w:val="00763508"/>
    <w:rsid w:val="00764E8D"/>
    <w:rsid w:val="007667DF"/>
    <w:rsid w:val="0077080B"/>
    <w:rsid w:val="00771B79"/>
    <w:rsid w:val="00775F73"/>
    <w:rsid w:val="00787070"/>
    <w:rsid w:val="007906FD"/>
    <w:rsid w:val="00797197"/>
    <w:rsid w:val="007972A7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74B4"/>
    <w:rsid w:val="007D3C17"/>
    <w:rsid w:val="007D3D0B"/>
    <w:rsid w:val="007E3412"/>
    <w:rsid w:val="007F393D"/>
    <w:rsid w:val="008013C2"/>
    <w:rsid w:val="008029AF"/>
    <w:rsid w:val="00802FFA"/>
    <w:rsid w:val="008102E5"/>
    <w:rsid w:val="0081111B"/>
    <w:rsid w:val="008111B4"/>
    <w:rsid w:val="00813135"/>
    <w:rsid w:val="008133F0"/>
    <w:rsid w:val="00815713"/>
    <w:rsid w:val="00815880"/>
    <w:rsid w:val="008209D7"/>
    <w:rsid w:val="0082322C"/>
    <w:rsid w:val="00823942"/>
    <w:rsid w:val="00827FFD"/>
    <w:rsid w:val="00850B49"/>
    <w:rsid w:val="00854535"/>
    <w:rsid w:val="00856EB3"/>
    <w:rsid w:val="00865CBA"/>
    <w:rsid w:val="00873E9F"/>
    <w:rsid w:val="00874047"/>
    <w:rsid w:val="008778CB"/>
    <w:rsid w:val="00881545"/>
    <w:rsid w:val="0088308E"/>
    <w:rsid w:val="00883A3E"/>
    <w:rsid w:val="0089148D"/>
    <w:rsid w:val="00891E0D"/>
    <w:rsid w:val="008A0F36"/>
    <w:rsid w:val="008A0F59"/>
    <w:rsid w:val="008A4261"/>
    <w:rsid w:val="008A4BCA"/>
    <w:rsid w:val="008B1B0D"/>
    <w:rsid w:val="008B2543"/>
    <w:rsid w:val="008B4B6E"/>
    <w:rsid w:val="008D10F3"/>
    <w:rsid w:val="008D7401"/>
    <w:rsid w:val="008E38B5"/>
    <w:rsid w:val="00903DF6"/>
    <w:rsid w:val="00921CF6"/>
    <w:rsid w:val="009246F0"/>
    <w:rsid w:val="00924EF0"/>
    <w:rsid w:val="00934D7B"/>
    <w:rsid w:val="00944547"/>
    <w:rsid w:val="00947180"/>
    <w:rsid w:val="009567BE"/>
    <w:rsid w:val="0096640F"/>
    <w:rsid w:val="009676FA"/>
    <w:rsid w:val="009679E0"/>
    <w:rsid w:val="00972900"/>
    <w:rsid w:val="00977632"/>
    <w:rsid w:val="00982A8E"/>
    <w:rsid w:val="009834DA"/>
    <w:rsid w:val="00987DB4"/>
    <w:rsid w:val="009929F8"/>
    <w:rsid w:val="00996204"/>
    <w:rsid w:val="009A26CB"/>
    <w:rsid w:val="009A27A9"/>
    <w:rsid w:val="009A2D37"/>
    <w:rsid w:val="009A7587"/>
    <w:rsid w:val="009B0A69"/>
    <w:rsid w:val="009B5B0B"/>
    <w:rsid w:val="009C2474"/>
    <w:rsid w:val="009C7082"/>
    <w:rsid w:val="009D0006"/>
    <w:rsid w:val="009D068C"/>
    <w:rsid w:val="009F3A2A"/>
    <w:rsid w:val="009F4991"/>
    <w:rsid w:val="009F731F"/>
    <w:rsid w:val="00A018FA"/>
    <w:rsid w:val="00A021FE"/>
    <w:rsid w:val="00A05A97"/>
    <w:rsid w:val="00A1270E"/>
    <w:rsid w:val="00A15342"/>
    <w:rsid w:val="00A3007E"/>
    <w:rsid w:val="00A32048"/>
    <w:rsid w:val="00A33533"/>
    <w:rsid w:val="00A346CA"/>
    <w:rsid w:val="00A41F06"/>
    <w:rsid w:val="00A430D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710"/>
    <w:rsid w:val="00AA3C15"/>
    <w:rsid w:val="00AA51AE"/>
    <w:rsid w:val="00AA6330"/>
    <w:rsid w:val="00AB32D5"/>
    <w:rsid w:val="00AC7501"/>
    <w:rsid w:val="00AD1039"/>
    <w:rsid w:val="00AD748B"/>
    <w:rsid w:val="00AE07C5"/>
    <w:rsid w:val="00AE4865"/>
    <w:rsid w:val="00AF50EE"/>
    <w:rsid w:val="00B0591D"/>
    <w:rsid w:val="00B12D75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52FF5"/>
    <w:rsid w:val="00B55B91"/>
    <w:rsid w:val="00B57219"/>
    <w:rsid w:val="00B658A3"/>
    <w:rsid w:val="00B65C2D"/>
    <w:rsid w:val="00B667C9"/>
    <w:rsid w:val="00B746A8"/>
    <w:rsid w:val="00B7664D"/>
    <w:rsid w:val="00B80989"/>
    <w:rsid w:val="00B819FE"/>
    <w:rsid w:val="00B847EA"/>
    <w:rsid w:val="00B9109B"/>
    <w:rsid w:val="00B927AE"/>
    <w:rsid w:val="00B93721"/>
    <w:rsid w:val="00B937B1"/>
    <w:rsid w:val="00B96F2F"/>
    <w:rsid w:val="00BA453C"/>
    <w:rsid w:val="00BA4E02"/>
    <w:rsid w:val="00BA63AE"/>
    <w:rsid w:val="00BB2A6D"/>
    <w:rsid w:val="00BB4189"/>
    <w:rsid w:val="00BC19F7"/>
    <w:rsid w:val="00BC1D37"/>
    <w:rsid w:val="00BC2A93"/>
    <w:rsid w:val="00BC41ED"/>
    <w:rsid w:val="00BC4824"/>
    <w:rsid w:val="00BD009E"/>
    <w:rsid w:val="00BD0EF8"/>
    <w:rsid w:val="00BD7A8C"/>
    <w:rsid w:val="00BE2126"/>
    <w:rsid w:val="00BE3B17"/>
    <w:rsid w:val="00BF51AB"/>
    <w:rsid w:val="00BF5B48"/>
    <w:rsid w:val="00BF716B"/>
    <w:rsid w:val="00BF7233"/>
    <w:rsid w:val="00C02AA2"/>
    <w:rsid w:val="00C04C95"/>
    <w:rsid w:val="00C06B8E"/>
    <w:rsid w:val="00C07A56"/>
    <w:rsid w:val="00C12613"/>
    <w:rsid w:val="00C16DEF"/>
    <w:rsid w:val="00C1716A"/>
    <w:rsid w:val="00C2492F"/>
    <w:rsid w:val="00C3744A"/>
    <w:rsid w:val="00C4002A"/>
    <w:rsid w:val="00C41D3A"/>
    <w:rsid w:val="00C46912"/>
    <w:rsid w:val="00C612A8"/>
    <w:rsid w:val="00C66A96"/>
    <w:rsid w:val="00C67631"/>
    <w:rsid w:val="00C729D7"/>
    <w:rsid w:val="00C82E71"/>
    <w:rsid w:val="00C83354"/>
    <w:rsid w:val="00C84004"/>
    <w:rsid w:val="00C843F6"/>
    <w:rsid w:val="00C84507"/>
    <w:rsid w:val="00C862C7"/>
    <w:rsid w:val="00CA3254"/>
    <w:rsid w:val="00CB11CE"/>
    <w:rsid w:val="00CB6330"/>
    <w:rsid w:val="00CC25A2"/>
    <w:rsid w:val="00CD7F07"/>
    <w:rsid w:val="00CE04F3"/>
    <w:rsid w:val="00CE12D8"/>
    <w:rsid w:val="00CE4574"/>
    <w:rsid w:val="00CE70E6"/>
    <w:rsid w:val="00CE725A"/>
    <w:rsid w:val="00CF2E1E"/>
    <w:rsid w:val="00D02E99"/>
    <w:rsid w:val="00D13357"/>
    <w:rsid w:val="00D13A13"/>
    <w:rsid w:val="00D2689A"/>
    <w:rsid w:val="00D524F2"/>
    <w:rsid w:val="00D64126"/>
    <w:rsid w:val="00D65506"/>
    <w:rsid w:val="00D6661D"/>
    <w:rsid w:val="00D71971"/>
    <w:rsid w:val="00D71DF4"/>
    <w:rsid w:val="00D73016"/>
    <w:rsid w:val="00D773CF"/>
    <w:rsid w:val="00D83563"/>
    <w:rsid w:val="00D8448F"/>
    <w:rsid w:val="00D973F2"/>
    <w:rsid w:val="00DA64B6"/>
    <w:rsid w:val="00DA6D7E"/>
    <w:rsid w:val="00DB4A30"/>
    <w:rsid w:val="00DB5C9D"/>
    <w:rsid w:val="00DD02E6"/>
    <w:rsid w:val="00DD2606"/>
    <w:rsid w:val="00DE4F08"/>
    <w:rsid w:val="00DF665B"/>
    <w:rsid w:val="00E0152A"/>
    <w:rsid w:val="00E03394"/>
    <w:rsid w:val="00E066E5"/>
    <w:rsid w:val="00E22F03"/>
    <w:rsid w:val="00E233C1"/>
    <w:rsid w:val="00E23979"/>
    <w:rsid w:val="00E335A2"/>
    <w:rsid w:val="00E51404"/>
    <w:rsid w:val="00E5483A"/>
    <w:rsid w:val="00E574C9"/>
    <w:rsid w:val="00E610DE"/>
    <w:rsid w:val="00E66167"/>
    <w:rsid w:val="00E71F2F"/>
    <w:rsid w:val="00E77786"/>
    <w:rsid w:val="00E806FB"/>
    <w:rsid w:val="00EA6558"/>
    <w:rsid w:val="00EB1C2D"/>
    <w:rsid w:val="00EC1810"/>
    <w:rsid w:val="00EC3FCC"/>
    <w:rsid w:val="00EC432B"/>
    <w:rsid w:val="00EC67C1"/>
    <w:rsid w:val="00ED1518"/>
    <w:rsid w:val="00ED32FF"/>
    <w:rsid w:val="00EE1715"/>
    <w:rsid w:val="00EE192A"/>
    <w:rsid w:val="00EE279B"/>
    <w:rsid w:val="00EF039B"/>
    <w:rsid w:val="00EF351D"/>
    <w:rsid w:val="00EF4933"/>
    <w:rsid w:val="00EF5044"/>
    <w:rsid w:val="00F01956"/>
    <w:rsid w:val="00F11092"/>
    <w:rsid w:val="00F116CE"/>
    <w:rsid w:val="00F176DE"/>
    <w:rsid w:val="00F21C47"/>
    <w:rsid w:val="00F244E2"/>
    <w:rsid w:val="00F25953"/>
    <w:rsid w:val="00F340DE"/>
    <w:rsid w:val="00F348FB"/>
    <w:rsid w:val="00F43542"/>
    <w:rsid w:val="00F527CB"/>
    <w:rsid w:val="00F55471"/>
    <w:rsid w:val="00F562AA"/>
    <w:rsid w:val="00F66348"/>
    <w:rsid w:val="00F7105A"/>
    <w:rsid w:val="00F74089"/>
    <w:rsid w:val="00F77676"/>
    <w:rsid w:val="00F8197C"/>
    <w:rsid w:val="00F82B4E"/>
    <w:rsid w:val="00F87559"/>
    <w:rsid w:val="00F92804"/>
    <w:rsid w:val="00F96D71"/>
    <w:rsid w:val="00F97C9E"/>
    <w:rsid w:val="00FA20DE"/>
    <w:rsid w:val="00FA3F57"/>
    <w:rsid w:val="00FA4EE8"/>
    <w:rsid w:val="00FB1228"/>
    <w:rsid w:val="00FB12CA"/>
    <w:rsid w:val="00FB36EC"/>
    <w:rsid w:val="00FB4E1B"/>
    <w:rsid w:val="00FB7036"/>
    <w:rsid w:val="00FC0291"/>
    <w:rsid w:val="00FC1C92"/>
    <w:rsid w:val="00FC6BFB"/>
    <w:rsid w:val="00FD333B"/>
    <w:rsid w:val="00FD689C"/>
    <w:rsid w:val="00FD705C"/>
    <w:rsid w:val="00FD777A"/>
    <w:rsid w:val="00FE062D"/>
    <w:rsid w:val="00FE260B"/>
    <w:rsid w:val="00FE692E"/>
    <w:rsid w:val="00FF31CA"/>
    <w:rsid w:val="00FF64B7"/>
    <w:rsid w:val="00FF6EB4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5F922"/>
  <w15:docId w15:val="{241DC81D-EF52-4FAB-8A9F-1FD52FED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45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55045"/>
    <w:pPr>
      <w:keepNext/>
      <w:numPr>
        <w:numId w:val="15"/>
      </w:numPr>
      <w:tabs>
        <w:tab w:val="num" w:pos="567"/>
      </w:tabs>
      <w:spacing w:after="120" w:line="240" w:lineRule="auto"/>
      <w:outlineLvl w:val="8"/>
    </w:pPr>
    <w:rPr>
      <w:rFonts w:ascii="Plantin" w:eastAsia="Times New Roman" w:hAnsi="Planti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5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C07A56"/>
    <w:rPr>
      <w:color w:val="808080"/>
    </w:rPr>
  </w:style>
  <w:style w:type="paragraph" w:styleId="Revision">
    <w:name w:val="Revision"/>
    <w:hidden/>
    <w:uiPriority w:val="99"/>
    <w:semiHidden/>
    <w:rsid w:val="005E3FA7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9Char">
    <w:name w:val="Heading 9 Char"/>
    <w:basedOn w:val="DefaultParagraphFont"/>
    <w:link w:val="Heading9"/>
    <w:rsid w:val="00055045"/>
    <w:rPr>
      <w:rFonts w:ascii="Plantin" w:eastAsia="Times New Roman" w:hAnsi="Planti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55045"/>
    <w:pPr>
      <w:spacing w:after="120" w:line="240" w:lineRule="auto"/>
      <w:ind w:left="270" w:hanging="270"/>
    </w:pPr>
    <w:rPr>
      <w:rFonts w:ascii="Plantin" w:eastAsia="Times New Roman" w:hAnsi="Planti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5045"/>
    <w:rPr>
      <w:rFonts w:ascii="Plantin" w:eastAsia="Times New Roman" w:hAnsi="Planti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55045"/>
    <w:pPr>
      <w:spacing w:after="60" w:line="240" w:lineRule="auto"/>
      <w:ind w:left="720"/>
    </w:pPr>
    <w:rPr>
      <w:rFonts w:ascii="Palatino Linotype" w:eastAsia="Times New Roman" w:hAnsi="Palatino Linotype" w:cs="Arial"/>
      <w:b/>
      <w:bCs/>
      <w:sz w:val="2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55045"/>
    <w:rPr>
      <w:rFonts w:ascii="Palatino Linotype" w:eastAsia="Times New Roman" w:hAnsi="Palatino Linotype" w:cs="Arial"/>
      <w:b/>
      <w:bCs/>
      <w:sz w:val="20"/>
      <w:szCs w:val="24"/>
    </w:rPr>
  </w:style>
  <w:style w:type="paragraph" w:styleId="BodyTextIndent3">
    <w:name w:val="Body Text Indent 3"/>
    <w:basedOn w:val="Normal"/>
    <w:link w:val="BodyTextIndent3Char"/>
    <w:rsid w:val="00055045"/>
    <w:pPr>
      <w:spacing w:after="120" w:line="240" w:lineRule="auto"/>
      <w:ind w:left="360" w:hanging="360"/>
    </w:pPr>
    <w:rPr>
      <w:rFonts w:ascii="Plantin" w:eastAsia="Times New Roman" w:hAnsi="Plantin" w:cs="Times New Roman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55045"/>
    <w:rPr>
      <w:rFonts w:ascii="Plantin" w:eastAsia="Times New Roman" w:hAnsi="Plantin" w:cs="Times New Roman"/>
      <w:sz w:val="20"/>
      <w:szCs w:val="20"/>
    </w:rPr>
  </w:style>
  <w:style w:type="paragraph" w:styleId="NoSpacing">
    <w:name w:val="No Spacing"/>
    <w:uiPriority w:val="1"/>
    <w:qFormat/>
    <w:rsid w:val="00D973F2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C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table" w:styleId="LightList">
    <w:name w:val="Light List"/>
    <w:basedOn w:val="TableNormal"/>
    <w:uiPriority w:val="61"/>
    <w:rsid w:val="00AA37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2C7B0-BD42-43EE-A01C-F8A6046FD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02EB6-41DD-457A-A802-B9A5EFAA6205}"/>
</file>

<file path=customXml/itemProps3.xml><?xml version="1.0" encoding="utf-8"?>
<ds:datastoreItem xmlns:ds="http://schemas.openxmlformats.org/officeDocument/2006/customXml" ds:itemID="{53914553-F637-40A7-BD74-37B4DDDB2C99}"/>
</file>

<file path=customXml/itemProps4.xml><?xml version="1.0" encoding="utf-8"?>
<ds:datastoreItem xmlns:ds="http://schemas.openxmlformats.org/officeDocument/2006/customXml" ds:itemID="{866C2D41-77F5-4E49-9CB7-D88B846B4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Bishop</dc:creator>
  <cp:lastModifiedBy>Benjamin Bishop</cp:lastModifiedBy>
  <cp:revision>2</cp:revision>
  <cp:lastPrinted>2018-10-15T07:25:00Z</cp:lastPrinted>
  <dcterms:created xsi:type="dcterms:W3CDTF">2021-02-25T09:06:00Z</dcterms:created>
  <dcterms:modified xsi:type="dcterms:W3CDTF">2021-02-25T09:06:00Z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