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DA44E" w14:textId="5A69A83B" w:rsidR="00FB4D9D" w:rsidRDefault="00FB4D9D">
      <w:pPr>
        <w:rPr>
          <w:rFonts w:ascii="Arial" w:hAnsi="Arial" w:cs="Arial"/>
          <w:b/>
          <w:sz w:val="20"/>
          <w:szCs w:val="20"/>
        </w:rPr>
      </w:pPr>
    </w:p>
    <w:p w14:paraId="568033C5" w14:textId="7EE47F89"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0F4EF565" w14:textId="0EBDA6B3" w:rsidR="009A2D37" w:rsidRPr="00373ACB" w:rsidRDefault="00AE7321" w:rsidP="0066061A">
      <w:pPr>
        <w:spacing w:after="120" w:line="240" w:lineRule="auto"/>
        <w:ind w:left="426" w:right="260"/>
        <w:rPr>
          <w:rFonts w:ascii="Arial" w:hAnsi="Arial" w:cs="Arial"/>
          <w:sz w:val="20"/>
          <w:szCs w:val="20"/>
        </w:rPr>
      </w:pPr>
      <w:bookmarkStart w:id="0" w:name="_GoBack"/>
      <w:bookmarkEnd w:id="0"/>
      <w:r>
        <w:rPr>
          <w:rFonts w:ascii="Arial" w:hAnsi="Arial" w:cs="Arial"/>
          <w:sz w:val="20"/>
          <w:szCs w:val="20"/>
        </w:rPr>
        <w:t xml:space="preserve">LAWS6510 (LW651): </w:t>
      </w:r>
      <w:r w:rsidR="00140673">
        <w:rPr>
          <w:rFonts w:ascii="Arial" w:hAnsi="Arial" w:cs="Arial"/>
          <w:sz w:val="20"/>
          <w:szCs w:val="20"/>
        </w:rPr>
        <w:t xml:space="preserve">The Law of </w:t>
      </w:r>
      <w:r w:rsidR="008467A4">
        <w:rPr>
          <w:rFonts w:ascii="Arial" w:hAnsi="Arial" w:cs="Arial"/>
          <w:sz w:val="20"/>
          <w:szCs w:val="20"/>
        </w:rPr>
        <w:t>Tort</w:t>
      </w:r>
      <w:r>
        <w:rPr>
          <w:rFonts w:ascii="Arial" w:hAnsi="Arial" w:cs="Arial"/>
          <w:sz w:val="20"/>
          <w:szCs w:val="20"/>
        </w:rPr>
        <w:t xml:space="preserve"> </w:t>
      </w:r>
    </w:p>
    <w:p w14:paraId="6328DB96" w14:textId="77777777" w:rsidR="00C07A56" w:rsidRPr="00373ACB" w:rsidRDefault="00C07A56" w:rsidP="0066061A">
      <w:pPr>
        <w:spacing w:after="120" w:line="240" w:lineRule="auto"/>
        <w:ind w:left="426" w:right="260"/>
        <w:jc w:val="both"/>
        <w:rPr>
          <w:rFonts w:ascii="Arial" w:hAnsi="Arial" w:cs="Arial"/>
          <w:sz w:val="20"/>
          <w:szCs w:val="20"/>
        </w:rPr>
      </w:pPr>
    </w:p>
    <w:p w14:paraId="317CF6AA"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220FA430"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4D1A8367" w14:textId="77777777" w:rsidR="00C07A56" w:rsidRPr="00373ACB" w:rsidRDefault="00C07A56" w:rsidP="0066061A">
      <w:pPr>
        <w:spacing w:after="120" w:line="240" w:lineRule="auto"/>
        <w:ind w:left="426" w:right="260"/>
        <w:rPr>
          <w:rFonts w:ascii="Arial" w:hAnsi="Arial" w:cs="Arial"/>
          <w:iCs/>
          <w:sz w:val="20"/>
          <w:szCs w:val="20"/>
        </w:rPr>
      </w:pPr>
    </w:p>
    <w:p w14:paraId="0D2FE894"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01FA274C" w14:textId="77777777" w:rsidR="009A2D37" w:rsidRPr="00373ACB" w:rsidRDefault="00140673" w:rsidP="0066061A">
      <w:pPr>
        <w:spacing w:after="120" w:line="240" w:lineRule="auto"/>
        <w:ind w:left="426" w:right="260"/>
        <w:rPr>
          <w:rFonts w:ascii="Arial" w:hAnsi="Arial" w:cs="Arial"/>
          <w:iCs/>
          <w:sz w:val="20"/>
          <w:szCs w:val="20"/>
        </w:rPr>
      </w:pPr>
      <w:r>
        <w:rPr>
          <w:rFonts w:ascii="Arial" w:hAnsi="Arial" w:cs="Arial"/>
          <w:iCs/>
          <w:sz w:val="20"/>
          <w:szCs w:val="20"/>
        </w:rPr>
        <w:t>Level 5</w:t>
      </w:r>
    </w:p>
    <w:p w14:paraId="74C2448E" w14:textId="77777777" w:rsidR="00C07A56" w:rsidRPr="00373ACB" w:rsidRDefault="00C07A56" w:rsidP="0066061A">
      <w:pPr>
        <w:spacing w:after="120" w:line="240" w:lineRule="auto"/>
        <w:ind w:left="426" w:right="260"/>
        <w:rPr>
          <w:rFonts w:ascii="Arial" w:hAnsi="Arial" w:cs="Arial"/>
          <w:iCs/>
          <w:sz w:val="20"/>
          <w:szCs w:val="20"/>
        </w:rPr>
      </w:pPr>
    </w:p>
    <w:p w14:paraId="5BCCF36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60A26B8A" w14:textId="2E4D64CC" w:rsidR="00BC1D37" w:rsidRPr="00373ACB" w:rsidRDefault="008467A4" w:rsidP="0066061A">
      <w:pPr>
        <w:spacing w:after="120" w:line="240" w:lineRule="auto"/>
        <w:ind w:left="426" w:right="260"/>
        <w:rPr>
          <w:rFonts w:ascii="Arial" w:hAnsi="Arial" w:cs="Arial"/>
          <w:sz w:val="20"/>
          <w:szCs w:val="20"/>
        </w:rPr>
      </w:pPr>
      <w:r>
        <w:rPr>
          <w:rFonts w:ascii="Arial" w:hAnsi="Arial" w:cs="Arial"/>
          <w:sz w:val="20"/>
          <w:szCs w:val="20"/>
        </w:rPr>
        <w:t>15</w:t>
      </w:r>
      <w:r w:rsidR="009F239E">
        <w:rPr>
          <w:rFonts w:ascii="Arial" w:hAnsi="Arial" w:cs="Arial"/>
          <w:sz w:val="20"/>
          <w:szCs w:val="20"/>
        </w:rPr>
        <w:t xml:space="preserve"> credits (7.</w:t>
      </w:r>
      <w:r w:rsidR="00140673">
        <w:rPr>
          <w:rFonts w:ascii="Arial" w:hAnsi="Arial" w:cs="Arial"/>
          <w:sz w:val="20"/>
          <w:szCs w:val="20"/>
        </w:rPr>
        <w:t>5</w:t>
      </w:r>
      <w:r w:rsidR="00BC1D37">
        <w:rPr>
          <w:rFonts w:ascii="Arial" w:hAnsi="Arial" w:cs="Arial"/>
          <w:sz w:val="20"/>
          <w:szCs w:val="20"/>
        </w:rPr>
        <w:t xml:space="preserve"> ECTS Credits)</w:t>
      </w:r>
    </w:p>
    <w:p w14:paraId="52048504" w14:textId="77777777" w:rsidR="00C07A56" w:rsidRPr="00373ACB" w:rsidRDefault="00C07A56" w:rsidP="005E3FA7">
      <w:pPr>
        <w:spacing w:after="120" w:line="240" w:lineRule="auto"/>
        <w:ind w:left="426" w:right="260"/>
        <w:rPr>
          <w:rFonts w:ascii="Arial" w:hAnsi="Arial" w:cs="Arial"/>
          <w:sz w:val="20"/>
          <w:szCs w:val="20"/>
        </w:rPr>
      </w:pPr>
    </w:p>
    <w:p w14:paraId="126FDC4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68621988" w14:textId="3A330D6D" w:rsidR="00BC1D37" w:rsidRPr="00380EAE" w:rsidRDefault="008467A4" w:rsidP="0066061A">
      <w:pPr>
        <w:spacing w:line="240" w:lineRule="auto"/>
        <w:ind w:left="426"/>
        <w:rPr>
          <w:rFonts w:ascii="Arial" w:hAnsi="Arial" w:cs="Arial"/>
          <w:sz w:val="20"/>
          <w:szCs w:val="20"/>
        </w:rPr>
      </w:pPr>
      <w:r>
        <w:rPr>
          <w:rFonts w:ascii="Arial" w:hAnsi="Arial" w:cs="Arial"/>
          <w:sz w:val="20"/>
          <w:szCs w:val="20"/>
        </w:rPr>
        <w:t>Autumn or</w:t>
      </w:r>
      <w:r w:rsidR="00140673">
        <w:rPr>
          <w:rFonts w:ascii="Arial" w:hAnsi="Arial" w:cs="Arial"/>
          <w:sz w:val="20"/>
          <w:szCs w:val="20"/>
        </w:rPr>
        <w:t xml:space="preserve"> Spring</w:t>
      </w:r>
    </w:p>
    <w:p w14:paraId="167A67C7" w14:textId="77777777" w:rsidR="00C07A56" w:rsidRPr="00373ACB" w:rsidRDefault="00C07A56" w:rsidP="005E3FA7">
      <w:pPr>
        <w:spacing w:line="240" w:lineRule="auto"/>
        <w:ind w:left="426"/>
        <w:rPr>
          <w:rFonts w:ascii="Arial" w:hAnsi="Arial" w:cs="Arial"/>
          <w:b/>
          <w:sz w:val="20"/>
          <w:szCs w:val="20"/>
        </w:rPr>
      </w:pPr>
    </w:p>
    <w:p w14:paraId="70EBE9F3"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527190BA" w14:textId="7210AD81" w:rsidR="00E23ADD" w:rsidRDefault="00140673" w:rsidP="0066061A">
      <w:pPr>
        <w:spacing w:after="120" w:line="240" w:lineRule="auto"/>
        <w:ind w:left="426" w:right="260"/>
        <w:rPr>
          <w:rFonts w:ascii="Arial" w:hAnsi="Arial" w:cs="Arial"/>
          <w:iCs/>
          <w:sz w:val="20"/>
          <w:szCs w:val="20"/>
        </w:rPr>
      </w:pPr>
      <w:r>
        <w:rPr>
          <w:rFonts w:ascii="Arial" w:hAnsi="Arial" w:cs="Arial"/>
          <w:iCs/>
          <w:sz w:val="20"/>
          <w:szCs w:val="20"/>
        </w:rPr>
        <w:t>Prerequisite L</w:t>
      </w:r>
      <w:r w:rsidR="00DB3180">
        <w:rPr>
          <w:rFonts w:ascii="Arial" w:hAnsi="Arial" w:cs="Arial"/>
          <w:iCs/>
          <w:sz w:val="20"/>
          <w:szCs w:val="20"/>
        </w:rPr>
        <w:t>A</w:t>
      </w:r>
      <w:r>
        <w:rPr>
          <w:rFonts w:ascii="Arial" w:hAnsi="Arial" w:cs="Arial"/>
          <w:iCs/>
          <w:sz w:val="20"/>
          <w:szCs w:val="20"/>
        </w:rPr>
        <w:t>W</w:t>
      </w:r>
      <w:r w:rsidR="00DB3180">
        <w:rPr>
          <w:rFonts w:ascii="Arial" w:hAnsi="Arial" w:cs="Arial"/>
          <w:iCs/>
          <w:sz w:val="20"/>
          <w:szCs w:val="20"/>
        </w:rPr>
        <w:t>S</w:t>
      </w:r>
      <w:r>
        <w:rPr>
          <w:rFonts w:ascii="Arial" w:hAnsi="Arial" w:cs="Arial"/>
          <w:iCs/>
          <w:sz w:val="20"/>
          <w:szCs w:val="20"/>
        </w:rPr>
        <w:t>315</w:t>
      </w:r>
      <w:r w:rsidR="00DB3180">
        <w:rPr>
          <w:rFonts w:ascii="Arial" w:hAnsi="Arial" w:cs="Arial"/>
          <w:iCs/>
          <w:sz w:val="20"/>
          <w:szCs w:val="20"/>
        </w:rPr>
        <w:t>0</w:t>
      </w:r>
      <w:r>
        <w:rPr>
          <w:rFonts w:ascii="Arial" w:hAnsi="Arial" w:cs="Arial"/>
          <w:iCs/>
          <w:sz w:val="20"/>
          <w:szCs w:val="20"/>
        </w:rPr>
        <w:t xml:space="preserve"> Introduction to Obligations</w:t>
      </w:r>
    </w:p>
    <w:p w14:paraId="257AF302" w14:textId="2068CF4F" w:rsidR="005E3FA7" w:rsidRDefault="00E23ADD" w:rsidP="0066061A">
      <w:pPr>
        <w:spacing w:after="120" w:line="240" w:lineRule="auto"/>
        <w:ind w:left="426" w:right="260"/>
        <w:rPr>
          <w:rFonts w:ascii="Arial" w:hAnsi="Arial" w:cs="Arial"/>
          <w:iCs/>
          <w:sz w:val="20"/>
          <w:szCs w:val="20"/>
        </w:rPr>
      </w:pPr>
      <w:r>
        <w:rPr>
          <w:rFonts w:ascii="Arial" w:hAnsi="Arial" w:cs="Arial"/>
          <w:iCs/>
          <w:sz w:val="20"/>
          <w:szCs w:val="20"/>
        </w:rPr>
        <w:t>C</w:t>
      </w:r>
      <w:r w:rsidR="00563E20">
        <w:rPr>
          <w:rFonts w:ascii="Arial" w:hAnsi="Arial" w:cs="Arial"/>
          <w:iCs/>
          <w:sz w:val="20"/>
          <w:szCs w:val="20"/>
        </w:rPr>
        <w:t>o-requisite L</w:t>
      </w:r>
      <w:r w:rsidR="00DB3180">
        <w:rPr>
          <w:rFonts w:ascii="Arial" w:hAnsi="Arial" w:cs="Arial"/>
          <w:iCs/>
          <w:sz w:val="20"/>
          <w:szCs w:val="20"/>
        </w:rPr>
        <w:t>A</w:t>
      </w:r>
      <w:r w:rsidR="00563E20">
        <w:rPr>
          <w:rFonts w:ascii="Arial" w:hAnsi="Arial" w:cs="Arial"/>
          <w:iCs/>
          <w:sz w:val="20"/>
          <w:szCs w:val="20"/>
        </w:rPr>
        <w:t>W</w:t>
      </w:r>
      <w:r w:rsidR="00DB3180">
        <w:rPr>
          <w:rFonts w:ascii="Arial" w:hAnsi="Arial" w:cs="Arial"/>
          <w:iCs/>
          <w:sz w:val="20"/>
          <w:szCs w:val="20"/>
        </w:rPr>
        <w:t>S</w:t>
      </w:r>
      <w:r>
        <w:rPr>
          <w:rFonts w:ascii="Arial" w:hAnsi="Arial" w:cs="Arial"/>
          <w:iCs/>
          <w:sz w:val="20"/>
          <w:szCs w:val="20"/>
        </w:rPr>
        <w:t>650</w:t>
      </w:r>
      <w:r w:rsidR="00DB3180">
        <w:rPr>
          <w:rFonts w:ascii="Arial" w:hAnsi="Arial" w:cs="Arial"/>
          <w:iCs/>
          <w:sz w:val="20"/>
          <w:szCs w:val="20"/>
        </w:rPr>
        <w:t>0</w:t>
      </w:r>
      <w:r>
        <w:rPr>
          <w:rFonts w:ascii="Arial" w:hAnsi="Arial" w:cs="Arial"/>
          <w:iCs/>
          <w:sz w:val="20"/>
          <w:szCs w:val="20"/>
        </w:rPr>
        <w:t xml:space="preserve"> Law of Contract</w:t>
      </w:r>
    </w:p>
    <w:p w14:paraId="78C96492" w14:textId="77777777" w:rsidR="005E3FA7" w:rsidRPr="005E3FA7" w:rsidRDefault="005E3FA7" w:rsidP="005E3FA7">
      <w:pPr>
        <w:spacing w:after="120" w:line="240" w:lineRule="auto"/>
        <w:ind w:left="426" w:right="260"/>
        <w:rPr>
          <w:rFonts w:ascii="Arial" w:hAnsi="Arial" w:cs="Arial"/>
          <w:b/>
          <w:sz w:val="20"/>
          <w:szCs w:val="20"/>
        </w:rPr>
      </w:pPr>
    </w:p>
    <w:p w14:paraId="612434DD"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450CFDFE" w14:textId="77777777" w:rsidR="009A2D37" w:rsidRPr="00140673" w:rsidRDefault="00140673" w:rsidP="00140673">
      <w:pPr>
        <w:spacing w:after="120" w:line="240" w:lineRule="auto"/>
        <w:ind w:left="426" w:right="260"/>
        <w:rPr>
          <w:rFonts w:ascii="Arial" w:hAnsi="Arial" w:cs="Arial"/>
          <w:iCs/>
          <w:sz w:val="20"/>
          <w:szCs w:val="20"/>
        </w:rPr>
      </w:pPr>
      <w:r w:rsidRPr="00140673">
        <w:rPr>
          <w:rFonts w:ascii="Arial" w:hAnsi="Arial" w:cs="Arial"/>
          <w:iCs/>
          <w:sz w:val="20"/>
          <w:szCs w:val="20"/>
        </w:rPr>
        <w:t>All single and joint hono</w:t>
      </w:r>
      <w:r>
        <w:rPr>
          <w:rFonts w:ascii="Arial" w:hAnsi="Arial" w:cs="Arial"/>
          <w:iCs/>
          <w:sz w:val="20"/>
          <w:szCs w:val="20"/>
        </w:rPr>
        <w:t>u</w:t>
      </w:r>
      <w:r w:rsidRPr="00140673">
        <w:rPr>
          <w:rFonts w:ascii="Arial" w:hAnsi="Arial" w:cs="Arial"/>
          <w:iCs/>
          <w:sz w:val="20"/>
          <w:szCs w:val="20"/>
        </w:rPr>
        <w:t>rs Law programmes</w:t>
      </w:r>
    </w:p>
    <w:p w14:paraId="1E78CED8" w14:textId="77777777" w:rsidR="00C07A56" w:rsidRPr="00373ACB" w:rsidRDefault="00C07A56" w:rsidP="0066061A">
      <w:pPr>
        <w:spacing w:after="120" w:line="240" w:lineRule="auto"/>
        <w:ind w:left="426" w:right="260"/>
        <w:rPr>
          <w:rFonts w:ascii="Arial" w:hAnsi="Arial" w:cs="Arial"/>
          <w:iCs/>
          <w:sz w:val="20"/>
          <w:szCs w:val="20"/>
        </w:rPr>
      </w:pPr>
    </w:p>
    <w:p w14:paraId="1BA3F895" w14:textId="1E4B2D1F"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 xml:space="preserve">On successfully completing the module students will </w:t>
      </w:r>
      <w:r w:rsidR="00317FA0">
        <w:rPr>
          <w:rFonts w:ascii="Arial" w:hAnsi="Arial" w:cs="Arial"/>
          <w:b/>
          <w:sz w:val="20"/>
          <w:szCs w:val="20"/>
        </w:rPr>
        <w:t>be able to</w:t>
      </w:r>
      <w:r w:rsidR="00C729D7" w:rsidRPr="00373ACB">
        <w:rPr>
          <w:rFonts w:ascii="Arial" w:hAnsi="Arial" w:cs="Arial"/>
          <w:b/>
          <w:sz w:val="20"/>
          <w:szCs w:val="20"/>
        </w:rPr>
        <w:t>:</w:t>
      </w:r>
    </w:p>
    <w:p w14:paraId="7C8423DF" w14:textId="77777777" w:rsidR="00380EAE" w:rsidRPr="00373ACB" w:rsidRDefault="00380EAE" w:rsidP="0066061A">
      <w:pPr>
        <w:spacing w:after="120" w:line="240" w:lineRule="auto"/>
        <w:ind w:left="426" w:right="260"/>
        <w:rPr>
          <w:rFonts w:ascii="Arial" w:hAnsi="Arial" w:cs="Arial"/>
          <w:b/>
          <w:sz w:val="20"/>
          <w:szCs w:val="20"/>
        </w:rPr>
      </w:pPr>
    </w:p>
    <w:p w14:paraId="3717B4D0" w14:textId="35B12696" w:rsidR="00AB01CA" w:rsidRPr="00140673" w:rsidRDefault="00317FA0" w:rsidP="00317FA0">
      <w:pPr>
        <w:pStyle w:val="ListParagraph"/>
        <w:numPr>
          <w:ilvl w:val="1"/>
          <w:numId w:val="1"/>
        </w:numPr>
        <w:spacing w:after="120" w:line="240" w:lineRule="auto"/>
        <w:ind w:left="851" w:right="260" w:hanging="425"/>
      </w:pPr>
      <w:r>
        <w:rPr>
          <w:rFonts w:ascii="Arial" w:hAnsi="Arial" w:cs="Arial"/>
          <w:sz w:val="20"/>
          <w:szCs w:val="20"/>
        </w:rPr>
        <w:t>D</w:t>
      </w:r>
      <w:r w:rsidRPr="008467A4">
        <w:rPr>
          <w:rFonts w:ascii="Arial" w:hAnsi="Arial" w:cs="Arial"/>
          <w:sz w:val="20"/>
          <w:szCs w:val="20"/>
        </w:rPr>
        <w:t>e</w:t>
      </w:r>
      <w:r>
        <w:rPr>
          <w:rFonts w:ascii="Arial" w:hAnsi="Arial" w:cs="Arial"/>
          <w:sz w:val="20"/>
          <w:szCs w:val="20"/>
        </w:rPr>
        <w:t>monstrate</w:t>
      </w:r>
      <w:r w:rsidRPr="00140673">
        <w:rPr>
          <w:rFonts w:ascii="Arial" w:hAnsi="Arial" w:cs="Arial"/>
          <w:sz w:val="20"/>
          <w:szCs w:val="20"/>
        </w:rPr>
        <w:t xml:space="preserve"> </w:t>
      </w:r>
      <w:r w:rsidR="00140673" w:rsidRPr="00140673">
        <w:rPr>
          <w:rFonts w:ascii="Arial" w:hAnsi="Arial" w:cs="Arial"/>
          <w:sz w:val="20"/>
          <w:szCs w:val="20"/>
        </w:rPr>
        <w:t>a</w:t>
      </w:r>
      <w:r w:rsidR="007E2A9A">
        <w:rPr>
          <w:rFonts w:ascii="Arial" w:hAnsi="Arial" w:cs="Arial"/>
          <w:sz w:val="20"/>
          <w:szCs w:val="20"/>
        </w:rPr>
        <w:t xml:space="preserve"> deep </w:t>
      </w:r>
      <w:r w:rsidR="00140673" w:rsidRPr="00140673">
        <w:rPr>
          <w:rFonts w:ascii="Arial" w:hAnsi="Arial" w:cs="Arial"/>
          <w:sz w:val="20"/>
          <w:szCs w:val="20"/>
        </w:rPr>
        <w:t>understanding of the nature of private law</w:t>
      </w:r>
      <w:r w:rsidR="007E2A9A">
        <w:rPr>
          <w:rFonts w:ascii="Arial" w:hAnsi="Arial" w:cs="Arial"/>
          <w:sz w:val="20"/>
          <w:szCs w:val="20"/>
        </w:rPr>
        <w:t xml:space="preserve"> and</w:t>
      </w:r>
      <w:r w:rsidR="00140673" w:rsidRPr="00140673">
        <w:rPr>
          <w:rFonts w:ascii="Arial" w:hAnsi="Arial" w:cs="Arial"/>
          <w:sz w:val="20"/>
          <w:szCs w:val="20"/>
        </w:rPr>
        <w:t xml:space="preserve"> its </w:t>
      </w:r>
      <w:r w:rsidR="00CB1E18">
        <w:rPr>
          <w:rFonts w:ascii="Arial" w:hAnsi="Arial" w:cs="Arial"/>
          <w:sz w:val="20"/>
          <w:szCs w:val="20"/>
        </w:rPr>
        <w:t xml:space="preserve">major </w:t>
      </w:r>
      <w:r w:rsidR="00140673" w:rsidRPr="00140673">
        <w:rPr>
          <w:rFonts w:ascii="Arial" w:hAnsi="Arial" w:cs="Arial"/>
          <w:sz w:val="20"/>
          <w:szCs w:val="20"/>
        </w:rPr>
        <w:t>sub-divisions</w:t>
      </w:r>
      <w:r w:rsidR="00B4189F">
        <w:rPr>
          <w:rFonts w:ascii="Arial" w:hAnsi="Arial" w:cs="Arial"/>
          <w:sz w:val="20"/>
          <w:szCs w:val="20"/>
        </w:rPr>
        <w:t>.</w:t>
      </w:r>
    </w:p>
    <w:p w14:paraId="4E39606A" w14:textId="3A7C2775" w:rsidR="00140673" w:rsidRPr="00140673" w:rsidRDefault="00140673" w:rsidP="00140673">
      <w:pPr>
        <w:pStyle w:val="ListParagraph"/>
        <w:numPr>
          <w:ilvl w:val="1"/>
          <w:numId w:val="1"/>
        </w:numPr>
        <w:spacing w:after="120" w:line="240" w:lineRule="auto"/>
        <w:ind w:left="851" w:right="260" w:hanging="425"/>
        <w:rPr>
          <w:rFonts w:ascii="Arial" w:hAnsi="Arial" w:cs="Arial"/>
          <w:sz w:val="20"/>
          <w:szCs w:val="20"/>
        </w:rPr>
      </w:pPr>
      <w:r w:rsidRPr="00140673">
        <w:rPr>
          <w:rFonts w:ascii="Arial" w:hAnsi="Arial" w:cs="Arial"/>
          <w:sz w:val="20"/>
          <w:szCs w:val="20"/>
        </w:rPr>
        <w:t xml:space="preserve">Demonstrate a </w:t>
      </w:r>
      <w:r w:rsidRPr="003927F2">
        <w:rPr>
          <w:rFonts w:ascii="Arial" w:hAnsi="Arial" w:cs="Arial"/>
          <w:sz w:val="20"/>
          <w:szCs w:val="20"/>
        </w:rPr>
        <w:t>clear</w:t>
      </w:r>
      <w:r w:rsidRPr="00140673">
        <w:rPr>
          <w:rFonts w:ascii="Arial" w:hAnsi="Arial" w:cs="Arial"/>
          <w:sz w:val="20"/>
          <w:szCs w:val="20"/>
        </w:rPr>
        <w:t xml:space="preserve"> understanding of the </w:t>
      </w:r>
      <w:r w:rsidR="007E2A9A" w:rsidRPr="00140673">
        <w:rPr>
          <w:rFonts w:ascii="Arial" w:hAnsi="Arial" w:cs="Arial"/>
          <w:sz w:val="20"/>
          <w:szCs w:val="20"/>
        </w:rPr>
        <w:t>principles and rules</w:t>
      </w:r>
      <w:r w:rsidR="007E2A9A">
        <w:rPr>
          <w:rFonts w:ascii="Arial" w:hAnsi="Arial" w:cs="Arial"/>
          <w:sz w:val="20"/>
          <w:szCs w:val="20"/>
        </w:rPr>
        <w:t xml:space="preserve"> governing the </w:t>
      </w:r>
      <w:r w:rsidRPr="00140673">
        <w:rPr>
          <w:rFonts w:ascii="Arial" w:hAnsi="Arial" w:cs="Arial"/>
          <w:sz w:val="20"/>
          <w:szCs w:val="20"/>
        </w:rPr>
        <w:t xml:space="preserve">main types of </w:t>
      </w:r>
      <w:r w:rsidR="007E2A9A">
        <w:rPr>
          <w:rFonts w:ascii="Arial" w:hAnsi="Arial" w:cs="Arial"/>
          <w:sz w:val="20"/>
          <w:szCs w:val="20"/>
        </w:rPr>
        <w:t>tortious</w:t>
      </w:r>
      <w:r w:rsidR="007E2A9A" w:rsidRPr="00140673">
        <w:rPr>
          <w:rFonts w:ascii="Arial" w:hAnsi="Arial" w:cs="Arial"/>
          <w:sz w:val="20"/>
          <w:szCs w:val="20"/>
        </w:rPr>
        <w:t xml:space="preserve"> </w:t>
      </w:r>
      <w:r w:rsidR="00317FA0">
        <w:rPr>
          <w:rFonts w:ascii="Arial" w:hAnsi="Arial" w:cs="Arial"/>
          <w:sz w:val="20"/>
          <w:szCs w:val="20"/>
        </w:rPr>
        <w:t>obligation</w:t>
      </w:r>
      <w:r w:rsidRPr="00140673">
        <w:rPr>
          <w:rFonts w:ascii="Arial" w:hAnsi="Arial" w:cs="Arial"/>
          <w:sz w:val="20"/>
          <w:szCs w:val="20"/>
        </w:rPr>
        <w:t xml:space="preserve">. </w:t>
      </w:r>
    </w:p>
    <w:p w14:paraId="223B6DE9" w14:textId="6942065F" w:rsidR="00F13955" w:rsidRDefault="00F13955" w:rsidP="00F13955">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U</w:t>
      </w:r>
      <w:r w:rsidR="00140673" w:rsidRPr="00140673">
        <w:rPr>
          <w:rFonts w:ascii="Arial" w:hAnsi="Arial" w:cs="Arial"/>
          <w:sz w:val="20"/>
          <w:szCs w:val="20"/>
        </w:rPr>
        <w:t xml:space="preserve">se the knowledge of the law and its context, to engage with </w:t>
      </w:r>
      <w:r w:rsidR="000C6BCE">
        <w:rPr>
          <w:rFonts w:ascii="Arial" w:hAnsi="Arial" w:cs="Arial"/>
          <w:sz w:val="20"/>
          <w:szCs w:val="20"/>
        </w:rPr>
        <w:t xml:space="preserve">broader </w:t>
      </w:r>
      <w:r w:rsidR="00140673" w:rsidRPr="00140673">
        <w:rPr>
          <w:rFonts w:ascii="Arial" w:hAnsi="Arial" w:cs="Arial"/>
          <w:sz w:val="20"/>
          <w:szCs w:val="20"/>
        </w:rPr>
        <w:t>questions of pol</w:t>
      </w:r>
      <w:r w:rsidR="00140673">
        <w:rPr>
          <w:rFonts w:ascii="Arial" w:hAnsi="Arial" w:cs="Arial"/>
          <w:sz w:val="20"/>
          <w:szCs w:val="20"/>
        </w:rPr>
        <w:t>icy, regulation and change</w:t>
      </w:r>
      <w:r w:rsidR="006D1F38">
        <w:rPr>
          <w:rFonts w:ascii="Arial" w:hAnsi="Arial" w:cs="Arial"/>
          <w:sz w:val="20"/>
          <w:szCs w:val="20"/>
        </w:rPr>
        <w:t>.</w:t>
      </w:r>
      <w:r w:rsidR="00140673" w:rsidRPr="00140673">
        <w:rPr>
          <w:rFonts w:ascii="Arial" w:hAnsi="Arial" w:cs="Arial"/>
          <w:sz w:val="20"/>
          <w:szCs w:val="20"/>
        </w:rPr>
        <w:t xml:space="preserve"> </w:t>
      </w:r>
    </w:p>
    <w:p w14:paraId="2B168AE0" w14:textId="7F847970" w:rsidR="00F13955" w:rsidRPr="00140673" w:rsidRDefault="00F13955" w:rsidP="00F13955">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 xml:space="preserve">Demonstrate </w:t>
      </w:r>
      <w:r w:rsidR="00A0522A">
        <w:rPr>
          <w:rFonts w:ascii="Arial" w:hAnsi="Arial" w:cs="Arial"/>
          <w:sz w:val="20"/>
          <w:szCs w:val="20"/>
        </w:rPr>
        <w:t>w</w:t>
      </w:r>
      <w:r w:rsidRPr="00140673">
        <w:rPr>
          <w:rFonts w:ascii="Arial" w:hAnsi="Arial" w:cs="Arial"/>
          <w:sz w:val="20"/>
          <w:szCs w:val="20"/>
        </w:rPr>
        <w:t>ell-developed case reading skills</w:t>
      </w:r>
      <w:r w:rsidR="000C6BCE">
        <w:rPr>
          <w:rFonts w:ascii="Arial" w:hAnsi="Arial" w:cs="Arial"/>
          <w:sz w:val="20"/>
          <w:szCs w:val="20"/>
        </w:rPr>
        <w:t>. This will</w:t>
      </w:r>
      <w:r w:rsidRPr="00140673">
        <w:rPr>
          <w:rFonts w:ascii="Arial" w:hAnsi="Arial" w:cs="Arial"/>
          <w:sz w:val="20"/>
          <w:szCs w:val="20"/>
        </w:rPr>
        <w:t xml:space="preserve"> inclu</w:t>
      </w:r>
      <w:r w:rsidR="000C6BCE">
        <w:rPr>
          <w:rFonts w:ascii="Arial" w:hAnsi="Arial" w:cs="Arial"/>
          <w:sz w:val="20"/>
          <w:szCs w:val="20"/>
        </w:rPr>
        <w:t>de</w:t>
      </w:r>
      <w:r w:rsidRPr="00140673">
        <w:rPr>
          <w:rFonts w:ascii="Arial" w:hAnsi="Arial" w:cs="Arial"/>
          <w:sz w:val="20"/>
          <w:szCs w:val="20"/>
        </w:rPr>
        <w:t xml:space="preserve"> </w:t>
      </w:r>
      <w:r w:rsidR="000C6BCE">
        <w:rPr>
          <w:rFonts w:ascii="Arial" w:hAnsi="Arial" w:cs="Arial"/>
          <w:sz w:val="20"/>
          <w:szCs w:val="20"/>
        </w:rPr>
        <w:t>the</w:t>
      </w:r>
      <w:r w:rsidRPr="00140673">
        <w:rPr>
          <w:rFonts w:ascii="Arial" w:hAnsi="Arial" w:cs="Arial"/>
          <w:sz w:val="20"/>
          <w:szCs w:val="20"/>
        </w:rPr>
        <w:t xml:space="preserve"> ability to understand and critique the </w:t>
      </w:r>
      <w:r w:rsidR="000C6BCE">
        <w:rPr>
          <w:rFonts w:ascii="Arial" w:hAnsi="Arial" w:cs="Arial"/>
          <w:sz w:val="20"/>
          <w:szCs w:val="20"/>
        </w:rPr>
        <w:t>legal</w:t>
      </w:r>
      <w:r w:rsidR="007E2A9A">
        <w:rPr>
          <w:rFonts w:ascii="Arial" w:hAnsi="Arial" w:cs="Arial"/>
          <w:sz w:val="20"/>
          <w:szCs w:val="20"/>
        </w:rPr>
        <w:t xml:space="preserve"> and policy </w:t>
      </w:r>
      <w:r w:rsidRPr="00140673">
        <w:rPr>
          <w:rFonts w:ascii="Arial" w:hAnsi="Arial" w:cs="Arial"/>
          <w:sz w:val="20"/>
          <w:szCs w:val="20"/>
        </w:rPr>
        <w:t>arguments which may drive the outcome of a case</w:t>
      </w:r>
      <w:r w:rsidR="007E2A9A">
        <w:rPr>
          <w:rFonts w:ascii="Arial" w:hAnsi="Arial" w:cs="Arial"/>
          <w:sz w:val="20"/>
          <w:szCs w:val="20"/>
        </w:rPr>
        <w:t>.</w:t>
      </w:r>
    </w:p>
    <w:p w14:paraId="1ADA71DE" w14:textId="59E0BF44" w:rsidR="00F13955" w:rsidRPr="00140673" w:rsidRDefault="00F13955" w:rsidP="00F13955">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U</w:t>
      </w:r>
      <w:r w:rsidRPr="00140673">
        <w:rPr>
          <w:rFonts w:ascii="Arial" w:hAnsi="Arial" w:cs="Arial"/>
          <w:sz w:val="20"/>
          <w:szCs w:val="20"/>
        </w:rPr>
        <w:t>se cases, including judicial quotation</w:t>
      </w:r>
      <w:r w:rsidR="000C6BCE">
        <w:rPr>
          <w:rFonts w:ascii="Arial" w:hAnsi="Arial" w:cs="Arial"/>
          <w:sz w:val="20"/>
          <w:szCs w:val="20"/>
        </w:rPr>
        <w:t>s</w:t>
      </w:r>
      <w:r w:rsidR="007E2A9A">
        <w:rPr>
          <w:rFonts w:ascii="Arial" w:hAnsi="Arial" w:cs="Arial"/>
          <w:sz w:val="20"/>
          <w:szCs w:val="20"/>
        </w:rPr>
        <w:t>,</w:t>
      </w:r>
      <w:r w:rsidRPr="00140673">
        <w:rPr>
          <w:rFonts w:ascii="Arial" w:hAnsi="Arial" w:cs="Arial"/>
          <w:sz w:val="20"/>
          <w:szCs w:val="20"/>
        </w:rPr>
        <w:t xml:space="preserve"> to</w:t>
      </w:r>
      <w:r w:rsidR="007E2A9A">
        <w:rPr>
          <w:rFonts w:ascii="Arial" w:hAnsi="Arial" w:cs="Arial"/>
          <w:sz w:val="20"/>
          <w:szCs w:val="20"/>
        </w:rPr>
        <w:t xml:space="preserve"> </w:t>
      </w:r>
      <w:r w:rsidRPr="00140673">
        <w:rPr>
          <w:rFonts w:ascii="Arial" w:hAnsi="Arial" w:cs="Arial"/>
          <w:sz w:val="20"/>
          <w:szCs w:val="20"/>
        </w:rPr>
        <w:t>support or negate an argument</w:t>
      </w:r>
      <w:r w:rsidR="00AF3C1C">
        <w:rPr>
          <w:rFonts w:ascii="Arial" w:hAnsi="Arial" w:cs="Arial"/>
          <w:sz w:val="20"/>
          <w:szCs w:val="20"/>
        </w:rPr>
        <w:t>.</w:t>
      </w:r>
      <w:r w:rsidRPr="00140673">
        <w:rPr>
          <w:rFonts w:ascii="Arial" w:hAnsi="Arial" w:cs="Arial"/>
          <w:sz w:val="20"/>
          <w:szCs w:val="20"/>
        </w:rPr>
        <w:t xml:space="preserve"> </w:t>
      </w:r>
    </w:p>
    <w:p w14:paraId="494F17DB" w14:textId="0F49409C" w:rsidR="00F13955" w:rsidRPr="00140673" w:rsidRDefault="006D6F6D" w:rsidP="00F13955">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 xml:space="preserve">Demonstrate </w:t>
      </w:r>
      <w:r w:rsidR="00AB01CA">
        <w:rPr>
          <w:rFonts w:ascii="Arial" w:hAnsi="Arial" w:cs="Arial"/>
          <w:sz w:val="20"/>
          <w:szCs w:val="20"/>
        </w:rPr>
        <w:t>a clear</w:t>
      </w:r>
      <w:r w:rsidR="00AB01CA" w:rsidRPr="00140673">
        <w:rPr>
          <w:rFonts w:ascii="Arial" w:hAnsi="Arial" w:cs="Arial"/>
          <w:sz w:val="20"/>
          <w:szCs w:val="20"/>
        </w:rPr>
        <w:t xml:space="preserve"> </w:t>
      </w:r>
      <w:r w:rsidR="00F13955" w:rsidRPr="00140673">
        <w:rPr>
          <w:rFonts w:ascii="Arial" w:hAnsi="Arial" w:cs="Arial"/>
          <w:sz w:val="20"/>
          <w:szCs w:val="20"/>
        </w:rPr>
        <w:t>understanding of the</w:t>
      </w:r>
      <w:r w:rsidR="00AB01CA">
        <w:rPr>
          <w:rFonts w:ascii="Arial" w:hAnsi="Arial" w:cs="Arial"/>
          <w:sz w:val="20"/>
          <w:szCs w:val="20"/>
        </w:rPr>
        <w:t xml:space="preserve"> role</w:t>
      </w:r>
      <w:r w:rsidR="00F13955" w:rsidRPr="00140673">
        <w:rPr>
          <w:rFonts w:ascii="Arial" w:hAnsi="Arial" w:cs="Arial"/>
          <w:sz w:val="20"/>
          <w:szCs w:val="20"/>
        </w:rPr>
        <w:t xml:space="preserve"> of precedent</w:t>
      </w:r>
      <w:r w:rsidR="00CB1E18">
        <w:rPr>
          <w:rFonts w:ascii="Arial" w:hAnsi="Arial" w:cs="Arial"/>
          <w:sz w:val="20"/>
          <w:szCs w:val="20"/>
        </w:rPr>
        <w:t xml:space="preserve"> and analogical reasoning</w:t>
      </w:r>
      <w:r w:rsidR="00F13955" w:rsidRPr="00140673">
        <w:rPr>
          <w:rFonts w:ascii="Arial" w:hAnsi="Arial" w:cs="Arial"/>
          <w:sz w:val="20"/>
          <w:szCs w:val="20"/>
        </w:rPr>
        <w:t xml:space="preserve"> </w:t>
      </w:r>
      <w:r w:rsidR="00AB01CA">
        <w:rPr>
          <w:rFonts w:ascii="Arial" w:hAnsi="Arial" w:cs="Arial"/>
          <w:sz w:val="20"/>
          <w:szCs w:val="20"/>
        </w:rPr>
        <w:t xml:space="preserve">in legal decision-making </w:t>
      </w:r>
      <w:r w:rsidR="00F13955" w:rsidRPr="00140673">
        <w:rPr>
          <w:rFonts w:ascii="Arial" w:hAnsi="Arial" w:cs="Arial"/>
          <w:sz w:val="20"/>
          <w:szCs w:val="20"/>
        </w:rPr>
        <w:t xml:space="preserve">while </w:t>
      </w:r>
      <w:r w:rsidR="00CB1E18">
        <w:rPr>
          <w:rFonts w:ascii="Arial" w:hAnsi="Arial" w:cs="Arial"/>
          <w:sz w:val="20"/>
          <w:szCs w:val="20"/>
        </w:rPr>
        <w:t xml:space="preserve">being alive to the possibility </w:t>
      </w:r>
      <w:r w:rsidR="000C4F1F">
        <w:rPr>
          <w:rFonts w:ascii="Arial" w:hAnsi="Arial" w:cs="Arial"/>
          <w:sz w:val="20"/>
          <w:szCs w:val="20"/>
        </w:rPr>
        <w:t xml:space="preserve">and influence </w:t>
      </w:r>
      <w:r w:rsidR="00CB1E18">
        <w:rPr>
          <w:rFonts w:ascii="Arial" w:hAnsi="Arial" w:cs="Arial"/>
          <w:sz w:val="20"/>
          <w:szCs w:val="20"/>
        </w:rPr>
        <w:t>of judicial creativity</w:t>
      </w:r>
      <w:r w:rsidR="00AB01CA">
        <w:rPr>
          <w:rFonts w:ascii="Arial" w:hAnsi="Arial" w:cs="Arial"/>
          <w:sz w:val="20"/>
          <w:szCs w:val="20"/>
        </w:rPr>
        <w:t xml:space="preserve">. </w:t>
      </w:r>
    </w:p>
    <w:p w14:paraId="0F7AFEC3" w14:textId="43D1926D" w:rsidR="00373ACB" w:rsidRPr="00317FA0" w:rsidRDefault="00F13955" w:rsidP="00317FA0">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C</w:t>
      </w:r>
      <w:r w:rsidRPr="00140673">
        <w:rPr>
          <w:rFonts w:ascii="Arial" w:hAnsi="Arial" w:cs="Arial"/>
          <w:sz w:val="20"/>
          <w:szCs w:val="20"/>
        </w:rPr>
        <w:t xml:space="preserve">onduct research into complex legal issues </w:t>
      </w:r>
      <w:r w:rsidR="00CB1E18">
        <w:rPr>
          <w:rFonts w:ascii="Arial" w:hAnsi="Arial" w:cs="Arial"/>
          <w:sz w:val="20"/>
          <w:szCs w:val="20"/>
        </w:rPr>
        <w:t xml:space="preserve">involving tort law and use </w:t>
      </w:r>
      <w:r w:rsidR="00D079B0">
        <w:rPr>
          <w:rFonts w:ascii="Arial" w:hAnsi="Arial" w:cs="Arial"/>
          <w:sz w:val="20"/>
          <w:szCs w:val="20"/>
        </w:rPr>
        <w:t>primary, secondary and</w:t>
      </w:r>
      <w:r w:rsidR="000C4F1F">
        <w:rPr>
          <w:rFonts w:ascii="Arial" w:hAnsi="Arial" w:cs="Arial"/>
          <w:sz w:val="20"/>
          <w:szCs w:val="20"/>
        </w:rPr>
        <w:t>/or</w:t>
      </w:r>
      <w:r w:rsidR="00D079B0">
        <w:rPr>
          <w:rFonts w:ascii="Arial" w:hAnsi="Arial" w:cs="Arial"/>
          <w:sz w:val="20"/>
          <w:szCs w:val="20"/>
        </w:rPr>
        <w:t xml:space="preserve"> </w:t>
      </w:r>
      <w:r w:rsidRPr="00140673">
        <w:rPr>
          <w:rFonts w:ascii="Arial" w:hAnsi="Arial" w:cs="Arial"/>
          <w:sz w:val="20"/>
          <w:szCs w:val="20"/>
        </w:rPr>
        <w:t xml:space="preserve">extra-legal sources </w:t>
      </w:r>
      <w:r w:rsidR="00CB1E18">
        <w:rPr>
          <w:rFonts w:ascii="Arial" w:hAnsi="Arial" w:cs="Arial"/>
          <w:sz w:val="20"/>
          <w:szCs w:val="20"/>
        </w:rPr>
        <w:t>in</w:t>
      </w:r>
      <w:r w:rsidRPr="00140673">
        <w:rPr>
          <w:rFonts w:ascii="Arial" w:hAnsi="Arial" w:cs="Arial"/>
          <w:sz w:val="20"/>
          <w:szCs w:val="20"/>
        </w:rPr>
        <w:t xml:space="preserve"> </w:t>
      </w:r>
      <w:r w:rsidR="00C47F30">
        <w:rPr>
          <w:rFonts w:ascii="Arial" w:hAnsi="Arial" w:cs="Arial"/>
          <w:sz w:val="20"/>
          <w:szCs w:val="20"/>
        </w:rPr>
        <w:t>the construction of</w:t>
      </w:r>
      <w:r w:rsidRPr="00140673">
        <w:rPr>
          <w:rFonts w:ascii="Arial" w:hAnsi="Arial" w:cs="Arial"/>
          <w:sz w:val="20"/>
          <w:szCs w:val="20"/>
        </w:rPr>
        <w:t xml:space="preserve"> </w:t>
      </w:r>
      <w:r w:rsidR="00CB1E18">
        <w:rPr>
          <w:rFonts w:ascii="Arial" w:hAnsi="Arial" w:cs="Arial"/>
          <w:sz w:val="20"/>
          <w:szCs w:val="20"/>
        </w:rPr>
        <w:t xml:space="preserve">legal </w:t>
      </w:r>
      <w:r w:rsidRPr="00140673">
        <w:rPr>
          <w:rFonts w:ascii="Arial" w:hAnsi="Arial" w:cs="Arial"/>
          <w:sz w:val="20"/>
          <w:szCs w:val="20"/>
        </w:rPr>
        <w:t>arguments while recognising are</w:t>
      </w:r>
      <w:r w:rsidR="00AF3C1C">
        <w:rPr>
          <w:rFonts w:ascii="Arial" w:hAnsi="Arial" w:cs="Arial"/>
          <w:sz w:val="20"/>
          <w:szCs w:val="20"/>
        </w:rPr>
        <w:t>as of uncertainty or contention.</w:t>
      </w:r>
    </w:p>
    <w:p w14:paraId="1D1F003A" w14:textId="77777777" w:rsidR="009C2816" w:rsidRDefault="009C2816" w:rsidP="005E3FA7">
      <w:pPr>
        <w:pStyle w:val="ListParagraph"/>
        <w:spacing w:after="120" w:line="240" w:lineRule="auto"/>
        <w:ind w:left="851" w:right="260"/>
        <w:rPr>
          <w:rFonts w:ascii="Arial" w:hAnsi="Arial" w:cs="Arial"/>
          <w:sz w:val="20"/>
          <w:szCs w:val="20"/>
        </w:rPr>
      </w:pPr>
    </w:p>
    <w:p w14:paraId="4958854A" w14:textId="77777777" w:rsidR="009C2816" w:rsidRPr="00373ACB" w:rsidRDefault="009C2816" w:rsidP="005E3FA7">
      <w:pPr>
        <w:pStyle w:val="ListParagraph"/>
        <w:spacing w:after="120" w:line="240" w:lineRule="auto"/>
        <w:ind w:left="851" w:right="260"/>
        <w:rPr>
          <w:rFonts w:ascii="Arial" w:hAnsi="Arial" w:cs="Arial"/>
          <w:sz w:val="20"/>
          <w:szCs w:val="20"/>
        </w:rPr>
      </w:pPr>
    </w:p>
    <w:p w14:paraId="7C8C3502" w14:textId="77777777"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29DA9A72" w14:textId="77777777" w:rsidR="00380EAE" w:rsidRPr="00380EAE" w:rsidRDefault="00380EAE" w:rsidP="0066061A">
      <w:pPr>
        <w:spacing w:after="120" w:line="240" w:lineRule="auto"/>
        <w:ind w:left="426" w:right="260"/>
        <w:rPr>
          <w:rFonts w:ascii="Arial" w:hAnsi="Arial" w:cs="Arial"/>
          <w:b/>
          <w:sz w:val="20"/>
          <w:szCs w:val="20"/>
        </w:rPr>
      </w:pPr>
    </w:p>
    <w:p w14:paraId="3D0D9266" w14:textId="305D8B7B" w:rsidR="00140673" w:rsidRPr="006D1F38" w:rsidRDefault="00BA2208" w:rsidP="006D1F38">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U</w:t>
      </w:r>
      <w:r w:rsidR="00140673" w:rsidRPr="00140673">
        <w:rPr>
          <w:rFonts w:ascii="Arial" w:hAnsi="Arial" w:cs="Arial"/>
          <w:sz w:val="20"/>
          <w:szCs w:val="20"/>
        </w:rPr>
        <w:t xml:space="preserve">se </w:t>
      </w:r>
      <w:r w:rsidR="00D079B0">
        <w:rPr>
          <w:rFonts w:ascii="Arial" w:hAnsi="Arial" w:cs="Arial"/>
          <w:sz w:val="20"/>
          <w:szCs w:val="20"/>
        </w:rPr>
        <w:t>a range of</w:t>
      </w:r>
      <w:r w:rsidR="006D1F38">
        <w:rPr>
          <w:rFonts w:ascii="Arial" w:hAnsi="Arial" w:cs="Arial"/>
          <w:sz w:val="20"/>
          <w:szCs w:val="20"/>
        </w:rPr>
        <w:t xml:space="preserve"> </w:t>
      </w:r>
      <w:r w:rsidR="00140673" w:rsidRPr="00140673">
        <w:rPr>
          <w:rFonts w:ascii="Arial" w:hAnsi="Arial" w:cs="Arial"/>
          <w:sz w:val="20"/>
          <w:szCs w:val="20"/>
        </w:rPr>
        <w:t xml:space="preserve">materials </w:t>
      </w:r>
      <w:r w:rsidR="00D079B0">
        <w:rPr>
          <w:rFonts w:ascii="Arial" w:hAnsi="Arial" w:cs="Arial"/>
          <w:sz w:val="20"/>
          <w:szCs w:val="20"/>
        </w:rPr>
        <w:t xml:space="preserve">and approaches </w:t>
      </w:r>
      <w:r w:rsidR="00140673" w:rsidRPr="00140673">
        <w:rPr>
          <w:rFonts w:ascii="Arial" w:hAnsi="Arial" w:cs="Arial"/>
          <w:sz w:val="20"/>
          <w:szCs w:val="20"/>
        </w:rPr>
        <w:t xml:space="preserve">to evaluate legal solutions </w:t>
      </w:r>
      <w:r w:rsidR="00D079B0">
        <w:rPr>
          <w:rFonts w:ascii="Arial" w:hAnsi="Arial" w:cs="Arial"/>
          <w:sz w:val="20"/>
          <w:szCs w:val="20"/>
        </w:rPr>
        <w:t xml:space="preserve">to </w:t>
      </w:r>
      <w:r w:rsidR="000C4F1F">
        <w:rPr>
          <w:rFonts w:ascii="Arial" w:hAnsi="Arial" w:cs="Arial"/>
          <w:sz w:val="20"/>
          <w:szCs w:val="20"/>
        </w:rPr>
        <w:t xml:space="preserve">tortious </w:t>
      </w:r>
      <w:r w:rsidR="00D079B0">
        <w:rPr>
          <w:rFonts w:ascii="Arial" w:hAnsi="Arial" w:cs="Arial"/>
          <w:sz w:val="20"/>
          <w:szCs w:val="20"/>
        </w:rPr>
        <w:t xml:space="preserve">disputes. </w:t>
      </w:r>
    </w:p>
    <w:p w14:paraId="4CB61930" w14:textId="69D1F23B" w:rsidR="00140673" w:rsidRPr="00140673" w:rsidRDefault="00BA2208" w:rsidP="00140673">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lastRenderedPageBreak/>
        <w:t>U</w:t>
      </w:r>
      <w:r w:rsidR="00140673" w:rsidRPr="00140673">
        <w:rPr>
          <w:rFonts w:ascii="Arial" w:hAnsi="Arial" w:cs="Arial"/>
          <w:sz w:val="20"/>
          <w:szCs w:val="20"/>
        </w:rPr>
        <w:t>se library and web resources, including journal articles and policy documents, to conduct research on complex areas</w:t>
      </w:r>
      <w:r w:rsidR="00F13955">
        <w:rPr>
          <w:rFonts w:ascii="Arial" w:hAnsi="Arial" w:cs="Arial"/>
          <w:sz w:val="20"/>
          <w:szCs w:val="20"/>
        </w:rPr>
        <w:t>.</w:t>
      </w:r>
    </w:p>
    <w:p w14:paraId="00F120E1" w14:textId="77777777" w:rsidR="00140673" w:rsidRPr="00140673" w:rsidRDefault="00140673" w:rsidP="00140673">
      <w:pPr>
        <w:pStyle w:val="ListParagraph"/>
        <w:numPr>
          <w:ilvl w:val="1"/>
          <w:numId w:val="1"/>
        </w:numPr>
        <w:spacing w:after="120" w:line="240" w:lineRule="auto"/>
        <w:ind w:left="851" w:right="260" w:hanging="425"/>
        <w:rPr>
          <w:rFonts w:ascii="Arial" w:hAnsi="Arial" w:cs="Arial"/>
          <w:sz w:val="20"/>
          <w:szCs w:val="20"/>
        </w:rPr>
      </w:pPr>
      <w:r w:rsidRPr="00140673">
        <w:rPr>
          <w:rFonts w:ascii="Arial" w:hAnsi="Arial" w:cs="Arial"/>
          <w:sz w:val="20"/>
          <w:szCs w:val="20"/>
        </w:rPr>
        <w:t xml:space="preserve">Properly present material with correct citation and use of references where appropriate </w:t>
      </w:r>
    </w:p>
    <w:p w14:paraId="3D87146E" w14:textId="1F195E47" w:rsidR="00140673" w:rsidRPr="00140673" w:rsidRDefault="00140673" w:rsidP="00140673">
      <w:pPr>
        <w:pStyle w:val="ListParagraph"/>
        <w:numPr>
          <w:ilvl w:val="1"/>
          <w:numId w:val="1"/>
        </w:numPr>
        <w:spacing w:after="120" w:line="240" w:lineRule="auto"/>
        <w:ind w:left="851" w:right="260" w:hanging="425"/>
        <w:rPr>
          <w:rFonts w:ascii="Arial" w:hAnsi="Arial" w:cs="Arial"/>
          <w:sz w:val="20"/>
          <w:szCs w:val="20"/>
        </w:rPr>
      </w:pPr>
      <w:r w:rsidRPr="00140673">
        <w:rPr>
          <w:rFonts w:ascii="Arial" w:hAnsi="Arial" w:cs="Arial"/>
          <w:sz w:val="20"/>
          <w:szCs w:val="20"/>
        </w:rPr>
        <w:t>Show an understanding of the differences in use and value of primary and secondary sources</w:t>
      </w:r>
      <w:r w:rsidR="00F13955">
        <w:rPr>
          <w:rFonts w:ascii="Arial" w:hAnsi="Arial" w:cs="Arial"/>
          <w:sz w:val="20"/>
          <w:szCs w:val="20"/>
        </w:rPr>
        <w:t>.</w:t>
      </w:r>
    </w:p>
    <w:p w14:paraId="02279EC0" w14:textId="506A38E2" w:rsidR="00373ACB" w:rsidRPr="00140673" w:rsidRDefault="00F13955" w:rsidP="00140673">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D</w:t>
      </w:r>
      <w:r w:rsidR="00140673" w:rsidRPr="00140673">
        <w:rPr>
          <w:rFonts w:ascii="Arial" w:hAnsi="Arial" w:cs="Arial"/>
          <w:sz w:val="20"/>
          <w:szCs w:val="20"/>
        </w:rPr>
        <w:t>istinguish evidence</w:t>
      </w:r>
      <w:r w:rsidR="00D079B0">
        <w:rPr>
          <w:rFonts w:ascii="Arial" w:hAnsi="Arial" w:cs="Arial"/>
          <w:sz w:val="20"/>
          <w:szCs w:val="20"/>
        </w:rPr>
        <w:t>-based</w:t>
      </w:r>
      <w:r w:rsidR="00140673" w:rsidRPr="00140673">
        <w:rPr>
          <w:rFonts w:ascii="Arial" w:hAnsi="Arial" w:cs="Arial"/>
          <w:sz w:val="20"/>
          <w:szCs w:val="20"/>
        </w:rPr>
        <w:t xml:space="preserve"> claims from unfounded assertions and to use evidence to support the</w:t>
      </w:r>
      <w:r w:rsidR="00140673">
        <w:rPr>
          <w:rFonts w:ascii="Arial" w:hAnsi="Arial" w:cs="Arial"/>
          <w:sz w:val="20"/>
          <w:szCs w:val="20"/>
        </w:rPr>
        <w:t xml:space="preserve">ir own </w:t>
      </w:r>
      <w:r w:rsidR="00D079B0">
        <w:rPr>
          <w:rFonts w:ascii="Arial" w:hAnsi="Arial" w:cs="Arial"/>
          <w:sz w:val="20"/>
          <w:szCs w:val="20"/>
        </w:rPr>
        <w:t xml:space="preserve">claims </w:t>
      </w:r>
      <w:r w:rsidR="00140673">
        <w:rPr>
          <w:rFonts w:ascii="Arial" w:hAnsi="Arial" w:cs="Arial"/>
          <w:sz w:val="20"/>
          <w:szCs w:val="20"/>
        </w:rPr>
        <w:t>and arguments</w:t>
      </w:r>
    </w:p>
    <w:p w14:paraId="4501E213" w14:textId="77777777" w:rsidR="00373ACB" w:rsidRPr="00373ACB" w:rsidRDefault="00373ACB" w:rsidP="0066061A">
      <w:pPr>
        <w:pStyle w:val="Default"/>
        <w:spacing w:after="120"/>
        <w:ind w:right="260"/>
        <w:rPr>
          <w:color w:val="auto"/>
          <w:sz w:val="20"/>
          <w:szCs w:val="20"/>
        </w:rPr>
      </w:pPr>
    </w:p>
    <w:p w14:paraId="15F50556" w14:textId="434295AA" w:rsidR="00140673" w:rsidRPr="004074A7" w:rsidRDefault="009A2D37" w:rsidP="004074A7">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A synopsis of the curriculum</w:t>
      </w:r>
      <w:r w:rsidR="004074A7">
        <w:rPr>
          <w:rFonts w:ascii="Arial" w:hAnsi="Arial" w:cs="Arial"/>
          <w:b/>
          <w:sz w:val="20"/>
          <w:szCs w:val="20"/>
        </w:rPr>
        <w:br/>
      </w:r>
    </w:p>
    <w:p w14:paraId="09B17050" w14:textId="564351CC" w:rsidR="00373ACB" w:rsidRDefault="00140673" w:rsidP="003927F2">
      <w:pPr>
        <w:spacing w:after="120" w:line="240" w:lineRule="auto"/>
        <w:ind w:left="426" w:right="260"/>
        <w:rPr>
          <w:rFonts w:ascii="Arial" w:hAnsi="Arial" w:cs="Arial"/>
          <w:iCs/>
          <w:sz w:val="20"/>
          <w:szCs w:val="20"/>
        </w:rPr>
      </w:pPr>
      <w:r w:rsidRPr="003927F2">
        <w:rPr>
          <w:rFonts w:ascii="Arial" w:hAnsi="Arial" w:cs="Arial"/>
          <w:iCs/>
          <w:sz w:val="20"/>
          <w:szCs w:val="20"/>
        </w:rPr>
        <w:t xml:space="preserve">The bulk of this </w:t>
      </w:r>
      <w:r w:rsidR="004074A7" w:rsidRPr="003927F2">
        <w:rPr>
          <w:rFonts w:ascii="Arial" w:hAnsi="Arial" w:cs="Arial"/>
          <w:iCs/>
          <w:sz w:val="20"/>
          <w:szCs w:val="20"/>
        </w:rPr>
        <w:t>module</w:t>
      </w:r>
      <w:r w:rsidRPr="003927F2">
        <w:rPr>
          <w:rFonts w:ascii="Arial" w:hAnsi="Arial" w:cs="Arial"/>
          <w:iCs/>
          <w:sz w:val="20"/>
          <w:szCs w:val="20"/>
        </w:rPr>
        <w:t xml:space="preserve"> will concentrate on the Tort of Negligence in contrast to students’ knowledge of the law of trespass to the person (gained in</w:t>
      </w:r>
      <w:r w:rsidR="00AE7321">
        <w:rPr>
          <w:rFonts w:ascii="Arial" w:hAnsi="Arial" w:cs="Arial"/>
          <w:iCs/>
          <w:sz w:val="20"/>
          <w:szCs w:val="20"/>
        </w:rPr>
        <w:t xml:space="preserve"> LAWS3150</w:t>
      </w:r>
      <w:r w:rsidRPr="003927F2">
        <w:rPr>
          <w:rFonts w:ascii="Arial" w:hAnsi="Arial" w:cs="Arial"/>
          <w:iCs/>
          <w:sz w:val="20"/>
          <w:szCs w:val="20"/>
        </w:rPr>
        <w:t xml:space="preserve"> Introduction to Obligations). </w:t>
      </w:r>
      <w:r w:rsidR="004074A7" w:rsidRPr="003927F2">
        <w:rPr>
          <w:rFonts w:ascii="Arial" w:hAnsi="Arial" w:cs="Arial"/>
          <w:iCs/>
          <w:sz w:val="20"/>
          <w:szCs w:val="20"/>
        </w:rPr>
        <w:t xml:space="preserve">Students </w:t>
      </w:r>
      <w:r w:rsidRPr="003927F2">
        <w:rPr>
          <w:rFonts w:ascii="Arial" w:hAnsi="Arial" w:cs="Arial"/>
          <w:iCs/>
          <w:sz w:val="20"/>
          <w:szCs w:val="20"/>
        </w:rPr>
        <w:t>will focus on the conceptual structure of the tort of negligence, its rise and dominance over other torts, its role in accident compensation, the funding of accident compensation and the role of insurance, and the system’s contribution to an alleged “com</w:t>
      </w:r>
      <w:r w:rsidR="004074A7" w:rsidRPr="003927F2">
        <w:rPr>
          <w:rFonts w:ascii="Arial" w:hAnsi="Arial" w:cs="Arial"/>
          <w:iCs/>
          <w:sz w:val="20"/>
          <w:szCs w:val="20"/>
        </w:rPr>
        <w:t>pensation culture”. Th</w:t>
      </w:r>
      <w:r w:rsidR="00D079B0">
        <w:rPr>
          <w:rFonts w:ascii="Arial" w:hAnsi="Arial" w:cs="Arial"/>
          <w:iCs/>
          <w:sz w:val="20"/>
          <w:szCs w:val="20"/>
        </w:rPr>
        <w:t>e approach</w:t>
      </w:r>
      <w:r w:rsidRPr="003927F2">
        <w:rPr>
          <w:rFonts w:ascii="Arial" w:hAnsi="Arial" w:cs="Arial"/>
          <w:iCs/>
          <w:sz w:val="20"/>
          <w:szCs w:val="20"/>
        </w:rPr>
        <w:t xml:space="preserve"> is primarily doctrinal but </w:t>
      </w:r>
      <w:r w:rsidR="00D079B0">
        <w:rPr>
          <w:rFonts w:ascii="Arial" w:hAnsi="Arial" w:cs="Arial"/>
          <w:iCs/>
          <w:sz w:val="20"/>
          <w:szCs w:val="20"/>
        </w:rPr>
        <w:t xml:space="preserve">is </w:t>
      </w:r>
      <w:r w:rsidRPr="003927F2">
        <w:rPr>
          <w:rFonts w:ascii="Arial" w:hAnsi="Arial" w:cs="Arial"/>
          <w:iCs/>
          <w:sz w:val="20"/>
          <w:szCs w:val="20"/>
        </w:rPr>
        <w:t>informed by various theoretical perspectives examining differing notions of justice</w:t>
      </w:r>
      <w:r w:rsidR="008B4186">
        <w:rPr>
          <w:rFonts w:ascii="Arial" w:hAnsi="Arial" w:cs="Arial"/>
          <w:iCs/>
          <w:sz w:val="20"/>
          <w:szCs w:val="20"/>
        </w:rPr>
        <w:t>.</w:t>
      </w:r>
      <w:r w:rsidR="003927F2">
        <w:rPr>
          <w:rFonts w:ascii="Arial" w:hAnsi="Arial" w:cs="Arial"/>
          <w:iCs/>
          <w:sz w:val="20"/>
          <w:szCs w:val="20"/>
        </w:rPr>
        <w:br/>
      </w:r>
      <w:r w:rsidR="003927F2">
        <w:rPr>
          <w:rFonts w:ascii="Arial" w:hAnsi="Arial" w:cs="Arial"/>
          <w:iCs/>
          <w:sz w:val="20"/>
          <w:szCs w:val="20"/>
        </w:rPr>
        <w:br/>
      </w:r>
      <w:r w:rsidRPr="003927F2">
        <w:rPr>
          <w:rFonts w:ascii="Arial" w:hAnsi="Arial" w:cs="Arial"/>
          <w:iCs/>
          <w:sz w:val="20"/>
          <w:szCs w:val="20"/>
        </w:rPr>
        <w:t xml:space="preserve">A smaller </w:t>
      </w:r>
      <w:r w:rsidR="00D079B0">
        <w:rPr>
          <w:rFonts w:ascii="Arial" w:hAnsi="Arial" w:cs="Arial"/>
          <w:iCs/>
          <w:sz w:val="20"/>
          <w:szCs w:val="20"/>
        </w:rPr>
        <w:t>section</w:t>
      </w:r>
      <w:r w:rsidRPr="003927F2">
        <w:rPr>
          <w:rFonts w:ascii="Arial" w:hAnsi="Arial" w:cs="Arial"/>
          <w:iCs/>
          <w:sz w:val="20"/>
          <w:szCs w:val="20"/>
        </w:rPr>
        <w:t xml:space="preserve"> of this </w:t>
      </w:r>
      <w:r w:rsidR="004074A7" w:rsidRPr="003927F2">
        <w:rPr>
          <w:rFonts w:ascii="Arial" w:hAnsi="Arial" w:cs="Arial"/>
          <w:iCs/>
          <w:sz w:val="20"/>
          <w:szCs w:val="20"/>
        </w:rPr>
        <w:t>module</w:t>
      </w:r>
      <w:r w:rsidRPr="003927F2">
        <w:rPr>
          <w:rFonts w:ascii="Arial" w:hAnsi="Arial" w:cs="Arial"/>
          <w:iCs/>
          <w:sz w:val="20"/>
          <w:szCs w:val="20"/>
        </w:rPr>
        <w:t xml:space="preserve"> will contrast the predominantly ca</w:t>
      </w:r>
      <w:r w:rsidR="004074A7" w:rsidRPr="003927F2">
        <w:rPr>
          <w:rFonts w:ascii="Arial" w:hAnsi="Arial" w:cs="Arial"/>
          <w:iCs/>
          <w:sz w:val="20"/>
          <w:szCs w:val="20"/>
        </w:rPr>
        <w:t>se-based Tort of Negligence with</w:t>
      </w:r>
      <w:r w:rsidRPr="003927F2">
        <w:rPr>
          <w:rFonts w:ascii="Arial" w:hAnsi="Arial" w:cs="Arial"/>
          <w:iCs/>
          <w:sz w:val="20"/>
          <w:szCs w:val="20"/>
        </w:rPr>
        <w:t xml:space="preserve"> various statutory torts</w:t>
      </w:r>
      <w:r w:rsidR="008B4186">
        <w:rPr>
          <w:rFonts w:ascii="Arial" w:hAnsi="Arial" w:cs="Arial"/>
          <w:iCs/>
          <w:sz w:val="20"/>
          <w:szCs w:val="20"/>
        </w:rPr>
        <w:t xml:space="preserve">. </w:t>
      </w:r>
      <w:r w:rsidR="004074A7" w:rsidRPr="003927F2">
        <w:rPr>
          <w:rFonts w:ascii="Arial" w:hAnsi="Arial" w:cs="Arial"/>
          <w:iCs/>
          <w:sz w:val="20"/>
          <w:szCs w:val="20"/>
        </w:rPr>
        <w:t>Students</w:t>
      </w:r>
      <w:r w:rsidRPr="003927F2">
        <w:rPr>
          <w:rFonts w:ascii="Arial" w:hAnsi="Arial" w:cs="Arial"/>
          <w:iCs/>
          <w:sz w:val="20"/>
          <w:szCs w:val="20"/>
        </w:rPr>
        <w:t xml:space="preserve"> will</w:t>
      </w:r>
      <w:r w:rsidR="004074A7" w:rsidRPr="003927F2">
        <w:rPr>
          <w:rFonts w:ascii="Arial" w:hAnsi="Arial" w:cs="Arial"/>
          <w:iCs/>
          <w:sz w:val="20"/>
          <w:szCs w:val="20"/>
        </w:rPr>
        <w:t xml:space="preserve"> also</w:t>
      </w:r>
      <w:r w:rsidRPr="003927F2">
        <w:rPr>
          <w:rFonts w:ascii="Arial" w:hAnsi="Arial" w:cs="Arial"/>
          <w:iCs/>
          <w:sz w:val="20"/>
          <w:szCs w:val="20"/>
        </w:rPr>
        <w:t xml:space="preserve"> consider the Land Torts</w:t>
      </w:r>
      <w:r w:rsidR="009757BD">
        <w:rPr>
          <w:rFonts w:ascii="Arial" w:hAnsi="Arial" w:cs="Arial"/>
          <w:iCs/>
          <w:sz w:val="20"/>
          <w:szCs w:val="20"/>
        </w:rPr>
        <w:t>.</w:t>
      </w:r>
      <w:r w:rsidRPr="003927F2">
        <w:rPr>
          <w:rFonts w:ascii="Arial" w:hAnsi="Arial" w:cs="Arial"/>
          <w:iCs/>
          <w:sz w:val="20"/>
          <w:szCs w:val="20"/>
        </w:rPr>
        <w:t xml:space="preserve"> </w:t>
      </w:r>
      <w:r w:rsidR="009757BD">
        <w:rPr>
          <w:rFonts w:ascii="Arial" w:hAnsi="Arial" w:cs="Arial"/>
          <w:iCs/>
          <w:sz w:val="20"/>
          <w:szCs w:val="20"/>
        </w:rPr>
        <w:t xml:space="preserve">This </w:t>
      </w:r>
      <w:r w:rsidRPr="003927F2">
        <w:rPr>
          <w:rFonts w:ascii="Arial" w:hAnsi="Arial" w:cs="Arial"/>
          <w:iCs/>
          <w:sz w:val="20"/>
          <w:szCs w:val="20"/>
        </w:rPr>
        <w:t>draw</w:t>
      </w:r>
      <w:r w:rsidR="009757BD">
        <w:rPr>
          <w:rFonts w:ascii="Arial" w:hAnsi="Arial" w:cs="Arial"/>
          <w:iCs/>
          <w:sz w:val="20"/>
          <w:szCs w:val="20"/>
        </w:rPr>
        <w:t>s</w:t>
      </w:r>
      <w:r w:rsidR="006D1F38">
        <w:rPr>
          <w:rFonts w:ascii="Arial" w:hAnsi="Arial" w:cs="Arial"/>
          <w:iCs/>
          <w:sz w:val="20"/>
          <w:szCs w:val="20"/>
        </w:rPr>
        <w:t xml:space="preserve"> further</w:t>
      </w:r>
      <w:r w:rsidRPr="003927F2">
        <w:rPr>
          <w:rFonts w:ascii="Arial" w:hAnsi="Arial" w:cs="Arial"/>
          <w:iCs/>
          <w:sz w:val="20"/>
          <w:szCs w:val="20"/>
        </w:rPr>
        <w:t xml:space="preserve"> attention to the diverse range of harms </w:t>
      </w:r>
      <w:r w:rsidR="00D079B0">
        <w:rPr>
          <w:rFonts w:ascii="Arial" w:hAnsi="Arial" w:cs="Arial"/>
          <w:iCs/>
          <w:sz w:val="20"/>
          <w:szCs w:val="20"/>
        </w:rPr>
        <w:t xml:space="preserve">or interests </w:t>
      </w:r>
      <w:r w:rsidRPr="003927F2">
        <w:rPr>
          <w:rFonts w:ascii="Arial" w:hAnsi="Arial" w:cs="Arial"/>
          <w:iCs/>
          <w:sz w:val="20"/>
          <w:szCs w:val="20"/>
        </w:rPr>
        <w:t>protected by tort law and to the diverse conceptual structures of different torts</w:t>
      </w:r>
      <w:r w:rsidR="006D1F38">
        <w:rPr>
          <w:rFonts w:ascii="Arial" w:hAnsi="Arial" w:cs="Arial"/>
          <w:iCs/>
          <w:sz w:val="20"/>
          <w:szCs w:val="20"/>
        </w:rPr>
        <w:t>.</w:t>
      </w:r>
    </w:p>
    <w:p w14:paraId="7A666741" w14:textId="77777777" w:rsidR="006D1F38" w:rsidRPr="003927F2" w:rsidRDefault="006D1F38" w:rsidP="003927F2">
      <w:pPr>
        <w:spacing w:after="120" w:line="240" w:lineRule="auto"/>
        <w:ind w:left="426" w:right="260"/>
        <w:rPr>
          <w:rFonts w:ascii="Arial" w:hAnsi="Arial" w:cs="Arial"/>
          <w:iCs/>
          <w:sz w:val="20"/>
          <w:szCs w:val="20"/>
        </w:rPr>
      </w:pPr>
    </w:p>
    <w:p w14:paraId="772E73A4" w14:textId="77777777"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016A2A54" w14:textId="6FA5D69F" w:rsidR="00317FA0" w:rsidRDefault="00317FA0" w:rsidP="00317FA0">
      <w:pPr>
        <w:pStyle w:val="ListParagraph"/>
        <w:numPr>
          <w:ilvl w:val="0"/>
          <w:numId w:val="17"/>
        </w:numPr>
        <w:spacing w:after="120" w:line="240" w:lineRule="auto"/>
        <w:ind w:right="260"/>
        <w:rPr>
          <w:rFonts w:ascii="Arial" w:hAnsi="Arial" w:cs="Arial"/>
          <w:sz w:val="20"/>
          <w:szCs w:val="20"/>
        </w:rPr>
      </w:pPr>
      <w:r w:rsidRPr="00B4189F">
        <w:rPr>
          <w:rFonts w:ascii="Arial" w:hAnsi="Arial" w:cs="Arial"/>
          <w:sz w:val="20"/>
          <w:szCs w:val="20"/>
        </w:rPr>
        <w:t xml:space="preserve">Cane, P, </w:t>
      </w:r>
      <w:r w:rsidRPr="006D1F38">
        <w:rPr>
          <w:rFonts w:ascii="Arial" w:hAnsi="Arial" w:cs="Arial"/>
          <w:i/>
          <w:sz w:val="20"/>
          <w:szCs w:val="20"/>
        </w:rPr>
        <w:t>Atiyah’s Accidents, Compensation and the Law</w:t>
      </w:r>
      <w:r w:rsidRPr="00B4189F">
        <w:rPr>
          <w:rFonts w:ascii="Arial" w:hAnsi="Arial" w:cs="Arial"/>
          <w:sz w:val="20"/>
          <w:szCs w:val="20"/>
        </w:rPr>
        <w:t xml:space="preserve"> (CUP, 20</w:t>
      </w:r>
      <w:r>
        <w:rPr>
          <w:rFonts w:ascii="Arial" w:hAnsi="Arial" w:cs="Arial"/>
          <w:sz w:val="20"/>
          <w:szCs w:val="20"/>
        </w:rPr>
        <w:t>16</w:t>
      </w:r>
      <w:r w:rsidRPr="00B4189F">
        <w:rPr>
          <w:rFonts w:ascii="Arial" w:hAnsi="Arial" w:cs="Arial"/>
          <w:sz w:val="20"/>
          <w:szCs w:val="20"/>
        </w:rPr>
        <w:t xml:space="preserve"> or later edition if published)</w:t>
      </w:r>
    </w:p>
    <w:p w14:paraId="7B5CE481" w14:textId="77777777" w:rsidR="00317FA0" w:rsidRDefault="00317FA0" w:rsidP="00B4189F">
      <w:pPr>
        <w:pStyle w:val="ListParagraph"/>
        <w:numPr>
          <w:ilvl w:val="0"/>
          <w:numId w:val="17"/>
        </w:numPr>
        <w:spacing w:after="120" w:line="240" w:lineRule="auto"/>
        <w:ind w:right="260"/>
        <w:rPr>
          <w:rFonts w:ascii="Arial" w:hAnsi="Arial" w:cs="Arial"/>
          <w:sz w:val="20"/>
          <w:szCs w:val="20"/>
        </w:rPr>
      </w:pPr>
      <w:r w:rsidRPr="00B4189F">
        <w:rPr>
          <w:rFonts w:ascii="Arial" w:hAnsi="Arial" w:cs="Arial"/>
          <w:sz w:val="20"/>
          <w:szCs w:val="20"/>
        </w:rPr>
        <w:t xml:space="preserve">Conaghan, J, and Mansell, W, </w:t>
      </w:r>
      <w:r w:rsidRPr="006D1F38">
        <w:rPr>
          <w:rFonts w:ascii="Arial" w:hAnsi="Arial" w:cs="Arial"/>
          <w:i/>
          <w:sz w:val="20"/>
          <w:szCs w:val="20"/>
        </w:rPr>
        <w:t>The Wrongs of Tort</w:t>
      </w:r>
      <w:r w:rsidRPr="00B4189F">
        <w:rPr>
          <w:rFonts w:ascii="Arial" w:hAnsi="Arial" w:cs="Arial"/>
          <w:sz w:val="20"/>
          <w:szCs w:val="20"/>
        </w:rPr>
        <w:t xml:space="preserve"> </w:t>
      </w:r>
      <w:r>
        <w:rPr>
          <w:rFonts w:ascii="Arial" w:hAnsi="Arial" w:cs="Arial"/>
          <w:sz w:val="20"/>
          <w:szCs w:val="20"/>
        </w:rPr>
        <w:t>(</w:t>
      </w:r>
      <w:r w:rsidRPr="00B4189F">
        <w:rPr>
          <w:rFonts w:ascii="Arial" w:hAnsi="Arial" w:cs="Arial"/>
          <w:sz w:val="20"/>
          <w:szCs w:val="20"/>
        </w:rPr>
        <w:t>2</w:t>
      </w:r>
      <w:r w:rsidRPr="003927F2">
        <w:rPr>
          <w:rFonts w:ascii="Arial" w:hAnsi="Arial" w:cs="Arial"/>
          <w:sz w:val="20"/>
          <w:szCs w:val="20"/>
          <w:vertAlign w:val="superscript"/>
        </w:rPr>
        <w:t>nd</w:t>
      </w:r>
      <w:r>
        <w:rPr>
          <w:rFonts w:ascii="Arial" w:hAnsi="Arial" w:cs="Arial"/>
          <w:sz w:val="20"/>
          <w:szCs w:val="20"/>
        </w:rPr>
        <w:t xml:space="preserve"> </w:t>
      </w:r>
      <w:r w:rsidRPr="00B4189F">
        <w:rPr>
          <w:rFonts w:ascii="Arial" w:hAnsi="Arial" w:cs="Arial"/>
          <w:sz w:val="20"/>
          <w:szCs w:val="20"/>
        </w:rPr>
        <w:t>ed</w:t>
      </w:r>
      <w:r>
        <w:rPr>
          <w:rFonts w:ascii="Arial" w:hAnsi="Arial" w:cs="Arial"/>
          <w:sz w:val="20"/>
          <w:szCs w:val="20"/>
        </w:rPr>
        <w:t>.)</w:t>
      </w:r>
      <w:r w:rsidRPr="00B4189F">
        <w:rPr>
          <w:rFonts w:ascii="Arial" w:hAnsi="Arial" w:cs="Arial"/>
          <w:sz w:val="20"/>
          <w:szCs w:val="20"/>
        </w:rPr>
        <w:t xml:space="preserve"> (Pluto Press, 1998)</w:t>
      </w:r>
    </w:p>
    <w:p w14:paraId="5C8C3106" w14:textId="482797F5" w:rsidR="00B4189F" w:rsidRPr="00B4189F" w:rsidRDefault="00B4189F" w:rsidP="00B4189F">
      <w:pPr>
        <w:pStyle w:val="ListParagraph"/>
        <w:numPr>
          <w:ilvl w:val="0"/>
          <w:numId w:val="17"/>
        </w:numPr>
        <w:spacing w:after="120" w:line="240" w:lineRule="auto"/>
        <w:ind w:right="260"/>
        <w:rPr>
          <w:rFonts w:ascii="Arial" w:hAnsi="Arial" w:cs="Arial"/>
          <w:sz w:val="20"/>
          <w:szCs w:val="20"/>
        </w:rPr>
      </w:pPr>
      <w:r w:rsidRPr="00B4189F">
        <w:rPr>
          <w:rFonts w:ascii="Arial" w:hAnsi="Arial" w:cs="Arial"/>
          <w:sz w:val="20"/>
          <w:szCs w:val="20"/>
        </w:rPr>
        <w:t xml:space="preserve">Horsey, K </w:t>
      </w:r>
      <w:r w:rsidR="004074A7">
        <w:rPr>
          <w:rFonts w:ascii="Arial" w:hAnsi="Arial" w:cs="Arial"/>
          <w:sz w:val="20"/>
          <w:szCs w:val="20"/>
        </w:rPr>
        <w:t xml:space="preserve">&amp; Rackley E, </w:t>
      </w:r>
      <w:r w:rsidR="004074A7" w:rsidRPr="006D1F38">
        <w:rPr>
          <w:rFonts w:ascii="Arial" w:hAnsi="Arial" w:cs="Arial"/>
          <w:i/>
          <w:sz w:val="20"/>
          <w:szCs w:val="20"/>
        </w:rPr>
        <w:t>Tort Law</w:t>
      </w:r>
      <w:r w:rsidR="004074A7">
        <w:rPr>
          <w:rFonts w:ascii="Arial" w:hAnsi="Arial" w:cs="Arial"/>
          <w:sz w:val="20"/>
          <w:szCs w:val="20"/>
        </w:rPr>
        <w:t xml:space="preserve"> (OUP, 201</w:t>
      </w:r>
      <w:r w:rsidR="009757BD">
        <w:rPr>
          <w:rFonts w:ascii="Arial" w:hAnsi="Arial" w:cs="Arial"/>
          <w:sz w:val="20"/>
          <w:szCs w:val="20"/>
        </w:rPr>
        <w:t>7</w:t>
      </w:r>
      <w:r w:rsidRPr="00B4189F">
        <w:rPr>
          <w:rFonts w:ascii="Arial" w:hAnsi="Arial" w:cs="Arial"/>
          <w:sz w:val="20"/>
          <w:szCs w:val="20"/>
        </w:rPr>
        <w:t xml:space="preserve"> or later edition)</w:t>
      </w:r>
    </w:p>
    <w:p w14:paraId="3383C236" w14:textId="2A7BE101" w:rsidR="00B4189F" w:rsidRPr="00B4189F" w:rsidRDefault="00B4189F" w:rsidP="00B4189F">
      <w:pPr>
        <w:pStyle w:val="ListParagraph"/>
        <w:numPr>
          <w:ilvl w:val="0"/>
          <w:numId w:val="17"/>
        </w:numPr>
        <w:spacing w:after="120" w:line="240" w:lineRule="auto"/>
        <w:ind w:right="260"/>
        <w:rPr>
          <w:rFonts w:ascii="Arial" w:hAnsi="Arial" w:cs="Arial"/>
          <w:sz w:val="20"/>
          <w:szCs w:val="20"/>
        </w:rPr>
      </w:pPr>
      <w:r w:rsidRPr="00B4189F">
        <w:rPr>
          <w:rFonts w:ascii="Arial" w:hAnsi="Arial" w:cs="Arial"/>
          <w:sz w:val="20"/>
          <w:szCs w:val="20"/>
        </w:rPr>
        <w:t>Lunney, M</w:t>
      </w:r>
      <w:r w:rsidR="009757BD">
        <w:rPr>
          <w:rFonts w:ascii="Arial" w:hAnsi="Arial" w:cs="Arial"/>
          <w:sz w:val="20"/>
          <w:szCs w:val="20"/>
        </w:rPr>
        <w:t>,</w:t>
      </w:r>
      <w:r w:rsidRPr="00B4189F">
        <w:rPr>
          <w:rFonts w:ascii="Arial" w:hAnsi="Arial" w:cs="Arial"/>
          <w:sz w:val="20"/>
          <w:szCs w:val="20"/>
        </w:rPr>
        <w:t xml:space="preserve"> Oliphant, K, </w:t>
      </w:r>
      <w:r w:rsidR="009757BD">
        <w:rPr>
          <w:rFonts w:ascii="Arial" w:hAnsi="Arial" w:cs="Arial"/>
          <w:sz w:val="20"/>
          <w:szCs w:val="20"/>
        </w:rPr>
        <w:t xml:space="preserve">Nolan, D. </w:t>
      </w:r>
      <w:r w:rsidRPr="006D1F38">
        <w:rPr>
          <w:rFonts w:ascii="Arial" w:hAnsi="Arial" w:cs="Arial"/>
          <w:i/>
          <w:sz w:val="20"/>
          <w:szCs w:val="20"/>
        </w:rPr>
        <w:t>Tort Law: Text, cases and materials</w:t>
      </w:r>
      <w:r w:rsidRPr="00B4189F">
        <w:rPr>
          <w:rFonts w:ascii="Arial" w:hAnsi="Arial" w:cs="Arial"/>
          <w:sz w:val="20"/>
          <w:szCs w:val="20"/>
        </w:rPr>
        <w:t xml:space="preserve"> (</w:t>
      </w:r>
      <w:r w:rsidR="009757BD">
        <w:rPr>
          <w:rFonts w:ascii="Arial" w:hAnsi="Arial" w:cs="Arial"/>
          <w:sz w:val="20"/>
          <w:szCs w:val="20"/>
        </w:rPr>
        <w:t>6</w:t>
      </w:r>
      <w:r w:rsidR="003927F2" w:rsidRPr="003927F2">
        <w:rPr>
          <w:rFonts w:ascii="Arial" w:hAnsi="Arial" w:cs="Arial"/>
          <w:sz w:val="20"/>
          <w:szCs w:val="20"/>
          <w:vertAlign w:val="superscript"/>
        </w:rPr>
        <w:t>th</w:t>
      </w:r>
      <w:r w:rsidR="003927F2">
        <w:rPr>
          <w:rFonts w:ascii="Arial" w:hAnsi="Arial" w:cs="Arial"/>
          <w:sz w:val="20"/>
          <w:szCs w:val="20"/>
        </w:rPr>
        <w:t xml:space="preserve"> ed</w:t>
      </w:r>
      <w:r w:rsidRPr="00B4189F">
        <w:rPr>
          <w:rFonts w:ascii="Arial" w:hAnsi="Arial" w:cs="Arial"/>
          <w:sz w:val="20"/>
          <w:szCs w:val="20"/>
        </w:rPr>
        <w:t>.</w:t>
      </w:r>
      <w:r w:rsidR="003927F2">
        <w:rPr>
          <w:rFonts w:ascii="Arial" w:hAnsi="Arial" w:cs="Arial"/>
          <w:sz w:val="20"/>
          <w:szCs w:val="20"/>
        </w:rPr>
        <w:t>)</w:t>
      </w:r>
      <w:r w:rsidRPr="00B4189F">
        <w:rPr>
          <w:rFonts w:ascii="Arial" w:hAnsi="Arial" w:cs="Arial"/>
          <w:sz w:val="20"/>
          <w:szCs w:val="20"/>
        </w:rPr>
        <w:t xml:space="preserve"> </w:t>
      </w:r>
      <w:r w:rsidR="003927F2">
        <w:rPr>
          <w:rFonts w:ascii="Arial" w:hAnsi="Arial" w:cs="Arial"/>
          <w:sz w:val="20"/>
          <w:szCs w:val="20"/>
        </w:rPr>
        <w:t>(</w:t>
      </w:r>
      <w:r w:rsidRPr="00B4189F">
        <w:rPr>
          <w:rFonts w:ascii="Arial" w:hAnsi="Arial" w:cs="Arial"/>
          <w:sz w:val="20"/>
          <w:szCs w:val="20"/>
        </w:rPr>
        <w:t>OUP</w:t>
      </w:r>
      <w:r w:rsidR="003927F2">
        <w:rPr>
          <w:rFonts w:ascii="Arial" w:hAnsi="Arial" w:cs="Arial"/>
          <w:sz w:val="20"/>
          <w:szCs w:val="20"/>
        </w:rPr>
        <w:t>,</w:t>
      </w:r>
      <w:r w:rsidRPr="00B4189F">
        <w:rPr>
          <w:rFonts w:ascii="Arial" w:hAnsi="Arial" w:cs="Arial"/>
          <w:sz w:val="20"/>
          <w:szCs w:val="20"/>
        </w:rPr>
        <w:t xml:space="preserve"> 201</w:t>
      </w:r>
      <w:r w:rsidR="009757BD">
        <w:rPr>
          <w:rFonts w:ascii="Arial" w:hAnsi="Arial" w:cs="Arial"/>
          <w:sz w:val="20"/>
          <w:szCs w:val="20"/>
        </w:rPr>
        <w:t xml:space="preserve">7 </w:t>
      </w:r>
      <w:r w:rsidRPr="00B4189F">
        <w:rPr>
          <w:rFonts w:ascii="Arial" w:hAnsi="Arial" w:cs="Arial"/>
          <w:sz w:val="20"/>
          <w:szCs w:val="20"/>
        </w:rPr>
        <w:t>or later edition if published)</w:t>
      </w:r>
    </w:p>
    <w:p w14:paraId="51EB4A65" w14:textId="4E7B2E87" w:rsidR="00B4189F" w:rsidRPr="00B4189F" w:rsidRDefault="003927F2" w:rsidP="00B4189F">
      <w:pPr>
        <w:pStyle w:val="ListParagraph"/>
        <w:numPr>
          <w:ilvl w:val="0"/>
          <w:numId w:val="17"/>
        </w:numPr>
        <w:spacing w:after="120" w:line="240" w:lineRule="auto"/>
        <w:ind w:right="260"/>
        <w:rPr>
          <w:rFonts w:ascii="Arial" w:hAnsi="Arial" w:cs="Arial"/>
          <w:sz w:val="20"/>
          <w:szCs w:val="20"/>
        </w:rPr>
      </w:pPr>
      <w:r>
        <w:rPr>
          <w:rFonts w:ascii="Arial" w:hAnsi="Arial" w:cs="Arial"/>
          <w:sz w:val="20"/>
          <w:szCs w:val="20"/>
        </w:rPr>
        <w:t>Rackley, E, and Richardson, J</w:t>
      </w:r>
      <w:r w:rsidR="00B4189F" w:rsidRPr="00B4189F">
        <w:rPr>
          <w:rFonts w:ascii="Arial" w:hAnsi="Arial" w:cs="Arial"/>
          <w:sz w:val="20"/>
          <w:szCs w:val="20"/>
        </w:rPr>
        <w:t xml:space="preserve">, </w:t>
      </w:r>
      <w:r w:rsidR="00B4189F" w:rsidRPr="006D1F38">
        <w:rPr>
          <w:rFonts w:ascii="Arial" w:hAnsi="Arial" w:cs="Arial"/>
          <w:i/>
          <w:sz w:val="20"/>
          <w:szCs w:val="20"/>
        </w:rPr>
        <w:t>Feminist Perspectives on Tort</w:t>
      </w:r>
      <w:r w:rsidR="00B4189F" w:rsidRPr="00B4189F">
        <w:rPr>
          <w:rFonts w:ascii="Arial" w:hAnsi="Arial" w:cs="Arial"/>
          <w:sz w:val="20"/>
          <w:szCs w:val="20"/>
        </w:rPr>
        <w:t xml:space="preserve"> (Routledge-Cavendish, </w:t>
      </w:r>
      <w:r w:rsidR="004074A7">
        <w:rPr>
          <w:rFonts w:ascii="Arial" w:hAnsi="Arial" w:cs="Arial"/>
          <w:sz w:val="20"/>
          <w:szCs w:val="20"/>
        </w:rPr>
        <w:t>2012</w:t>
      </w:r>
      <w:r w:rsidR="00B4189F" w:rsidRPr="00B4189F">
        <w:rPr>
          <w:rFonts w:ascii="Arial" w:hAnsi="Arial" w:cs="Arial"/>
          <w:sz w:val="20"/>
          <w:szCs w:val="20"/>
        </w:rPr>
        <w:t>)</w:t>
      </w:r>
    </w:p>
    <w:p w14:paraId="5D799861" w14:textId="35080CCE" w:rsidR="00DE4F08" w:rsidRPr="00317FA0" w:rsidRDefault="00704B74" w:rsidP="00317FA0">
      <w:pPr>
        <w:pStyle w:val="ListParagraph"/>
        <w:numPr>
          <w:ilvl w:val="0"/>
          <w:numId w:val="17"/>
        </w:numPr>
        <w:spacing w:after="120" w:line="240" w:lineRule="auto"/>
        <w:ind w:right="260"/>
        <w:rPr>
          <w:rFonts w:ascii="Arial" w:hAnsi="Arial" w:cs="Arial"/>
          <w:sz w:val="20"/>
          <w:szCs w:val="20"/>
        </w:rPr>
      </w:pPr>
      <w:r w:rsidRPr="00B4189F">
        <w:rPr>
          <w:rFonts w:ascii="Arial" w:hAnsi="Arial" w:cs="Arial"/>
          <w:sz w:val="20"/>
          <w:szCs w:val="20"/>
        </w:rPr>
        <w:t xml:space="preserve">Weir, T </w:t>
      </w:r>
      <w:r w:rsidRPr="006D1F38">
        <w:rPr>
          <w:rFonts w:ascii="Arial" w:hAnsi="Arial" w:cs="Arial"/>
          <w:i/>
          <w:sz w:val="20"/>
          <w:szCs w:val="20"/>
        </w:rPr>
        <w:t>An Introduction to Tort Law</w:t>
      </w:r>
      <w:r w:rsidRPr="00B4189F">
        <w:rPr>
          <w:rFonts w:ascii="Arial" w:hAnsi="Arial" w:cs="Arial"/>
          <w:sz w:val="20"/>
          <w:szCs w:val="20"/>
        </w:rPr>
        <w:t xml:space="preserve"> (OUP, 2006)</w:t>
      </w:r>
      <w:r w:rsidR="004074A7" w:rsidRPr="00317FA0">
        <w:rPr>
          <w:rFonts w:ascii="Arial" w:hAnsi="Arial" w:cs="Arial"/>
          <w:sz w:val="20"/>
          <w:szCs w:val="20"/>
        </w:rPr>
        <w:br/>
        <w:t xml:space="preserve"> </w:t>
      </w:r>
    </w:p>
    <w:p w14:paraId="1CD7972F"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74543E87" w14:textId="77777777" w:rsidR="00A0522A" w:rsidRDefault="00942290" w:rsidP="00942290">
      <w:pPr>
        <w:spacing w:after="120" w:line="240" w:lineRule="auto"/>
        <w:ind w:left="426" w:right="260"/>
        <w:rPr>
          <w:rFonts w:ascii="Arial" w:hAnsi="Arial" w:cs="Arial"/>
          <w:iCs/>
          <w:sz w:val="20"/>
          <w:szCs w:val="20"/>
        </w:rPr>
      </w:pPr>
      <w:r w:rsidRPr="007228A9">
        <w:rPr>
          <w:rFonts w:ascii="Arial" w:hAnsi="Arial" w:cs="Arial"/>
          <w:iCs/>
          <w:sz w:val="20"/>
          <w:szCs w:val="20"/>
        </w:rPr>
        <w:t>The</w:t>
      </w:r>
      <w:r w:rsidR="00A0522A">
        <w:rPr>
          <w:rFonts w:ascii="Arial" w:hAnsi="Arial" w:cs="Arial"/>
          <w:iCs/>
          <w:sz w:val="20"/>
          <w:szCs w:val="20"/>
        </w:rPr>
        <w:t xml:space="preserve"> module will be taught by lectures, seminars and private study.</w:t>
      </w:r>
    </w:p>
    <w:p w14:paraId="2AD58BFB" w14:textId="571CDB3C" w:rsidR="00DB3180" w:rsidRDefault="00DB3180" w:rsidP="00942290">
      <w:pPr>
        <w:spacing w:after="120" w:line="240" w:lineRule="auto"/>
        <w:ind w:left="426" w:right="260"/>
        <w:rPr>
          <w:rFonts w:ascii="Arial" w:hAnsi="Arial" w:cs="Arial"/>
          <w:iCs/>
          <w:sz w:val="20"/>
          <w:szCs w:val="20"/>
        </w:rPr>
      </w:pPr>
      <w:r>
        <w:rPr>
          <w:rFonts w:ascii="Arial" w:hAnsi="Arial" w:cs="Arial"/>
          <w:iCs/>
          <w:sz w:val="20"/>
          <w:szCs w:val="20"/>
        </w:rPr>
        <w:t>Total Study Hours: 150</w:t>
      </w:r>
    </w:p>
    <w:p w14:paraId="2D70EFAC" w14:textId="358783BC" w:rsidR="00A0522A" w:rsidRDefault="00A0522A" w:rsidP="00942290">
      <w:pPr>
        <w:spacing w:after="120" w:line="240" w:lineRule="auto"/>
        <w:ind w:left="426" w:right="260"/>
        <w:rPr>
          <w:rFonts w:ascii="Arial" w:hAnsi="Arial" w:cs="Arial"/>
          <w:iCs/>
          <w:sz w:val="20"/>
          <w:szCs w:val="20"/>
        </w:rPr>
      </w:pPr>
      <w:r>
        <w:rPr>
          <w:rFonts w:ascii="Arial" w:hAnsi="Arial" w:cs="Arial"/>
          <w:iCs/>
          <w:sz w:val="20"/>
          <w:szCs w:val="20"/>
        </w:rPr>
        <w:t>Total Contact Hours: 30</w:t>
      </w:r>
    </w:p>
    <w:p w14:paraId="60A75FC4" w14:textId="6ABD799D" w:rsidR="00A0522A" w:rsidRDefault="00A0522A" w:rsidP="00942290">
      <w:pPr>
        <w:spacing w:after="120" w:line="240" w:lineRule="auto"/>
        <w:ind w:left="426" w:right="260"/>
        <w:rPr>
          <w:rFonts w:ascii="Arial" w:hAnsi="Arial" w:cs="Arial"/>
          <w:iCs/>
          <w:sz w:val="20"/>
          <w:szCs w:val="20"/>
        </w:rPr>
      </w:pPr>
      <w:r>
        <w:rPr>
          <w:rFonts w:ascii="Arial" w:hAnsi="Arial" w:cs="Arial"/>
          <w:iCs/>
          <w:sz w:val="20"/>
          <w:szCs w:val="20"/>
        </w:rPr>
        <w:t>Private Study Hours: 120</w:t>
      </w:r>
    </w:p>
    <w:p w14:paraId="0805D5A9" w14:textId="0DFEFEF6" w:rsidR="00373ACB" w:rsidRPr="00942290" w:rsidRDefault="00373ACB">
      <w:pPr>
        <w:spacing w:after="120" w:line="240" w:lineRule="auto"/>
        <w:ind w:left="426" w:right="260"/>
        <w:rPr>
          <w:rFonts w:ascii="Arial" w:hAnsi="Arial" w:cs="Arial"/>
          <w:iCs/>
          <w:sz w:val="20"/>
          <w:szCs w:val="20"/>
        </w:rPr>
      </w:pPr>
    </w:p>
    <w:p w14:paraId="62E25C7B" w14:textId="26630940"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4066926C" w14:textId="2E33587E" w:rsidR="001222DB" w:rsidRPr="001222DB" w:rsidRDefault="001222DB" w:rsidP="001222DB">
      <w:pPr>
        <w:spacing w:after="120" w:line="240" w:lineRule="auto"/>
        <w:ind w:left="426" w:right="260"/>
        <w:rPr>
          <w:rFonts w:ascii="Arial" w:hAnsi="Arial" w:cs="Arial"/>
          <w:iCs/>
          <w:sz w:val="20"/>
          <w:szCs w:val="20"/>
          <w:u w:val="single"/>
        </w:rPr>
      </w:pPr>
      <w:r w:rsidRPr="001222DB">
        <w:rPr>
          <w:rFonts w:ascii="Arial" w:hAnsi="Arial" w:cs="Arial"/>
          <w:iCs/>
          <w:sz w:val="20"/>
          <w:szCs w:val="20"/>
          <w:u w:val="single"/>
        </w:rPr>
        <w:t>13.1 Main assessment methods</w:t>
      </w:r>
      <w:r>
        <w:rPr>
          <w:rFonts w:ascii="Arial" w:hAnsi="Arial" w:cs="Arial"/>
          <w:iCs/>
          <w:sz w:val="20"/>
          <w:szCs w:val="20"/>
          <w:u w:val="single"/>
        </w:rPr>
        <w:br/>
      </w:r>
    </w:p>
    <w:p w14:paraId="44462FA5" w14:textId="32E56AB7" w:rsidR="00CC75A8" w:rsidRPr="00CC75A8" w:rsidRDefault="00CC75A8" w:rsidP="00CC75A8">
      <w:pPr>
        <w:spacing w:after="120" w:line="240" w:lineRule="auto"/>
        <w:ind w:left="426" w:right="260"/>
        <w:rPr>
          <w:rFonts w:ascii="Arial" w:hAnsi="Arial" w:cs="Arial"/>
          <w:iCs/>
          <w:sz w:val="20"/>
          <w:szCs w:val="20"/>
        </w:rPr>
      </w:pPr>
      <w:r w:rsidRPr="00CC75A8">
        <w:rPr>
          <w:rFonts w:ascii="Arial" w:hAnsi="Arial" w:cs="Arial"/>
          <w:iCs/>
          <w:sz w:val="20"/>
          <w:szCs w:val="20"/>
        </w:rPr>
        <w:t xml:space="preserve">The module will be assessed by </w:t>
      </w:r>
      <w:r w:rsidR="00986CD3">
        <w:rPr>
          <w:rFonts w:ascii="Arial" w:hAnsi="Arial" w:cs="Arial"/>
          <w:iCs/>
          <w:sz w:val="20"/>
          <w:szCs w:val="20"/>
        </w:rPr>
        <w:t>4</w:t>
      </w:r>
      <w:r w:rsidR="00986CD3" w:rsidRPr="00CC75A8">
        <w:rPr>
          <w:rFonts w:ascii="Arial" w:hAnsi="Arial" w:cs="Arial"/>
          <w:iCs/>
          <w:sz w:val="20"/>
          <w:szCs w:val="20"/>
        </w:rPr>
        <w:t>0</w:t>
      </w:r>
      <w:r w:rsidRPr="00CC75A8">
        <w:rPr>
          <w:rFonts w:ascii="Arial" w:hAnsi="Arial" w:cs="Arial"/>
          <w:iCs/>
          <w:sz w:val="20"/>
          <w:szCs w:val="20"/>
        </w:rPr>
        <w:t xml:space="preserve">% coursework and </w:t>
      </w:r>
      <w:r w:rsidR="00986CD3">
        <w:rPr>
          <w:rFonts w:ascii="Arial" w:hAnsi="Arial" w:cs="Arial"/>
          <w:iCs/>
          <w:sz w:val="20"/>
          <w:szCs w:val="20"/>
        </w:rPr>
        <w:t>6</w:t>
      </w:r>
      <w:r w:rsidRPr="00CC75A8">
        <w:rPr>
          <w:rFonts w:ascii="Arial" w:hAnsi="Arial" w:cs="Arial"/>
          <w:iCs/>
          <w:sz w:val="20"/>
          <w:szCs w:val="20"/>
        </w:rPr>
        <w:t>0% examination according to the following breakdown:</w:t>
      </w:r>
    </w:p>
    <w:p w14:paraId="539EA38F" w14:textId="77777777" w:rsidR="00CC75A8" w:rsidRPr="00CC75A8" w:rsidRDefault="00CC75A8" w:rsidP="00CC75A8">
      <w:pPr>
        <w:spacing w:after="120" w:line="240" w:lineRule="auto"/>
        <w:ind w:left="426" w:right="260"/>
        <w:rPr>
          <w:rFonts w:ascii="Arial" w:hAnsi="Arial" w:cs="Arial"/>
          <w:iCs/>
          <w:sz w:val="20"/>
          <w:szCs w:val="20"/>
        </w:rPr>
      </w:pPr>
    </w:p>
    <w:p w14:paraId="07F57DE5" w14:textId="2AC3BB1C" w:rsidR="00CC75A8" w:rsidRPr="00AE7321" w:rsidRDefault="00CC75A8" w:rsidP="00CC75A8">
      <w:pPr>
        <w:spacing w:after="120" w:line="240" w:lineRule="auto"/>
        <w:ind w:left="426" w:right="260"/>
        <w:rPr>
          <w:rFonts w:ascii="Arial" w:hAnsi="Arial" w:cs="Arial"/>
          <w:b/>
          <w:iCs/>
          <w:sz w:val="20"/>
          <w:szCs w:val="20"/>
          <w:u w:val="single"/>
        </w:rPr>
      </w:pPr>
      <w:r w:rsidRPr="00AE7321">
        <w:rPr>
          <w:rFonts w:ascii="Arial" w:hAnsi="Arial" w:cs="Arial"/>
          <w:b/>
          <w:iCs/>
          <w:sz w:val="20"/>
          <w:szCs w:val="20"/>
          <w:u w:val="single"/>
        </w:rPr>
        <w:t>Coursework</w:t>
      </w:r>
      <w:r w:rsidR="00DB3180" w:rsidRPr="00AE7321">
        <w:rPr>
          <w:rFonts w:ascii="Arial" w:hAnsi="Arial" w:cs="Arial"/>
          <w:b/>
          <w:iCs/>
          <w:sz w:val="20"/>
          <w:szCs w:val="20"/>
          <w:u w:val="single"/>
        </w:rPr>
        <w:t xml:space="preserve"> (40%)</w:t>
      </w:r>
    </w:p>
    <w:p w14:paraId="13E77465" w14:textId="2859496F" w:rsidR="00DB3180" w:rsidRDefault="00571F96" w:rsidP="00CC75A8">
      <w:pPr>
        <w:spacing w:after="120" w:line="240" w:lineRule="auto"/>
        <w:ind w:left="426" w:right="260"/>
        <w:rPr>
          <w:rFonts w:ascii="Arial" w:hAnsi="Arial" w:cs="Arial"/>
          <w:iCs/>
          <w:sz w:val="20"/>
          <w:szCs w:val="20"/>
        </w:rPr>
      </w:pPr>
      <w:r>
        <w:rPr>
          <w:rFonts w:ascii="Arial" w:hAnsi="Arial" w:cs="Arial"/>
          <w:iCs/>
          <w:sz w:val="20"/>
          <w:szCs w:val="20"/>
        </w:rPr>
        <w:br/>
      </w:r>
      <w:r w:rsidR="00DB3180" w:rsidRPr="00AE7321">
        <w:rPr>
          <w:rFonts w:ascii="Arial" w:hAnsi="Arial" w:cs="Arial"/>
          <w:b/>
          <w:iCs/>
          <w:sz w:val="20"/>
          <w:szCs w:val="20"/>
        </w:rPr>
        <w:t>Either:</w:t>
      </w:r>
      <w:r w:rsidR="00DB3180">
        <w:rPr>
          <w:rFonts w:ascii="Arial" w:hAnsi="Arial" w:cs="Arial"/>
          <w:iCs/>
          <w:sz w:val="20"/>
          <w:szCs w:val="20"/>
        </w:rPr>
        <w:t xml:space="preserve">  </w:t>
      </w:r>
      <w:r w:rsidR="00CC75A8" w:rsidRPr="00CC75A8">
        <w:rPr>
          <w:rFonts w:ascii="Arial" w:hAnsi="Arial" w:cs="Arial"/>
          <w:iCs/>
          <w:sz w:val="20"/>
          <w:szCs w:val="20"/>
        </w:rPr>
        <w:t>A written legal problem question assessment</w:t>
      </w:r>
      <w:r w:rsidR="00DB3180">
        <w:rPr>
          <w:rFonts w:ascii="Arial" w:hAnsi="Arial" w:cs="Arial"/>
          <w:iCs/>
          <w:sz w:val="20"/>
          <w:szCs w:val="20"/>
        </w:rPr>
        <w:t>,</w:t>
      </w:r>
      <w:r w:rsidR="00CC75A8" w:rsidRPr="00CC75A8">
        <w:rPr>
          <w:rFonts w:ascii="Arial" w:hAnsi="Arial" w:cs="Arial"/>
          <w:iCs/>
          <w:sz w:val="20"/>
          <w:szCs w:val="20"/>
        </w:rPr>
        <w:t xml:space="preserve"> 2000 words</w:t>
      </w:r>
      <w:r w:rsidR="00DB3180">
        <w:rPr>
          <w:rFonts w:ascii="Arial" w:hAnsi="Arial" w:cs="Arial"/>
          <w:iCs/>
          <w:sz w:val="20"/>
          <w:szCs w:val="20"/>
        </w:rPr>
        <w:t xml:space="preserve">, </w:t>
      </w:r>
    </w:p>
    <w:p w14:paraId="6FEB5E9B" w14:textId="6D73A4C6" w:rsidR="00CC75A8" w:rsidRPr="00CC75A8" w:rsidRDefault="00DB3180" w:rsidP="00CC75A8">
      <w:pPr>
        <w:spacing w:after="120" w:line="240" w:lineRule="auto"/>
        <w:ind w:left="426" w:right="260"/>
        <w:rPr>
          <w:rFonts w:ascii="Arial" w:hAnsi="Arial" w:cs="Arial"/>
          <w:iCs/>
          <w:sz w:val="20"/>
          <w:szCs w:val="20"/>
        </w:rPr>
      </w:pPr>
      <w:r w:rsidRPr="00AE7321">
        <w:rPr>
          <w:rFonts w:ascii="Arial" w:hAnsi="Arial" w:cs="Arial"/>
          <w:b/>
          <w:iCs/>
          <w:sz w:val="20"/>
          <w:szCs w:val="20"/>
        </w:rPr>
        <w:t>Or:</w:t>
      </w:r>
      <w:r w:rsidR="00CC75A8" w:rsidRPr="00CC75A8">
        <w:rPr>
          <w:rFonts w:ascii="Arial" w:hAnsi="Arial" w:cs="Arial"/>
          <w:iCs/>
          <w:sz w:val="20"/>
          <w:szCs w:val="20"/>
        </w:rPr>
        <w:t xml:space="preserve"> with the consent of the </w:t>
      </w:r>
      <w:r w:rsidR="00571F96">
        <w:rPr>
          <w:rFonts w:ascii="Arial" w:hAnsi="Arial" w:cs="Arial"/>
          <w:iCs/>
          <w:sz w:val="20"/>
          <w:szCs w:val="20"/>
        </w:rPr>
        <w:t>module</w:t>
      </w:r>
      <w:r w:rsidR="00CC75A8" w:rsidRPr="00CC75A8">
        <w:rPr>
          <w:rFonts w:ascii="Arial" w:hAnsi="Arial" w:cs="Arial"/>
          <w:iCs/>
          <w:sz w:val="20"/>
          <w:szCs w:val="20"/>
        </w:rPr>
        <w:t xml:space="preserve"> convenor, an assessed moot</w:t>
      </w:r>
      <w:r>
        <w:rPr>
          <w:rFonts w:ascii="Arial" w:hAnsi="Arial" w:cs="Arial"/>
          <w:iCs/>
          <w:sz w:val="20"/>
          <w:szCs w:val="20"/>
        </w:rPr>
        <w:t xml:space="preserve"> (</w:t>
      </w:r>
      <w:r w:rsidR="00F13955" w:rsidRPr="00F13955">
        <w:rPr>
          <w:rFonts w:ascii="Arial" w:hAnsi="Arial" w:cs="Arial"/>
          <w:iCs/>
          <w:sz w:val="20"/>
          <w:szCs w:val="20"/>
        </w:rPr>
        <w:t>15 minutes</w:t>
      </w:r>
      <w:r>
        <w:rPr>
          <w:rFonts w:ascii="Arial" w:hAnsi="Arial" w:cs="Arial"/>
          <w:iCs/>
          <w:sz w:val="20"/>
          <w:szCs w:val="20"/>
        </w:rPr>
        <w:t xml:space="preserve">, in pairs, </w:t>
      </w:r>
      <w:r w:rsidR="00F13955" w:rsidRPr="00F13955">
        <w:rPr>
          <w:rFonts w:ascii="Arial" w:hAnsi="Arial" w:cs="Arial"/>
          <w:iCs/>
          <w:sz w:val="20"/>
          <w:szCs w:val="20"/>
        </w:rPr>
        <w:t>but assessed individually) and a one-page skeleton argument</w:t>
      </w:r>
      <w:r w:rsidR="009757BD">
        <w:rPr>
          <w:rFonts w:ascii="Arial" w:hAnsi="Arial" w:cs="Arial"/>
          <w:iCs/>
          <w:sz w:val="20"/>
          <w:szCs w:val="20"/>
        </w:rPr>
        <w:t xml:space="preserve"> (subject to availability).</w:t>
      </w:r>
    </w:p>
    <w:p w14:paraId="339944CA" w14:textId="77777777" w:rsidR="00CC75A8" w:rsidRDefault="00CC75A8" w:rsidP="00CC75A8">
      <w:pPr>
        <w:spacing w:after="120" w:line="240" w:lineRule="auto"/>
        <w:ind w:left="426" w:right="260"/>
        <w:rPr>
          <w:rFonts w:ascii="Arial" w:hAnsi="Arial" w:cs="Arial"/>
          <w:iCs/>
          <w:sz w:val="20"/>
          <w:szCs w:val="20"/>
        </w:rPr>
      </w:pPr>
    </w:p>
    <w:p w14:paraId="49437F6B" w14:textId="77777777" w:rsidR="00F11FD3" w:rsidRPr="00CC75A8" w:rsidRDefault="00F11FD3" w:rsidP="00CC75A8">
      <w:pPr>
        <w:spacing w:after="120" w:line="240" w:lineRule="auto"/>
        <w:ind w:left="426" w:right="260"/>
        <w:rPr>
          <w:rFonts w:ascii="Arial" w:hAnsi="Arial" w:cs="Arial"/>
          <w:iCs/>
          <w:sz w:val="20"/>
          <w:szCs w:val="20"/>
        </w:rPr>
      </w:pPr>
    </w:p>
    <w:p w14:paraId="19F0C331" w14:textId="4ABB001C" w:rsidR="00CC75A8" w:rsidRPr="00AE7321" w:rsidRDefault="00CC75A8" w:rsidP="00CC75A8">
      <w:pPr>
        <w:spacing w:after="120" w:line="240" w:lineRule="auto"/>
        <w:ind w:left="426" w:right="260"/>
        <w:rPr>
          <w:rFonts w:ascii="Arial" w:hAnsi="Arial" w:cs="Arial"/>
          <w:b/>
          <w:iCs/>
          <w:sz w:val="20"/>
          <w:szCs w:val="20"/>
          <w:u w:val="single"/>
        </w:rPr>
      </w:pPr>
      <w:r w:rsidRPr="00AE7321">
        <w:rPr>
          <w:rFonts w:ascii="Arial" w:hAnsi="Arial" w:cs="Arial"/>
          <w:b/>
          <w:iCs/>
          <w:sz w:val="20"/>
          <w:szCs w:val="20"/>
          <w:u w:val="single"/>
        </w:rPr>
        <w:t>Examination</w:t>
      </w:r>
      <w:r w:rsidR="00DB3180" w:rsidRPr="00AE7321">
        <w:rPr>
          <w:rFonts w:ascii="Arial" w:hAnsi="Arial" w:cs="Arial"/>
          <w:b/>
          <w:iCs/>
          <w:sz w:val="20"/>
          <w:szCs w:val="20"/>
          <w:u w:val="single"/>
        </w:rPr>
        <w:t xml:space="preserve"> (60%)</w:t>
      </w:r>
    </w:p>
    <w:p w14:paraId="3D7C16DF" w14:textId="77777777" w:rsidR="00F11FD3" w:rsidRDefault="00F11FD3" w:rsidP="00CC75A8">
      <w:pPr>
        <w:spacing w:after="120" w:line="240" w:lineRule="auto"/>
        <w:ind w:left="426" w:right="260"/>
        <w:rPr>
          <w:rFonts w:ascii="Arial" w:hAnsi="Arial" w:cs="Arial"/>
          <w:iCs/>
          <w:sz w:val="20"/>
          <w:szCs w:val="20"/>
        </w:rPr>
      </w:pPr>
    </w:p>
    <w:p w14:paraId="511F9F3C" w14:textId="5C4E4860" w:rsidR="00DB3180" w:rsidRDefault="00CC75A8" w:rsidP="00CC75A8">
      <w:pPr>
        <w:spacing w:after="120" w:line="240" w:lineRule="auto"/>
        <w:ind w:left="426" w:right="260"/>
        <w:rPr>
          <w:rFonts w:ascii="Arial" w:hAnsi="Arial" w:cs="Arial"/>
          <w:iCs/>
          <w:sz w:val="20"/>
          <w:szCs w:val="20"/>
        </w:rPr>
      </w:pPr>
      <w:r w:rsidRPr="00CC75A8">
        <w:rPr>
          <w:rFonts w:ascii="Arial" w:hAnsi="Arial" w:cs="Arial"/>
          <w:iCs/>
          <w:sz w:val="20"/>
          <w:szCs w:val="20"/>
        </w:rPr>
        <w:t xml:space="preserve">2-hour </w:t>
      </w:r>
      <w:r w:rsidR="00DB3180" w:rsidRPr="00CC75A8">
        <w:rPr>
          <w:rFonts w:ascii="Arial" w:hAnsi="Arial" w:cs="Arial"/>
          <w:iCs/>
          <w:sz w:val="20"/>
          <w:szCs w:val="20"/>
        </w:rPr>
        <w:t xml:space="preserve">unseen </w:t>
      </w:r>
      <w:r w:rsidRPr="00CC75A8">
        <w:rPr>
          <w:rFonts w:ascii="Arial" w:hAnsi="Arial" w:cs="Arial"/>
          <w:iCs/>
          <w:sz w:val="20"/>
          <w:szCs w:val="20"/>
        </w:rPr>
        <w:t>examination</w:t>
      </w:r>
      <w:r w:rsidR="00DB3180">
        <w:rPr>
          <w:rFonts w:ascii="Arial" w:hAnsi="Arial" w:cs="Arial"/>
          <w:iCs/>
          <w:sz w:val="20"/>
          <w:szCs w:val="20"/>
        </w:rPr>
        <w:t>.</w:t>
      </w:r>
    </w:p>
    <w:p w14:paraId="450CBD6C" w14:textId="00A7C8B0" w:rsidR="00373ACB" w:rsidRDefault="001222DB" w:rsidP="00CC75A8">
      <w:pPr>
        <w:spacing w:after="120" w:line="240" w:lineRule="auto"/>
        <w:ind w:left="426" w:right="260"/>
        <w:rPr>
          <w:rFonts w:ascii="Arial" w:hAnsi="Arial" w:cs="Arial"/>
          <w:b/>
          <w:i/>
          <w:iCs/>
          <w:sz w:val="20"/>
          <w:szCs w:val="20"/>
        </w:rPr>
      </w:pPr>
      <w:r>
        <w:rPr>
          <w:rFonts w:ascii="Arial" w:hAnsi="Arial" w:cs="Arial"/>
          <w:iCs/>
          <w:sz w:val="20"/>
          <w:szCs w:val="20"/>
        </w:rPr>
        <w:br/>
      </w:r>
      <w:r w:rsidRPr="001222DB">
        <w:rPr>
          <w:rFonts w:ascii="Arial" w:hAnsi="Arial" w:cs="Arial"/>
          <w:iCs/>
          <w:sz w:val="20"/>
          <w:szCs w:val="20"/>
          <w:u w:val="single"/>
        </w:rPr>
        <w:t>13.2 Reassessment methods</w:t>
      </w:r>
      <w:r w:rsidR="00CC75A8">
        <w:rPr>
          <w:rFonts w:ascii="Arial" w:hAnsi="Arial" w:cs="Arial"/>
          <w:iCs/>
          <w:sz w:val="20"/>
          <w:szCs w:val="20"/>
        </w:rPr>
        <w:br/>
      </w:r>
    </w:p>
    <w:p w14:paraId="40F0D94D" w14:textId="5B527A6B" w:rsidR="001222DB" w:rsidRPr="001222DB" w:rsidRDefault="001222DB" w:rsidP="001222DB">
      <w:pPr>
        <w:spacing w:after="120" w:line="240" w:lineRule="auto"/>
        <w:ind w:left="426" w:right="260"/>
        <w:rPr>
          <w:rFonts w:ascii="Arial" w:hAnsi="Arial" w:cs="Arial"/>
          <w:iCs/>
          <w:sz w:val="20"/>
          <w:szCs w:val="20"/>
        </w:rPr>
      </w:pPr>
      <w:r w:rsidRPr="001222DB">
        <w:rPr>
          <w:rFonts w:ascii="Arial" w:hAnsi="Arial" w:cs="Arial"/>
          <w:iCs/>
          <w:sz w:val="20"/>
          <w:szCs w:val="20"/>
        </w:rPr>
        <w:t xml:space="preserve">The module will be reassessed by </w:t>
      </w:r>
      <w:r>
        <w:rPr>
          <w:rFonts w:ascii="Arial" w:hAnsi="Arial" w:cs="Arial"/>
          <w:iCs/>
          <w:sz w:val="20"/>
          <w:szCs w:val="20"/>
        </w:rPr>
        <w:t>l</w:t>
      </w:r>
      <w:r w:rsidRPr="001222DB">
        <w:rPr>
          <w:rFonts w:ascii="Arial" w:hAnsi="Arial" w:cs="Arial"/>
          <w:iCs/>
          <w:sz w:val="20"/>
          <w:szCs w:val="20"/>
        </w:rPr>
        <w:t>ike-for-like reassessment of failed individual component(s) of assessment</w:t>
      </w:r>
      <w:r>
        <w:rPr>
          <w:rFonts w:ascii="Arial" w:hAnsi="Arial" w:cs="Arial"/>
          <w:iCs/>
          <w:sz w:val="20"/>
          <w:szCs w:val="20"/>
        </w:rPr>
        <w:t>.</w:t>
      </w:r>
      <w:r w:rsidRPr="001222DB">
        <w:rPr>
          <w:rFonts w:ascii="Arial" w:hAnsi="Arial" w:cs="Arial"/>
          <w:iCs/>
          <w:sz w:val="20"/>
          <w:szCs w:val="20"/>
        </w:rPr>
        <w:t xml:space="preserve"> </w:t>
      </w:r>
      <w:r>
        <w:rPr>
          <w:rFonts w:ascii="Arial" w:hAnsi="Arial" w:cs="Arial"/>
          <w:iCs/>
          <w:sz w:val="20"/>
          <w:szCs w:val="20"/>
        </w:rPr>
        <w:t xml:space="preserve">The </w:t>
      </w:r>
      <w:r w:rsidRPr="001222DB">
        <w:rPr>
          <w:rFonts w:ascii="Arial" w:hAnsi="Arial" w:cs="Arial"/>
          <w:iCs/>
          <w:sz w:val="20"/>
          <w:szCs w:val="20"/>
        </w:rPr>
        <w:t>re</w:t>
      </w:r>
      <w:r>
        <w:rPr>
          <w:rFonts w:ascii="Arial" w:hAnsi="Arial" w:cs="Arial"/>
          <w:iCs/>
          <w:sz w:val="20"/>
          <w:szCs w:val="20"/>
        </w:rPr>
        <w:t>-</w:t>
      </w:r>
      <w:r w:rsidRPr="001222DB">
        <w:rPr>
          <w:rFonts w:ascii="Arial" w:hAnsi="Arial" w:cs="Arial"/>
          <w:iCs/>
          <w:sz w:val="20"/>
          <w:szCs w:val="20"/>
        </w:rPr>
        <w:t xml:space="preserve">assessment will </w:t>
      </w:r>
      <w:r>
        <w:rPr>
          <w:rFonts w:ascii="Arial" w:hAnsi="Arial" w:cs="Arial"/>
          <w:iCs/>
          <w:sz w:val="20"/>
          <w:szCs w:val="20"/>
        </w:rPr>
        <w:t>re-</w:t>
      </w:r>
      <w:r w:rsidRPr="001222DB">
        <w:rPr>
          <w:rFonts w:ascii="Arial" w:hAnsi="Arial" w:cs="Arial"/>
          <w:iCs/>
          <w:sz w:val="20"/>
          <w:szCs w:val="20"/>
        </w:rPr>
        <w:t xml:space="preserve">test </w:t>
      </w:r>
      <w:r>
        <w:rPr>
          <w:rFonts w:ascii="Arial" w:hAnsi="Arial" w:cs="Arial"/>
          <w:iCs/>
          <w:sz w:val="20"/>
          <w:szCs w:val="20"/>
        </w:rPr>
        <w:t xml:space="preserve">the </w:t>
      </w:r>
      <w:r w:rsidRPr="001222DB">
        <w:rPr>
          <w:rFonts w:ascii="Arial" w:hAnsi="Arial" w:cs="Arial"/>
          <w:iCs/>
          <w:sz w:val="20"/>
          <w:szCs w:val="20"/>
        </w:rPr>
        <w:t xml:space="preserve">learning outcomes </w:t>
      </w:r>
      <w:r>
        <w:rPr>
          <w:rFonts w:ascii="Arial" w:hAnsi="Arial" w:cs="Arial"/>
          <w:iCs/>
          <w:sz w:val="20"/>
          <w:szCs w:val="20"/>
        </w:rPr>
        <w:t>specified in s.14 (below).</w:t>
      </w:r>
      <w:r w:rsidRPr="001222DB">
        <w:rPr>
          <w:rFonts w:ascii="Arial" w:hAnsi="Arial" w:cs="Arial"/>
          <w:iCs/>
          <w:sz w:val="20"/>
          <w:szCs w:val="20"/>
        </w:rPr>
        <w:t xml:space="preserve"> </w:t>
      </w:r>
    </w:p>
    <w:p w14:paraId="54B09BCE" w14:textId="3FEF45DE" w:rsidR="001222DB" w:rsidRPr="00373ACB" w:rsidRDefault="001222DB" w:rsidP="001222DB">
      <w:pPr>
        <w:spacing w:after="120" w:line="240" w:lineRule="auto"/>
        <w:ind w:right="260"/>
        <w:rPr>
          <w:rFonts w:ascii="Arial" w:hAnsi="Arial" w:cs="Arial"/>
          <w:b/>
          <w:i/>
          <w:iCs/>
          <w:sz w:val="20"/>
          <w:szCs w:val="20"/>
        </w:rPr>
      </w:pPr>
    </w:p>
    <w:p w14:paraId="14CBC3C2" w14:textId="77777777" w:rsidR="00274ED7" w:rsidRPr="00373ACB" w:rsidRDefault="00DF2132" w:rsidP="0066061A">
      <w:pPr>
        <w:numPr>
          <w:ilvl w:val="0"/>
          <w:numId w:val="1"/>
        </w:numPr>
        <w:spacing w:after="120" w:line="240" w:lineRule="auto"/>
        <w:ind w:left="426" w:right="260" w:hanging="426"/>
        <w:rPr>
          <w:rFonts w:ascii="Arial" w:hAnsi="Arial" w:cs="Arial"/>
          <w:b/>
          <w:i/>
          <w:iCs/>
          <w:sz w:val="20"/>
          <w:szCs w:val="20"/>
        </w:rPr>
      </w:pPr>
      <w:r>
        <w:rPr>
          <w:rFonts w:ascii="Arial" w:hAnsi="Arial" w:cs="Arial"/>
          <w:b/>
          <w:i/>
          <w:iCs/>
          <w:sz w:val="20"/>
          <w:szCs w:val="20"/>
        </w:rPr>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6821B60D"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4467" w:type="pct"/>
        <w:jc w:val="center"/>
        <w:tblLayout w:type="fixed"/>
        <w:tblLook w:val="04A0" w:firstRow="1" w:lastRow="0" w:firstColumn="1" w:lastColumn="0" w:noHBand="0" w:noVBand="1"/>
      </w:tblPr>
      <w:tblGrid>
        <w:gridCol w:w="1307"/>
        <w:gridCol w:w="1355"/>
        <w:gridCol w:w="556"/>
        <w:gridCol w:w="557"/>
        <w:gridCol w:w="557"/>
        <w:gridCol w:w="557"/>
        <w:gridCol w:w="557"/>
        <w:gridCol w:w="557"/>
        <w:gridCol w:w="557"/>
        <w:gridCol w:w="557"/>
        <w:gridCol w:w="557"/>
        <w:gridCol w:w="557"/>
        <w:gridCol w:w="557"/>
        <w:gridCol w:w="553"/>
      </w:tblGrid>
      <w:tr w:rsidR="00DB719E" w:rsidRPr="00373ACB" w14:paraId="3FF6D9C0" w14:textId="77777777" w:rsidTr="00AE7321">
        <w:trPr>
          <w:trHeight w:val="397"/>
          <w:jc w:val="center"/>
        </w:trPr>
        <w:tc>
          <w:tcPr>
            <w:tcW w:w="1426" w:type="pct"/>
            <w:gridSpan w:val="2"/>
            <w:shd w:val="clear" w:color="auto" w:fill="D9D9D9" w:themeFill="background1" w:themeFillShade="D9"/>
            <w:vAlign w:val="center"/>
          </w:tcPr>
          <w:p w14:paraId="705202FC" w14:textId="77777777" w:rsidR="00DB719E" w:rsidRPr="00373ACB" w:rsidRDefault="00DB719E" w:rsidP="00571F96">
            <w:pPr>
              <w:spacing w:after="120"/>
              <w:rPr>
                <w:rFonts w:ascii="Arial" w:hAnsi="Arial" w:cs="Arial"/>
                <w:i/>
                <w:sz w:val="20"/>
                <w:szCs w:val="20"/>
              </w:rPr>
            </w:pPr>
            <w:r w:rsidRPr="00373ACB">
              <w:rPr>
                <w:rFonts w:ascii="Arial" w:hAnsi="Arial" w:cs="Arial"/>
                <w:b/>
                <w:sz w:val="20"/>
                <w:szCs w:val="20"/>
              </w:rPr>
              <w:t>Module learning outcome</w:t>
            </w:r>
          </w:p>
        </w:tc>
        <w:tc>
          <w:tcPr>
            <w:tcW w:w="298" w:type="pct"/>
            <w:vAlign w:val="center"/>
          </w:tcPr>
          <w:p w14:paraId="15497DD4" w14:textId="510348B4" w:rsidR="00DB719E" w:rsidRPr="007103E4" w:rsidRDefault="00DB719E" w:rsidP="00571F96">
            <w:pPr>
              <w:spacing w:after="120"/>
              <w:rPr>
                <w:rFonts w:ascii="Arial" w:hAnsi="Arial" w:cs="Arial"/>
                <w:sz w:val="20"/>
                <w:szCs w:val="20"/>
              </w:rPr>
            </w:pPr>
            <w:r>
              <w:rPr>
                <w:rFonts w:ascii="Arial" w:hAnsi="Arial" w:cs="Arial"/>
                <w:sz w:val="20"/>
                <w:szCs w:val="20"/>
              </w:rPr>
              <w:t>8.1</w:t>
            </w:r>
          </w:p>
        </w:tc>
        <w:tc>
          <w:tcPr>
            <w:tcW w:w="298" w:type="pct"/>
            <w:vAlign w:val="center"/>
          </w:tcPr>
          <w:p w14:paraId="3F6CE04B" w14:textId="25410E14" w:rsidR="00DB719E" w:rsidRPr="007103E4" w:rsidRDefault="00DB719E" w:rsidP="00571F96">
            <w:pPr>
              <w:spacing w:after="120"/>
              <w:rPr>
                <w:rFonts w:ascii="Arial" w:hAnsi="Arial" w:cs="Arial"/>
                <w:sz w:val="20"/>
                <w:szCs w:val="20"/>
              </w:rPr>
            </w:pPr>
            <w:r>
              <w:rPr>
                <w:rFonts w:ascii="Arial" w:hAnsi="Arial" w:cs="Arial"/>
                <w:sz w:val="20"/>
                <w:szCs w:val="20"/>
              </w:rPr>
              <w:t>8.2</w:t>
            </w:r>
          </w:p>
        </w:tc>
        <w:tc>
          <w:tcPr>
            <w:tcW w:w="298" w:type="pct"/>
            <w:vAlign w:val="center"/>
          </w:tcPr>
          <w:p w14:paraId="318D0FD1" w14:textId="3FCAACE1" w:rsidR="00DB719E" w:rsidRPr="007103E4" w:rsidRDefault="00DB719E">
            <w:pPr>
              <w:spacing w:after="120"/>
              <w:rPr>
                <w:rFonts w:ascii="Arial" w:hAnsi="Arial" w:cs="Arial"/>
                <w:sz w:val="20"/>
                <w:szCs w:val="20"/>
              </w:rPr>
            </w:pPr>
            <w:r>
              <w:rPr>
                <w:rFonts w:ascii="Arial" w:hAnsi="Arial" w:cs="Arial"/>
                <w:sz w:val="20"/>
                <w:szCs w:val="20"/>
              </w:rPr>
              <w:t>8.3</w:t>
            </w:r>
          </w:p>
        </w:tc>
        <w:tc>
          <w:tcPr>
            <w:tcW w:w="298" w:type="pct"/>
            <w:vAlign w:val="center"/>
          </w:tcPr>
          <w:p w14:paraId="0BA4A2AA" w14:textId="5D56FC45" w:rsidR="00DB719E" w:rsidRPr="007103E4" w:rsidRDefault="00DB719E">
            <w:pPr>
              <w:spacing w:after="120"/>
              <w:rPr>
                <w:rFonts w:ascii="Arial" w:hAnsi="Arial" w:cs="Arial"/>
                <w:sz w:val="20"/>
                <w:szCs w:val="20"/>
              </w:rPr>
            </w:pPr>
            <w:r>
              <w:rPr>
                <w:rFonts w:ascii="Arial" w:hAnsi="Arial" w:cs="Arial"/>
                <w:sz w:val="20"/>
                <w:szCs w:val="20"/>
              </w:rPr>
              <w:t>8.4</w:t>
            </w:r>
          </w:p>
        </w:tc>
        <w:tc>
          <w:tcPr>
            <w:tcW w:w="298" w:type="pct"/>
            <w:vAlign w:val="center"/>
          </w:tcPr>
          <w:p w14:paraId="46011026" w14:textId="6D18C1C6" w:rsidR="00DB719E" w:rsidRPr="007103E4" w:rsidRDefault="00DB719E">
            <w:pPr>
              <w:spacing w:after="120"/>
              <w:rPr>
                <w:rFonts w:ascii="Arial" w:hAnsi="Arial" w:cs="Arial"/>
                <w:sz w:val="20"/>
                <w:szCs w:val="20"/>
              </w:rPr>
            </w:pPr>
            <w:r>
              <w:rPr>
                <w:rFonts w:ascii="Arial" w:hAnsi="Arial" w:cs="Arial"/>
                <w:sz w:val="20"/>
                <w:szCs w:val="20"/>
              </w:rPr>
              <w:t>8.5</w:t>
            </w:r>
          </w:p>
        </w:tc>
        <w:tc>
          <w:tcPr>
            <w:tcW w:w="298" w:type="pct"/>
            <w:vAlign w:val="center"/>
          </w:tcPr>
          <w:p w14:paraId="31D56B15" w14:textId="69CEB98B" w:rsidR="00DB719E" w:rsidRPr="007103E4" w:rsidRDefault="00DB719E">
            <w:pPr>
              <w:spacing w:after="120"/>
              <w:rPr>
                <w:rFonts w:ascii="Arial" w:hAnsi="Arial" w:cs="Arial"/>
                <w:sz w:val="20"/>
                <w:szCs w:val="20"/>
              </w:rPr>
            </w:pPr>
            <w:r>
              <w:rPr>
                <w:rFonts w:ascii="Arial" w:hAnsi="Arial" w:cs="Arial"/>
                <w:sz w:val="20"/>
                <w:szCs w:val="20"/>
              </w:rPr>
              <w:t>8.6</w:t>
            </w:r>
          </w:p>
        </w:tc>
        <w:tc>
          <w:tcPr>
            <w:tcW w:w="298" w:type="pct"/>
            <w:vAlign w:val="center"/>
          </w:tcPr>
          <w:p w14:paraId="6379BFF8" w14:textId="3AB10A00" w:rsidR="00DB719E" w:rsidRPr="007103E4" w:rsidRDefault="00DB719E">
            <w:pPr>
              <w:spacing w:after="120"/>
              <w:rPr>
                <w:rFonts w:ascii="Arial" w:hAnsi="Arial" w:cs="Arial"/>
                <w:sz w:val="20"/>
                <w:szCs w:val="20"/>
              </w:rPr>
            </w:pPr>
            <w:r>
              <w:rPr>
                <w:rFonts w:ascii="Arial" w:hAnsi="Arial" w:cs="Arial"/>
                <w:sz w:val="20"/>
                <w:szCs w:val="20"/>
              </w:rPr>
              <w:t>8.7</w:t>
            </w:r>
          </w:p>
        </w:tc>
        <w:tc>
          <w:tcPr>
            <w:tcW w:w="298" w:type="pct"/>
            <w:vAlign w:val="center"/>
          </w:tcPr>
          <w:p w14:paraId="50C687E7" w14:textId="4AF599A6" w:rsidR="00DB719E" w:rsidRPr="007103E4" w:rsidRDefault="00DB719E" w:rsidP="00571F96">
            <w:pPr>
              <w:spacing w:after="120"/>
              <w:rPr>
                <w:rFonts w:ascii="Arial" w:hAnsi="Arial" w:cs="Arial"/>
                <w:sz w:val="20"/>
                <w:szCs w:val="20"/>
              </w:rPr>
            </w:pPr>
            <w:r>
              <w:rPr>
                <w:rFonts w:ascii="Arial" w:hAnsi="Arial" w:cs="Arial"/>
                <w:sz w:val="20"/>
                <w:szCs w:val="20"/>
              </w:rPr>
              <w:t>9.1</w:t>
            </w:r>
          </w:p>
        </w:tc>
        <w:tc>
          <w:tcPr>
            <w:tcW w:w="298" w:type="pct"/>
            <w:vAlign w:val="center"/>
          </w:tcPr>
          <w:p w14:paraId="6B587797" w14:textId="4B146193" w:rsidR="00DB719E" w:rsidRPr="007103E4" w:rsidRDefault="00DB719E" w:rsidP="00571F96">
            <w:pPr>
              <w:spacing w:after="120"/>
              <w:rPr>
                <w:rFonts w:ascii="Arial" w:hAnsi="Arial" w:cs="Arial"/>
                <w:sz w:val="20"/>
                <w:szCs w:val="20"/>
              </w:rPr>
            </w:pPr>
            <w:r>
              <w:rPr>
                <w:rFonts w:ascii="Arial" w:hAnsi="Arial" w:cs="Arial"/>
                <w:sz w:val="20"/>
                <w:szCs w:val="20"/>
              </w:rPr>
              <w:t>9.2</w:t>
            </w:r>
          </w:p>
        </w:tc>
        <w:tc>
          <w:tcPr>
            <w:tcW w:w="298" w:type="pct"/>
            <w:vAlign w:val="center"/>
          </w:tcPr>
          <w:p w14:paraId="3BF0D16B" w14:textId="67F0304C" w:rsidR="00DB719E" w:rsidRPr="007103E4" w:rsidRDefault="00DB719E" w:rsidP="00571F96">
            <w:pPr>
              <w:spacing w:after="120"/>
              <w:rPr>
                <w:rFonts w:ascii="Arial" w:hAnsi="Arial" w:cs="Arial"/>
                <w:sz w:val="20"/>
                <w:szCs w:val="20"/>
              </w:rPr>
            </w:pPr>
            <w:r>
              <w:rPr>
                <w:rFonts w:ascii="Arial" w:hAnsi="Arial" w:cs="Arial"/>
                <w:sz w:val="20"/>
                <w:szCs w:val="20"/>
              </w:rPr>
              <w:t>9.3</w:t>
            </w:r>
          </w:p>
        </w:tc>
        <w:tc>
          <w:tcPr>
            <w:tcW w:w="298" w:type="pct"/>
            <w:vAlign w:val="center"/>
          </w:tcPr>
          <w:p w14:paraId="209ECF90" w14:textId="0479C308" w:rsidR="00DB719E" w:rsidRPr="007103E4" w:rsidRDefault="00DB719E" w:rsidP="00571F96">
            <w:pPr>
              <w:spacing w:after="120"/>
              <w:rPr>
                <w:rFonts w:ascii="Arial" w:hAnsi="Arial" w:cs="Arial"/>
                <w:sz w:val="20"/>
                <w:szCs w:val="20"/>
              </w:rPr>
            </w:pPr>
            <w:r>
              <w:rPr>
                <w:rFonts w:ascii="Arial" w:hAnsi="Arial" w:cs="Arial"/>
                <w:sz w:val="20"/>
                <w:szCs w:val="20"/>
              </w:rPr>
              <w:t>9.4</w:t>
            </w:r>
          </w:p>
        </w:tc>
        <w:tc>
          <w:tcPr>
            <w:tcW w:w="298" w:type="pct"/>
            <w:vAlign w:val="center"/>
          </w:tcPr>
          <w:p w14:paraId="078D8B0D" w14:textId="4E3BC134" w:rsidR="00DB719E" w:rsidRPr="007103E4" w:rsidRDefault="00DB719E" w:rsidP="00571F96">
            <w:pPr>
              <w:spacing w:after="120"/>
              <w:rPr>
                <w:rFonts w:ascii="Arial" w:hAnsi="Arial" w:cs="Arial"/>
                <w:sz w:val="20"/>
                <w:szCs w:val="20"/>
              </w:rPr>
            </w:pPr>
            <w:r>
              <w:rPr>
                <w:rFonts w:ascii="Arial" w:hAnsi="Arial" w:cs="Arial"/>
                <w:sz w:val="20"/>
                <w:szCs w:val="20"/>
              </w:rPr>
              <w:t>9.5</w:t>
            </w:r>
          </w:p>
        </w:tc>
      </w:tr>
      <w:tr w:rsidR="00DB719E" w:rsidRPr="00373ACB" w14:paraId="7FBF4783" w14:textId="77777777" w:rsidTr="00AE7321">
        <w:trPr>
          <w:trHeight w:val="397"/>
          <w:jc w:val="center"/>
        </w:trPr>
        <w:tc>
          <w:tcPr>
            <w:tcW w:w="700" w:type="pct"/>
            <w:shd w:val="clear" w:color="auto" w:fill="D9D9D9" w:themeFill="background1" w:themeFillShade="D9"/>
            <w:vAlign w:val="center"/>
          </w:tcPr>
          <w:p w14:paraId="7C0C6D8B" w14:textId="77777777" w:rsidR="00DB719E" w:rsidRPr="00373ACB" w:rsidRDefault="00DB719E"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726" w:type="pct"/>
            <w:shd w:val="clear" w:color="auto" w:fill="D9D9D9" w:themeFill="background1" w:themeFillShade="D9"/>
            <w:vAlign w:val="center"/>
          </w:tcPr>
          <w:p w14:paraId="03D362B0" w14:textId="34D9692F" w:rsidR="00DB719E" w:rsidRPr="00373ACB" w:rsidRDefault="00DB719E" w:rsidP="0066061A">
            <w:pPr>
              <w:spacing w:after="120"/>
              <w:rPr>
                <w:rFonts w:ascii="Arial" w:hAnsi="Arial" w:cs="Arial"/>
                <w:b/>
                <w:sz w:val="20"/>
                <w:szCs w:val="20"/>
              </w:rPr>
            </w:pPr>
          </w:p>
        </w:tc>
        <w:tc>
          <w:tcPr>
            <w:tcW w:w="298" w:type="pct"/>
            <w:vAlign w:val="center"/>
          </w:tcPr>
          <w:p w14:paraId="5F7DB0B5" w14:textId="77777777" w:rsidR="00DB719E" w:rsidRPr="007103E4" w:rsidRDefault="00DB719E" w:rsidP="0066061A">
            <w:pPr>
              <w:spacing w:after="120"/>
              <w:rPr>
                <w:rFonts w:ascii="Arial" w:hAnsi="Arial" w:cs="Arial"/>
                <w:b/>
                <w:sz w:val="20"/>
                <w:szCs w:val="20"/>
              </w:rPr>
            </w:pPr>
          </w:p>
        </w:tc>
        <w:tc>
          <w:tcPr>
            <w:tcW w:w="298" w:type="pct"/>
            <w:vAlign w:val="center"/>
          </w:tcPr>
          <w:p w14:paraId="73F1077D" w14:textId="77777777" w:rsidR="00DB719E" w:rsidRPr="007103E4" w:rsidRDefault="00DB719E" w:rsidP="0066061A">
            <w:pPr>
              <w:spacing w:after="120"/>
              <w:rPr>
                <w:rFonts w:ascii="Arial" w:hAnsi="Arial" w:cs="Arial"/>
                <w:b/>
                <w:sz w:val="20"/>
                <w:szCs w:val="20"/>
              </w:rPr>
            </w:pPr>
          </w:p>
        </w:tc>
        <w:tc>
          <w:tcPr>
            <w:tcW w:w="298" w:type="pct"/>
            <w:vAlign w:val="center"/>
          </w:tcPr>
          <w:p w14:paraId="1C9C6C59" w14:textId="77777777" w:rsidR="00DB719E" w:rsidRPr="007103E4" w:rsidRDefault="00DB719E" w:rsidP="0066061A">
            <w:pPr>
              <w:spacing w:after="120"/>
              <w:rPr>
                <w:rFonts w:ascii="Arial" w:hAnsi="Arial" w:cs="Arial"/>
                <w:b/>
                <w:sz w:val="20"/>
                <w:szCs w:val="20"/>
              </w:rPr>
            </w:pPr>
          </w:p>
        </w:tc>
        <w:tc>
          <w:tcPr>
            <w:tcW w:w="298" w:type="pct"/>
            <w:vAlign w:val="center"/>
          </w:tcPr>
          <w:p w14:paraId="37F54D60" w14:textId="77777777" w:rsidR="00DB719E" w:rsidRPr="007103E4" w:rsidRDefault="00DB719E" w:rsidP="0066061A">
            <w:pPr>
              <w:spacing w:after="120"/>
              <w:rPr>
                <w:rFonts w:ascii="Arial" w:hAnsi="Arial" w:cs="Arial"/>
                <w:b/>
                <w:sz w:val="20"/>
                <w:szCs w:val="20"/>
              </w:rPr>
            </w:pPr>
          </w:p>
        </w:tc>
        <w:tc>
          <w:tcPr>
            <w:tcW w:w="298" w:type="pct"/>
            <w:vAlign w:val="center"/>
          </w:tcPr>
          <w:p w14:paraId="58A63ACF" w14:textId="77777777" w:rsidR="00DB719E" w:rsidRPr="007103E4" w:rsidRDefault="00DB719E" w:rsidP="0066061A">
            <w:pPr>
              <w:spacing w:after="120"/>
              <w:rPr>
                <w:rFonts w:ascii="Arial" w:hAnsi="Arial" w:cs="Arial"/>
                <w:b/>
                <w:sz w:val="20"/>
                <w:szCs w:val="20"/>
              </w:rPr>
            </w:pPr>
          </w:p>
        </w:tc>
        <w:tc>
          <w:tcPr>
            <w:tcW w:w="298" w:type="pct"/>
            <w:vAlign w:val="center"/>
          </w:tcPr>
          <w:p w14:paraId="7C2AF65B" w14:textId="77777777" w:rsidR="00DB719E" w:rsidRPr="007103E4" w:rsidRDefault="00DB719E" w:rsidP="0066061A">
            <w:pPr>
              <w:spacing w:after="120"/>
              <w:rPr>
                <w:rFonts w:ascii="Arial" w:hAnsi="Arial" w:cs="Arial"/>
                <w:b/>
                <w:sz w:val="20"/>
                <w:szCs w:val="20"/>
              </w:rPr>
            </w:pPr>
          </w:p>
        </w:tc>
        <w:tc>
          <w:tcPr>
            <w:tcW w:w="298" w:type="pct"/>
            <w:vAlign w:val="center"/>
          </w:tcPr>
          <w:p w14:paraId="1739F520" w14:textId="77777777" w:rsidR="00DB719E" w:rsidRPr="007103E4" w:rsidRDefault="00DB719E" w:rsidP="0066061A">
            <w:pPr>
              <w:spacing w:after="120"/>
              <w:rPr>
                <w:rFonts w:ascii="Arial" w:hAnsi="Arial" w:cs="Arial"/>
                <w:b/>
                <w:sz w:val="20"/>
                <w:szCs w:val="20"/>
              </w:rPr>
            </w:pPr>
          </w:p>
        </w:tc>
        <w:tc>
          <w:tcPr>
            <w:tcW w:w="298" w:type="pct"/>
            <w:vAlign w:val="center"/>
          </w:tcPr>
          <w:p w14:paraId="257D8E0A" w14:textId="77777777" w:rsidR="00DB719E" w:rsidRPr="007103E4" w:rsidRDefault="00DB719E" w:rsidP="0066061A">
            <w:pPr>
              <w:spacing w:after="120"/>
              <w:rPr>
                <w:rFonts w:ascii="Arial" w:hAnsi="Arial" w:cs="Arial"/>
                <w:b/>
                <w:sz w:val="20"/>
                <w:szCs w:val="20"/>
              </w:rPr>
            </w:pPr>
          </w:p>
        </w:tc>
        <w:tc>
          <w:tcPr>
            <w:tcW w:w="298" w:type="pct"/>
            <w:vAlign w:val="center"/>
          </w:tcPr>
          <w:p w14:paraId="5CBEDF10" w14:textId="77777777" w:rsidR="00DB719E" w:rsidRPr="007103E4" w:rsidRDefault="00DB719E" w:rsidP="0066061A">
            <w:pPr>
              <w:spacing w:after="120"/>
              <w:rPr>
                <w:rFonts w:ascii="Arial" w:hAnsi="Arial" w:cs="Arial"/>
                <w:b/>
                <w:sz w:val="20"/>
                <w:szCs w:val="20"/>
              </w:rPr>
            </w:pPr>
          </w:p>
        </w:tc>
        <w:tc>
          <w:tcPr>
            <w:tcW w:w="298" w:type="pct"/>
            <w:vAlign w:val="center"/>
          </w:tcPr>
          <w:p w14:paraId="218042F4" w14:textId="77777777" w:rsidR="00DB719E" w:rsidRPr="007103E4" w:rsidRDefault="00DB719E" w:rsidP="0066061A">
            <w:pPr>
              <w:spacing w:after="120"/>
              <w:rPr>
                <w:rFonts w:ascii="Arial" w:hAnsi="Arial" w:cs="Arial"/>
                <w:b/>
                <w:sz w:val="20"/>
                <w:szCs w:val="20"/>
              </w:rPr>
            </w:pPr>
          </w:p>
        </w:tc>
        <w:tc>
          <w:tcPr>
            <w:tcW w:w="298" w:type="pct"/>
            <w:vAlign w:val="center"/>
          </w:tcPr>
          <w:p w14:paraId="509551D2" w14:textId="77777777" w:rsidR="00DB719E" w:rsidRPr="007103E4" w:rsidRDefault="00DB719E" w:rsidP="0066061A">
            <w:pPr>
              <w:spacing w:after="120"/>
              <w:rPr>
                <w:rFonts w:ascii="Arial" w:hAnsi="Arial" w:cs="Arial"/>
                <w:b/>
                <w:sz w:val="20"/>
                <w:szCs w:val="20"/>
              </w:rPr>
            </w:pPr>
          </w:p>
        </w:tc>
        <w:tc>
          <w:tcPr>
            <w:tcW w:w="298" w:type="pct"/>
            <w:vAlign w:val="center"/>
          </w:tcPr>
          <w:p w14:paraId="0B70D490" w14:textId="77777777" w:rsidR="00DB719E" w:rsidRPr="007103E4" w:rsidRDefault="00DB719E" w:rsidP="0066061A">
            <w:pPr>
              <w:spacing w:after="120"/>
              <w:rPr>
                <w:rFonts w:ascii="Arial" w:hAnsi="Arial" w:cs="Arial"/>
                <w:b/>
                <w:sz w:val="20"/>
                <w:szCs w:val="20"/>
              </w:rPr>
            </w:pPr>
          </w:p>
        </w:tc>
      </w:tr>
      <w:tr w:rsidR="00DB719E" w:rsidRPr="00373ACB" w14:paraId="27B4DF3D" w14:textId="77777777" w:rsidTr="00AE7321">
        <w:trPr>
          <w:trHeight w:val="397"/>
          <w:jc w:val="center"/>
        </w:trPr>
        <w:tc>
          <w:tcPr>
            <w:tcW w:w="700" w:type="pct"/>
            <w:vAlign w:val="center"/>
          </w:tcPr>
          <w:p w14:paraId="6827593C" w14:textId="1AC5649E" w:rsidR="00DB719E" w:rsidRPr="007103E4" w:rsidRDefault="00DB719E" w:rsidP="00571F96">
            <w:pPr>
              <w:spacing w:after="120"/>
              <w:rPr>
                <w:rFonts w:ascii="Arial" w:hAnsi="Arial" w:cs="Arial"/>
                <w:sz w:val="20"/>
                <w:szCs w:val="20"/>
              </w:rPr>
            </w:pPr>
            <w:r w:rsidRPr="007103E4">
              <w:rPr>
                <w:rFonts w:ascii="Arial" w:hAnsi="Arial" w:cs="Arial"/>
                <w:sz w:val="20"/>
                <w:szCs w:val="20"/>
              </w:rPr>
              <w:t>Lectures</w:t>
            </w:r>
          </w:p>
        </w:tc>
        <w:tc>
          <w:tcPr>
            <w:tcW w:w="726" w:type="pct"/>
            <w:vAlign w:val="center"/>
          </w:tcPr>
          <w:p w14:paraId="48975240" w14:textId="13A4F8FC" w:rsidR="00DB719E" w:rsidRPr="007103E4" w:rsidRDefault="00DB719E" w:rsidP="00571F96">
            <w:pPr>
              <w:spacing w:after="120"/>
              <w:rPr>
                <w:rFonts w:ascii="Arial" w:hAnsi="Arial" w:cs="Arial"/>
                <w:sz w:val="20"/>
                <w:szCs w:val="20"/>
              </w:rPr>
            </w:pPr>
          </w:p>
        </w:tc>
        <w:tc>
          <w:tcPr>
            <w:tcW w:w="298" w:type="pct"/>
            <w:vAlign w:val="center"/>
          </w:tcPr>
          <w:p w14:paraId="703B39F6" w14:textId="52D5AF24"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2B2B94F8" w14:textId="6AACDC08"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36AF98D5" w14:textId="357C3890"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0986F1E8" w14:textId="7992CF5D"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18FB128C" w14:textId="102A27F0"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7303405A" w14:textId="3C4ACD1F"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5EC89F13" w14:textId="1CABFB2D"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518B88C6" w14:textId="0CCFA9D1"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710AEAD8" w14:textId="77777777" w:rsidR="00DB719E" w:rsidRPr="007103E4" w:rsidRDefault="00DB719E" w:rsidP="00571F96">
            <w:pPr>
              <w:spacing w:after="120"/>
              <w:rPr>
                <w:rFonts w:ascii="Arial" w:hAnsi="Arial" w:cs="Arial"/>
                <w:sz w:val="20"/>
                <w:szCs w:val="20"/>
              </w:rPr>
            </w:pPr>
          </w:p>
        </w:tc>
        <w:tc>
          <w:tcPr>
            <w:tcW w:w="298" w:type="pct"/>
            <w:vAlign w:val="center"/>
          </w:tcPr>
          <w:p w14:paraId="4AE05548" w14:textId="77777777" w:rsidR="00DB719E" w:rsidRPr="007103E4" w:rsidRDefault="00DB719E" w:rsidP="00571F96">
            <w:pPr>
              <w:spacing w:after="120"/>
              <w:rPr>
                <w:rFonts w:ascii="Arial" w:hAnsi="Arial" w:cs="Arial"/>
                <w:sz w:val="20"/>
                <w:szCs w:val="20"/>
              </w:rPr>
            </w:pPr>
          </w:p>
        </w:tc>
        <w:tc>
          <w:tcPr>
            <w:tcW w:w="298" w:type="pct"/>
            <w:vAlign w:val="center"/>
          </w:tcPr>
          <w:p w14:paraId="1B348BE4" w14:textId="77777777" w:rsidR="00DB719E" w:rsidRPr="007103E4" w:rsidRDefault="00DB719E" w:rsidP="00571F96">
            <w:pPr>
              <w:spacing w:after="120"/>
              <w:rPr>
                <w:rFonts w:ascii="Arial" w:hAnsi="Arial" w:cs="Arial"/>
                <w:sz w:val="20"/>
                <w:szCs w:val="20"/>
              </w:rPr>
            </w:pPr>
          </w:p>
        </w:tc>
        <w:tc>
          <w:tcPr>
            <w:tcW w:w="298" w:type="pct"/>
            <w:vAlign w:val="center"/>
          </w:tcPr>
          <w:p w14:paraId="49E77069" w14:textId="752A4D2A" w:rsidR="00DB719E" w:rsidRPr="007103E4" w:rsidRDefault="00DB719E" w:rsidP="00571F96">
            <w:pPr>
              <w:spacing w:after="120"/>
              <w:rPr>
                <w:rFonts w:ascii="Arial" w:hAnsi="Arial" w:cs="Arial"/>
                <w:sz w:val="20"/>
                <w:szCs w:val="20"/>
              </w:rPr>
            </w:pPr>
          </w:p>
        </w:tc>
      </w:tr>
      <w:tr w:rsidR="00DB719E" w:rsidRPr="00373ACB" w14:paraId="4DD7CE5B" w14:textId="77777777" w:rsidTr="00AE7321">
        <w:trPr>
          <w:trHeight w:val="397"/>
          <w:jc w:val="center"/>
        </w:trPr>
        <w:tc>
          <w:tcPr>
            <w:tcW w:w="700" w:type="pct"/>
            <w:vAlign w:val="center"/>
          </w:tcPr>
          <w:p w14:paraId="60E4E1D4" w14:textId="30837088" w:rsidR="00DB719E" w:rsidRPr="007103E4" w:rsidRDefault="00DB719E" w:rsidP="00571F96">
            <w:pPr>
              <w:spacing w:after="120"/>
              <w:rPr>
                <w:rFonts w:ascii="Arial" w:hAnsi="Arial" w:cs="Arial"/>
                <w:sz w:val="20"/>
                <w:szCs w:val="20"/>
              </w:rPr>
            </w:pPr>
            <w:r w:rsidRPr="007103E4">
              <w:rPr>
                <w:rFonts w:ascii="Arial" w:hAnsi="Arial" w:cs="Arial"/>
                <w:sz w:val="20"/>
                <w:szCs w:val="20"/>
              </w:rPr>
              <w:t>Seminars</w:t>
            </w:r>
          </w:p>
        </w:tc>
        <w:tc>
          <w:tcPr>
            <w:tcW w:w="726" w:type="pct"/>
            <w:vAlign w:val="center"/>
          </w:tcPr>
          <w:p w14:paraId="47B86479" w14:textId="3AF084E8" w:rsidR="00DB719E" w:rsidRPr="007103E4" w:rsidRDefault="00DB719E" w:rsidP="00571F96">
            <w:pPr>
              <w:spacing w:after="120"/>
              <w:rPr>
                <w:rFonts w:ascii="Arial" w:hAnsi="Arial" w:cs="Arial"/>
                <w:sz w:val="20"/>
                <w:szCs w:val="20"/>
              </w:rPr>
            </w:pPr>
          </w:p>
        </w:tc>
        <w:tc>
          <w:tcPr>
            <w:tcW w:w="298" w:type="pct"/>
            <w:vAlign w:val="center"/>
          </w:tcPr>
          <w:p w14:paraId="07F3435D" w14:textId="15B280CF"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1A6BEC40" w14:textId="7C043C6B"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3647E0FE" w14:textId="0608291F"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7E8F4264" w14:textId="021E3F64"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58F2F987" w14:textId="5D728A7C"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7C5B8BFA" w14:textId="0E37A8DE"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5F15F127" w14:textId="085613C2"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67D13E68" w14:textId="6940BB69"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6154026E" w14:textId="77777777" w:rsidR="00DB719E" w:rsidRPr="007103E4" w:rsidRDefault="00DB719E" w:rsidP="00571F96">
            <w:pPr>
              <w:spacing w:after="120"/>
              <w:rPr>
                <w:rFonts w:ascii="Arial" w:hAnsi="Arial" w:cs="Arial"/>
                <w:sz w:val="20"/>
                <w:szCs w:val="20"/>
              </w:rPr>
            </w:pPr>
          </w:p>
        </w:tc>
        <w:tc>
          <w:tcPr>
            <w:tcW w:w="298" w:type="pct"/>
            <w:vAlign w:val="center"/>
          </w:tcPr>
          <w:p w14:paraId="6EEE3051" w14:textId="77777777" w:rsidR="00DB719E" w:rsidRPr="007103E4" w:rsidRDefault="00DB719E" w:rsidP="00571F96">
            <w:pPr>
              <w:spacing w:after="120"/>
              <w:rPr>
                <w:rFonts w:ascii="Arial" w:hAnsi="Arial" w:cs="Arial"/>
                <w:sz w:val="20"/>
                <w:szCs w:val="20"/>
              </w:rPr>
            </w:pPr>
          </w:p>
        </w:tc>
        <w:tc>
          <w:tcPr>
            <w:tcW w:w="298" w:type="pct"/>
            <w:vAlign w:val="center"/>
          </w:tcPr>
          <w:p w14:paraId="42C08504" w14:textId="7362A55A"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6EBBD260" w14:textId="2A6E515A" w:rsidR="00DB719E" w:rsidRPr="007103E4" w:rsidRDefault="00DB719E" w:rsidP="00571F96">
            <w:pPr>
              <w:spacing w:after="120"/>
              <w:rPr>
                <w:rFonts w:ascii="Arial" w:hAnsi="Arial" w:cs="Arial"/>
                <w:sz w:val="20"/>
                <w:szCs w:val="20"/>
              </w:rPr>
            </w:pPr>
            <w:r>
              <w:rPr>
                <w:rFonts w:ascii="Arial" w:hAnsi="Arial" w:cs="Arial"/>
                <w:sz w:val="20"/>
                <w:szCs w:val="20"/>
              </w:rPr>
              <w:t>X</w:t>
            </w:r>
          </w:p>
        </w:tc>
      </w:tr>
      <w:tr w:rsidR="00DB719E" w:rsidRPr="00373ACB" w14:paraId="52E8D183" w14:textId="77777777" w:rsidTr="00AE7321">
        <w:trPr>
          <w:trHeight w:val="397"/>
          <w:jc w:val="center"/>
        </w:trPr>
        <w:tc>
          <w:tcPr>
            <w:tcW w:w="700" w:type="pct"/>
            <w:vAlign w:val="center"/>
          </w:tcPr>
          <w:p w14:paraId="5399BAAD" w14:textId="4B96F84A" w:rsidR="00DB719E" w:rsidRDefault="00DB719E" w:rsidP="00571F96">
            <w:pPr>
              <w:spacing w:after="120"/>
              <w:rPr>
                <w:rFonts w:ascii="Arial" w:hAnsi="Arial" w:cs="Arial"/>
                <w:sz w:val="20"/>
                <w:szCs w:val="20"/>
              </w:rPr>
            </w:pPr>
            <w:r>
              <w:rPr>
                <w:rFonts w:ascii="Arial" w:hAnsi="Arial" w:cs="Arial"/>
                <w:sz w:val="20"/>
                <w:szCs w:val="20"/>
              </w:rPr>
              <w:t>Case classes</w:t>
            </w:r>
          </w:p>
        </w:tc>
        <w:tc>
          <w:tcPr>
            <w:tcW w:w="726" w:type="pct"/>
            <w:vAlign w:val="center"/>
          </w:tcPr>
          <w:p w14:paraId="4B9B540A" w14:textId="38279C50" w:rsidR="00DB719E" w:rsidRPr="007103E4" w:rsidRDefault="00DB719E" w:rsidP="00571F96">
            <w:pPr>
              <w:spacing w:after="120"/>
              <w:rPr>
                <w:rFonts w:ascii="Arial" w:hAnsi="Arial" w:cs="Arial"/>
                <w:sz w:val="20"/>
                <w:szCs w:val="20"/>
              </w:rPr>
            </w:pPr>
          </w:p>
        </w:tc>
        <w:tc>
          <w:tcPr>
            <w:tcW w:w="298" w:type="pct"/>
            <w:vAlign w:val="center"/>
          </w:tcPr>
          <w:p w14:paraId="20F3F1A1" w14:textId="6533B3A6"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498979D7" w14:textId="0B7FCBDD"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602A1BBE" w14:textId="23B0B652"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4A7727DB" w14:textId="4D4F2EAC"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5840E29C" w14:textId="71BE4FE0"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4C4263A5" w14:textId="2D0B4AF3"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29F59D24" w14:textId="25470872"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4E9A2CA5" w14:textId="77777777" w:rsidR="00DB719E" w:rsidRPr="007103E4" w:rsidRDefault="00DB719E" w:rsidP="00571F96">
            <w:pPr>
              <w:spacing w:after="120"/>
              <w:rPr>
                <w:rFonts w:ascii="Arial" w:hAnsi="Arial" w:cs="Arial"/>
                <w:sz w:val="20"/>
                <w:szCs w:val="20"/>
              </w:rPr>
            </w:pPr>
          </w:p>
        </w:tc>
        <w:tc>
          <w:tcPr>
            <w:tcW w:w="298" w:type="pct"/>
            <w:vAlign w:val="center"/>
          </w:tcPr>
          <w:p w14:paraId="0BAF831F" w14:textId="77777777" w:rsidR="00DB719E" w:rsidRPr="007103E4" w:rsidRDefault="00DB719E" w:rsidP="00571F96">
            <w:pPr>
              <w:spacing w:after="120"/>
              <w:rPr>
                <w:rFonts w:ascii="Arial" w:hAnsi="Arial" w:cs="Arial"/>
                <w:sz w:val="20"/>
                <w:szCs w:val="20"/>
              </w:rPr>
            </w:pPr>
          </w:p>
        </w:tc>
        <w:tc>
          <w:tcPr>
            <w:tcW w:w="298" w:type="pct"/>
            <w:vAlign w:val="center"/>
          </w:tcPr>
          <w:p w14:paraId="6745F32F" w14:textId="77777777" w:rsidR="00DB719E" w:rsidRPr="007103E4" w:rsidRDefault="00DB719E" w:rsidP="00571F96">
            <w:pPr>
              <w:spacing w:after="120"/>
              <w:rPr>
                <w:rFonts w:ascii="Arial" w:hAnsi="Arial" w:cs="Arial"/>
                <w:sz w:val="20"/>
                <w:szCs w:val="20"/>
              </w:rPr>
            </w:pPr>
          </w:p>
        </w:tc>
        <w:tc>
          <w:tcPr>
            <w:tcW w:w="298" w:type="pct"/>
            <w:vAlign w:val="center"/>
          </w:tcPr>
          <w:p w14:paraId="018F3163" w14:textId="311BD1C9"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6D66583D" w14:textId="134BD3BB" w:rsidR="00DB719E" w:rsidRPr="007103E4" w:rsidRDefault="00DB719E" w:rsidP="00571F96">
            <w:pPr>
              <w:spacing w:after="120"/>
              <w:rPr>
                <w:rFonts w:ascii="Arial" w:hAnsi="Arial" w:cs="Arial"/>
                <w:sz w:val="20"/>
                <w:szCs w:val="20"/>
              </w:rPr>
            </w:pPr>
            <w:r>
              <w:rPr>
                <w:rFonts w:ascii="Arial" w:hAnsi="Arial" w:cs="Arial"/>
                <w:sz w:val="20"/>
                <w:szCs w:val="20"/>
              </w:rPr>
              <w:t>X</w:t>
            </w:r>
          </w:p>
        </w:tc>
      </w:tr>
      <w:tr w:rsidR="00DB719E" w:rsidRPr="00373ACB" w14:paraId="081B3A8C" w14:textId="77777777" w:rsidTr="00AE7321">
        <w:trPr>
          <w:trHeight w:val="397"/>
          <w:jc w:val="center"/>
        </w:trPr>
        <w:tc>
          <w:tcPr>
            <w:tcW w:w="700" w:type="pct"/>
            <w:vAlign w:val="center"/>
          </w:tcPr>
          <w:p w14:paraId="6B144EED" w14:textId="17675E00" w:rsidR="00DB719E" w:rsidRPr="007103E4" w:rsidRDefault="00DB719E" w:rsidP="00571F96">
            <w:pPr>
              <w:spacing w:after="120"/>
              <w:rPr>
                <w:rFonts w:ascii="Arial" w:hAnsi="Arial" w:cs="Arial"/>
                <w:sz w:val="20"/>
                <w:szCs w:val="20"/>
              </w:rPr>
            </w:pPr>
            <w:r>
              <w:rPr>
                <w:rFonts w:ascii="Arial" w:hAnsi="Arial" w:cs="Arial"/>
                <w:sz w:val="20"/>
                <w:szCs w:val="20"/>
              </w:rPr>
              <w:t>Private study</w:t>
            </w:r>
          </w:p>
        </w:tc>
        <w:tc>
          <w:tcPr>
            <w:tcW w:w="726" w:type="pct"/>
            <w:vAlign w:val="center"/>
          </w:tcPr>
          <w:p w14:paraId="0524BA16" w14:textId="62A46F58" w:rsidR="00DB719E" w:rsidRPr="007103E4" w:rsidRDefault="00DB719E" w:rsidP="00571F96">
            <w:pPr>
              <w:spacing w:after="120"/>
              <w:rPr>
                <w:rFonts w:ascii="Arial" w:hAnsi="Arial" w:cs="Arial"/>
                <w:sz w:val="20"/>
                <w:szCs w:val="20"/>
              </w:rPr>
            </w:pPr>
          </w:p>
        </w:tc>
        <w:tc>
          <w:tcPr>
            <w:tcW w:w="298" w:type="pct"/>
            <w:vAlign w:val="center"/>
          </w:tcPr>
          <w:p w14:paraId="6D038554" w14:textId="5F0659E4"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3B1ECF38" w14:textId="11B35912"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08FD0FE5" w14:textId="1E4A1252"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6F576A41" w14:textId="1AAD955B"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079423F2" w14:textId="10477511"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5933B6C8" w14:textId="2062B8B6"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2FF7F584" w14:textId="0654E60D"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5692A125" w14:textId="020A4297"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523CDA43" w14:textId="5EA9415E"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038E23AC" w14:textId="1E3D9AEE"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7EFB1D1A" w14:textId="3C6D5688"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02986151" w14:textId="499D707A" w:rsidR="00DB719E" w:rsidRPr="007103E4" w:rsidRDefault="00DB719E" w:rsidP="00571F96">
            <w:pPr>
              <w:spacing w:after="120"/>
              <w:rPr>
                <w:rFonts w:ascii="Arial" w:hAnsi="Arial" w:cs="Arial"/>
                <w:sz w:val="20"/>
                <w:szCs w:val="20"/>
              </w:rPr>
            </w:pPr>
            <w:r>
              <w:rPr>
                <w:rFonts w:ascii="Arial" w:hAnsi="Arial" w:cs="Arial"/>
                <w:sz w:val="20"/>
                <w:szCs w:val="20"/>
              </w:rPr>
              <w:t>X</w:t>
            </w:r>
          </w:p>
        </w:tc>
      </w:tr>
      <w:tr w:rsidR="00DB719E" w:rsidRPr="00373ACB" w14:paraId="1802AC8A" w14:textId="77777777" w:rsidTr="00AE7321">
        <w:trPr>
          <w:trHeight w:val="397"/>
          <w:jc w:val="center"/>
        </w:trPr>
        <w:tc>
          <w:tcPr>
            <w:tcW w:w="700" w:type="pct"/>
            <w:shd w:val="clear" w:color="auto" w:fill="D9D9D9" w:themeFill="background1" w:themeFillShade="D9"/>
            <w:vAlign w:val="center"/>
          </w:tcPr>
          <w:p w14:paraId="17A1D1A5" w14:textId="77777777" w:rsidR="00DB719E" w:rsidRPr="00373ACB" w:rsidRDefault="00DB719E" w:rsidP="00571F96">
            <w:pPr>
              <w:spacing w:after="120"/>
              <w:rPr>
                <w:rFonts w:ascii="Arial" w:hAnsi="Arial" w:cs="Arial"/>
                <w:b/>
                <w:sz w:val="20"/>
                <w:szCs w:val="20"/>
              </w:rPr>
            </w:pPr>
            <w:r w:rsidRPr="00373ACB">
              <w:rPr>
                <w:rFonts w:ascii="Arial" w:hAnsi="Arial" w:cs="Arial"/>
                <w:b/>
                <w:sz w:val="20"/>
                <w:szCs w:val="20"/>
              </w:rPr>
              <w:t>Assessment method</w:t>
            </w:r>
          </w:p>
        </w:tc>
        <w:tc>
          <w:tcPr>
            <w:tcW w:w="726" w:type="pct"/>
            <w:shd w:val="clear" w:color="auto" w:fill="D9D9D9" w:themeFill="background1" w:themeFillShade="D9"/>
            <w:vAlign w:val="center"/>
          </w:tcPr>
          <w:p w14:paraId="35F4770A" w14:textId="77777777" w:rsidR="00DB719E" w:rsidRPr="007103E4" w:rsidRDefault="00DB719E" w:rsidP="00571F96">
            <w:pPr>
              <w:spacing w:after="120"/>
              <w:rPr>
                <w:rFonts w:ascii="Arial" w:hAnsi="Arial" w:cs="Arial"/>
                <w:sz w:val="20"/>
                <w:szCs w:val="20"/>
              </w:rPr>
            </w:pPr>
            <w:r w:rsidRPr="007103E4">
              <w:rPr>
                <w:rFonts w:ascii="Arial" w:hAnsi="Arial" w:cs="Arial"/>
                <w:sz w:val="16"/>
                <w:szCs w:val="20"/>
              </w:rPr>
              <w:t xml:space="preserve">Specify </w:t>
            </w:r>
            <w:r>
              <w:rPr>
                <w:rFonts w:ascii="Arial" w:hAnsi="Arial" w:cs="Arial"/>
                <w:sz w:val="16"/>
                <w:szCs w:val="20"/>
              </w:rPr>
              <w:t xml:space="preserve">word </w:t>
            </w:r>
            <w:r w:rsidRPr="007103E4">
              <w:rPr>
                <w:rFonts w:ascii="Arial" w:hAnsi="Arial" w:cs="Arial"/>
                <w:sz w:val="16"/>
                <w:szCs w:val="20"/>
              </w:rPr>
              <w:t>length, duration, individual or group</w:t>
            </w:r>
            <w:r>
              <w:rPr>
                <w:rFonts w:ascii="Arial" w:hAnsi="Arial" w:cs="Arial"/>
                <w:sz w:val="16"/>
                <w:szCs w:val="20"/>
              </w:rPr>
              <w:t xml:space="preserve"> work</w:t>
            </w:r>
            <w:r w:rsidRPr="007103E4">
              <w:rPr>
                <w:rFonts w:ascii="Arial" w:hAnsi="Arial" w:cs="Arial"/>
                <w:sz w:val="16"/>
                <w:szCs w:val="20"/>
              </w:rPr>
              <w:t xml:space="preserve"> (as appropriate)</w:t>
            </w:r>
          </w:p>
        </w:tc>
        <w:tc>
          <w:tcPr>
            <w:tcW w:w="298" w:type="pct"/>
            <w:vAlign w:val="center"/>
          </w:tcPr>
          <w:p w14:paraId="7E879B23" w14:textId="77777777" w:rsidR="00DB719E" w:rsidRPr="007103E4" w:rsidRDefault="00DB719E" w:rsidP="00571F96">
            <w:pPr>
              <w:spacing w:after="120"/>
              <w:rPr>
                <w:rFonts w:ascii="Arial" w:hAnsi="Arial" w:cs="Arial"/>
                <w:b/>
                <w:sz w:val="20"/>
                <w:szCs w:val="20"/>
              </w:rPr>
            </w:pPr>
          </w:p>
        </w:tc>
        <w:tc>
          <w:tcPr>
            <w:tcW w:w="298" w:type="pct"/>
            <w:vAlign w:val="center"/>
          </w:tcPr>
          <w:p w14:paraId="33578C1F" w14:textId="77777777" w:rsidR="00DB719E" w:rsidRPr="007103E4" w:rsidRDefault="00DB719E" w:rsidP="00571F96">
            <w:pPr>
              <w:spacing w:after="120"/>
              <w:rPr>
                <w:rFonts w:ascii="Arial" w:hAnsi="Arial" w:cs="Arial"/>
                <w:b/>
                <w:sz w:val="20"/>
                <w:szCs w:val="20"/>
              </w:rPr>
            </w:pPr>
          </w:p>
        </w:tc>
        <w:tc>
          <w:tcPr>
            <w:tcW w:w="298" w:type="pct"/>
            <w:vAlign w:val="center"/>
          </w:tcPr>
          <w:p w14:paraId="59927E37" w14:textId="77777777" w:rsidR="00DB719E" w:rsidRPr="007103E4" w:rsidRDefault="00DB719E" w:rsidP="00571F96">
            <w:pPr>
              <w:spacing w:after="120"/>
              <w:rPr>
                <w:rFonts w:ascii="Arial" w:hAnsi="Arial" w:cs="Arial"/>
                <w:b/>
                <w:sz w:val="20"/>
                <w:szCs w:val="20"/>
              </w:rPr>
            </w:pPr>
          </w:p>
        </w:tc>
        <w:tc>
          <w:tcPr>
            <w:tcW w:w="298" w:type="pct"/>
            <w:vAlign w:val="center"/>
          </w:tcPr>
          <w:p w14:paraId="6400D7F9" w14:textId="77777777" w:rsidR="00DB719E" w:rsidRPr="007103E4" w:rsidRDefault="00DB719E" w:rsidP="00571F96">
            <w:pPr>
              <w:spacing w:after="120"/>
              <w:rPr>
                <w:rFonts w:ascii="Arial" w:hAnsi="Arial" w:cs="Arial"/>
                <w:b/>
                <w:sz w:val="20"/>
                <w:szCs w:val="20"/>
              </w:rPr>
            </w:pPr>
          </w:p>
        </w:tc>
        <w:tc>
          <w:tcPr>
            <w:tcW w:w="298" w:type="pct"/>
            <w:vAlign w:val="center"/>
          </w:tcPr>
          <w:p w14:paraId="0F6A5D0D" w14:textId="77777777" w:rsidR="00DB719E" w:rsidRPr="007103E4" w:rsidRDefault="00DB719E" w:rsidP="00571F96">
            <w:pPr>
              <w:spacing w:after="120"/>
              <w:rPr>
                <w:rFonts w:ascii="Arial" w:hAnsi="Arial" w:cs="Arial"/>
                <w:b/>
                <w:sz w:val="20"/>
                <w:szCs w:val="20"/>
              </w:rPr>
            </w:pPr>
          </w:p>
        </w:tc>
        <w:tc>
          <w:tcPr>
            <w:tcW w:w="298" w:type="pct"/>
            <w:vAlign w:val="center"/>
          </w:tcPr>
          <w:p w14:paraId="7E807D48" w14:textId="77777777" w:rsidR="00DB719E" w:rsidRPr="007103E4" w:rsidRDefault="00DB719E" w:rsidP="00571F96">
            <w:pPr>
              <w:spacing w:after="120"/>
              <w:rPr>
                <w:rFonts w:ascii="Arial" w:hAnsi="Arial" w:cs="Arial"/>
                <w:b/>
                <w:sz w:val="20"/>
                <w:szCs w:val="20"/>
              </w:rPr>
            </w:pPr>
          </w:p>
        </w:tc>
        <w:tc>
          <w:tcPr>
            <w:tcW w:w="298" w:type="pct"/>
            <w:vAlign w:val="center"/>
          </w:tcPr>
          <w:p w14:paraId="225330E3" w14:textId="77777777" w:rsidR="00DB719E" w:rsidRPr="007103E4" w:rsidRDefault="00DB719E" w:rsidP="00571F96">
            <w:pPr>
              <w:spacing w:after="120"/>
              <w:rPr>
                <w:rFonts w:ascii="Arial" w:hAnsi="Arial" w:cs="Arial"/>
                <w:b/>
                <w:sz w:val="20"/>
                <w:szCs w:val="20"/>
              </w:rPr>
            </w:pPr>
          </w:p>
        </w:tc>
        <w:tc>
          <w:tcPr>
            <w:tcW w:w="298" w:type="pct"/>
            <w:vAlign w:val="center"/>
          </w:tcPr>
          <w:p w14:paraId="6C874682" w14:textId="77777777" w:rsidR="00DB719E" w:rsidRPr="007103E4" w:rsidRDefault="00DB719E" w:rsidP="00571F96">
            <w:pPr>
              <w:spacing w:after="120"/>
              <w:rPr>
                <w:rFonts w:ascii="Arial" w:hAnsi="Arial" w:cs="Arial"/>
                <w:b/>
                <w:sz w:val="20"/>
                <w:szCs w:val="20"/>
              </w:rPr>
            </w:pPr>
          </w:p>
        </w:tc>
        <w:tc>
          <w:tcPr>
            <w:tcW w:w="298" w:type="pct"/>
            <w:vAlign w:val="center"/>
          </w:tcPr>
          <w:p w14:paraId="1CA8E576" w14:textId="77777777" w:rsidR="00DB719E" w:rsidRPr="007103E4" w:rsidRDefault="00DB719E" w:rsidP="00571F96">
            <w:pPr>
              <w:spacing w:after="120"/>
              <w:rPr>
                <w:rFonts w:ascii="Arial" w:hAnsi="Arial" w:cs="Arial"/>
                <w:b/>
                <w:sz w:val="20"/>
                <w:szCs w:val="20"/>
              </w:rPr>
            </w:pPr>
          </w:p>
        </w:tc>
        <w:tc>
          <w:tcPr>
            <w:tcW w:w="298" w:type="pct"/>
            <w:vAlign w:val="center"/>
          </w:tcPr>
          <w:p w14:paraId="167799A4" w14:textId="77777777" w:rsidR="00DB719E" w:rsidRPr="007103E4" w:rsidRDefault="00DB719E" w:rsidP="00571F96">
            <w:pPr>
              <w:spacing w:after="120"/>
              <w:rPr>
                <w:rFonts w:ascii="Arial" w:hAnsi="Arial" w:cs="Arial"/>
                <w:b/>
                <w:sz w:val="20"/>
                <w:szCs w:val="20"/>
              </w:rPr>
            </w:pPr>
          </w:p>
        </w:tc>
        <w:tc>
          <w:tcPr>
            <w:tcW w:w="298" w:type="pct"/>
            <w:vAlign w:val="center"/>
          </w:tcPr>
          <w:p w14:paraId="054DDDC8" w14:textId="77777777" w:rsidR="00DB719E" w:rsidRPr="007103E4" w:rsidRDefault="00DB719E" w:rsidP="00571F96">
            <w:pPr>
              <w:spacing w:after="120"/>
              <w:rPr>
                <w:rFonts w:ascii="Arial" w:hAnsi="Arial" w:cs="Arial"/>
                <w:b/>
                <w:sz w:val="20"/>
                <w:szCs w:val="20"/>
              </w:rPr>
            </w:pPr>
          </w:p>
        </w:tc>
        <w:tc>
          <w:tcPr>
            <w:tcW w:w="298" w:type="pct"/>
            <w:vAlign w:val="center"/>
          </w:tcPr>
          <w:p w14:paraId="1741F3C9" w14:textId="77777777" w:rsidR="00DB719E" w:rsidRPr="007103E4" w:rsidRDefault="00DB719E" w:rsidP="00571F96">
            <w:pPr>
              <w:spacing w:after="120"/>
              <w:rPr>
                <w:rFonts w:ascii="Arial" w:hAnsi="Arial" w:cs="Arial"/>
                <w:b/>
                <w:sz w:val="20"/>
                <w:szCs w:val="20"/>
              </w:rPr>
            </w:pPr>
          </w:p>
        </w:tc>
      </w:tr>
      <w:tr w:rsidR="00DB719E" w:rsidRPr="00373ACB" w14:paraId="166BBCFD" w14:textId="77777777" w:rsidTr="00AE7321">
        <w:trPr>
          <w:trHeight w:val="397"/>
          <w:jc w:val="center"/>
        </w:trPr>
        <w:tc>
          <w:tcPr>
            <w:tcW w:w="700" w:type="pct"/>
            <w:vAlign w:val="center"/>
          </w:tcPr>
          <w:p w14:paraId="39A1F19D" w14:textId="4C6C18A6" w:rsidR="00DB719E" w:rsidRPr="00D71DF4" w:rsidRDefault="00DB719E" w:rsidP="00736208">
            <w:pPr>
              <w:spacing w:after="120"/>
              <w:rPr>
                <w:rFonts w:ascii="Arial" w:hAnsi="Arial" w:cs="Arial"/>
                <w:sz w:val="20"/>
                <w:szCs w:val="20"/>
              </w:rPr>
            </w:pPr>
            <w:r>
              <w:rPr>
                <w:rFonts w:ascii="Arial" w:hAnsi="Arial" w:cs="Arial"/>
                <w:sz w:val="20"/>
                <w:szCs w:val="20"/>
              </w:rPr>
              <w:t>Problem question (40%)</w:t>
            </w:r>
          </w:p>
        </w:tc>
        <w:tc>
          <w:tcPr>
            <w:tcW w:w="726" w:type="pct"/>
            <w:vAlign w:val="center"/>
          </w:tcPr>
          <w:p w14:paraId="14BEF8D1" w14:textId="7D32E9C7" w:rsidR="00DB719E" w:rsidRPr="00D71DF4" w:rsidRDefault="00DB719E" w:rsidP="00571F96">
            <w:pPr>
              <w:spacing w:after="120"/>
              <w:rPr>
                <w:rFonts w:ascii="Arial" w:hAnsi="Arial" w:cs="Arial"/>
                <w:sz w:val="20"/>
                <w:szCs w:val="20"/>
              </w:rPr>
            </w:pPr>
            <w:r>
              <w:rPr>
                <w:rFonts w:ascii="Arial" w:hAnsi="Arial" w:cs="Arial"/>
                <w:sz w:val="20"/>
                <w:szCs w:val="20"/>
              </w:rPr>
              <w:t>2000 words</w:t>
            </w:r>
          </w:p>
        </w:tc>
        <w:tc>
          <w:tcPr>
            <w:tcW w:w="298" w:type="pct"/>
            <w:vAlign w:val="center"/>
          </w:tcPr>
          <w:p w14:paraId="7D5C2929" w14:textId="77777777" w:rsidR="00DB719E" w:rsidRPr="007103E4" w:rsidRDefault="00DB719E" w:rsidP="00571F96">
            <w:pPr>
              <w:spacing w:after="120"/>
              <w:rPr>
                <w:rFonts w:ascii="Arial" w:hAnsi="Arial" w:cs="Arial"/>
                <w:sz w:val="20"/>
                <w:szCs w:val="20"/>
              </w:rPr>
            </w:pPr>
          </w:p>
        </w:tc>
        <w:tc>
          <w:tcPr>
            <w:tcW w:w="298" w:type="pct"/>
            <w:vAlign w:val="center"/>
          </w:tcPr>
          <w:p w14:paraId="53A415C9" w14:textId="7CA53C82"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0FA73F9D" w14:textId="77777777" w:rsidR="00DB719E" w:rsidRPr="007103E4" w:rsidRDefault="00DB719E" w:rsidP="00571F96">
            <w:pPr>
              <w:spacing w:after="120"/>
              <w:rPr>
                <w:rFonts w:ascii="Arial" w:hAnsi="Arial" w:cs="Arial"/>
                <w:sz w:val="20"/>
                <w:szCs w:val="20"/>
              </w:rPr>
            </w:pPr>
          </w:p>
        </w:tc>
        <w:tc>
          <w:tcPr>
            <w:tcW w:w="298" w:type="pct"/>
            <w:vAlign w:val="center"/>
          </w:tcPr>
          <w:p w14:paraId="1E4029E0" w14:textId="58947D37"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1E9346ED" w14:textId="539495F3"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1314AFB1" w14:textId="0649657F"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1BA4D89E" w14:textId="48C760EC"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1E16EB89" w14:textId="77777777" w:rsidR="00DB719E" w:rsidRPr="007103E4" w:rsidRDefault="00DB719E" w:rsidP="00571F96">
            <w:pPr>
              <w:spacing w:after="120"/>
              <w:rPr>
                <w:rFonts w:ascii="Arial" w:hAnsi="Arial" w:cs="Arial"/>
                <w:sz w:val="20"/>
                <w:szCs w:val="20"/>
              </w:rPr>
            </w:pPr>
          </w:p>
        </w:tc>
        <w:tc>
          <w:tcPr>
            <w:tcW w:w="298" w:type="pct"/>
            <w:vAlign w:val="center"/>
          </w:tcPr>
          <w:p w14:paraId="70569AD8" w14:textId="23DE28E2"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457F3386" w14:textId="1CD33634"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3BE87A9D" w14:textId="6DD32308"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60B4B831" w14:textId="57F3E84F" w:rsidR="00DB719E" w:rsidRPr="007103E4" w:rsidRDefault="00DB719E" w:rsidP="00571F96">
            <w:pPr>
              <w:spacing w:after="120"/>
              <w:rPr>
                <w:rFonts w:ascii="Arial" w:hAnsi="Arial" w:cs="Arial"/>
                <w:sz w:val="20"/>
                <w:szCs w:val="20"/>
              </w:rPr>
            </w:pPr>
            <w:r>
              <w:rPr>
                <w:rFonts w:ascii="Arial" w:hAnsi="Arial" w:cs="Arial"/>
                <w:sz w:val="20"/>
                <w:szCs w:val="20"/>
              </w:rPr>
              <w:t>X</w:t>
            </w:r>
          </w:p>
        </w:tc>
      </w:tr>
      <w:tr w:rsidR="00DB719E" w:rsidRPr="00373ACB" w14:paraId="3B0FB3B5" w14:textId="77777777" w:rsidTr="00AE7321">
        <w:trPr>
          <w:trHeight w:val="397"/>
          <w:jc w:val="center"/>
        </w:trPr>
        <w:tc>
          <w:tcPr>
            <w:tcW w:w="700" w:type="pct"/>
            <w:vAlign w:val="center"/>
          </w:tcPr>
          <w:p w14:paraId="3E3DF85F" w14:textId="5F5A651F" w:rsidR="00DB719E" w:rsidRPr="00D71DF4" w:rsidRDefault="00DB719E" w:rsidP="00736208">
            <w:pPr>
              <w:spacing w:after="120"/>
              <w:rPr>
                <w:rFonts w:ascii="Arial" w:hAnsi="Arial" w:cs="Arial"/>
                <w:sz w:val="20"/>
                <w:szCs w:val="20"/>
              </w:rPr>
            </w:pPr>
            <w:r>
              <w:rPr>
                <w:rFonts w:ascii="Arial" w:hAnsi="Arial" w:cs="Arial"/>
                <w:sz w:val="20"/>
                <w:szCs w:val="20"/>
              </w:rPr>
              <w:t>Assessed moot (40%)*</w:t>
            </w:r>
          </w:p>
        </w:tc>
        <w:tc>
          <w:tcPr>
            <w:tcW w:w="726" w:type="pct"/>
            <w:vAlign w:val="center"/>
          </w:tcPr>
          <w:p w14:paraId="6A6E32C5" w14:textId="3A76CE1F" w:rsidR="00DB719E" w:rsidRPr="00D71DF4" w:rsidRDefault="00DB719E" w:rsidP="00571F96">
            <w:pPr>
              <w:spacing w:after="120"/>
              <w:rPr>
                <w:rFonts w:ascii="Arial" w:hAnsi="Arial" w:cs="Arial"/>
                <w:sz w:val="20"/>
                <w:szCs w:val="20"/>
              </w:rPr>
            </w:pPr>
            <w:r>
              <w:rPr>
                <w:rFonts w:ascii="Arial" w:hAnsi="Arial" w:cs="Arial"/>
                <w:sz w:val="20"/>
                <w:szCs w:val="20"/>
              </w:rPr>
              <w:t>I</w:t>
            </w:r>
            <w:r w:rsidRPr="00D71DF4">
              <w:rPr>
                <w:rFonts w:ascii="Arial" w:hAnsi="Arial" w:cs="Arial"/>
                <w:sz w:val="20"/>
                <w:szCs w:val="20"/>
              </w:rPr>
              <w:t>ndividual</w:t>
            </w:r>
          </w:p>
        </w:tc>
        <w:tc>
          <w:tcPr>
            <w:tcW w:w="298" w:type="pct"/>
            <w:vAlign w:val="center"/>
          </w:tcPr>
          <w:p w14:paraId="209E9CBD" w14:textId="77777777" w:rsidR="00DB719E" w:rsidRPr="007103E4" w:rsidRDefault="00DB719E" w:rsidP="00571F96">
            <w:pPr>
              <w:spacing w:after="120"/>
              <w:rPr>
                <w:rFonts w:ascii="Arial" w:hAnsi="Arial" w:cs="Arial"/>
                <w:sz w:val="20"/>
                <w:szCs w:val="20"/>
              </w:rPr>
            </w:pPr>
          </w:p>
        </w:tc>
        <w:tc>
          <w:tcPr>
            <w:tcW w:w="298" w:type="pct"/>
            <w:vAlign w:val="center"/>
          </w:tcPr>
          <w:p w14:paraId="7FEFCB15" w14:textId="43240906"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5A2741AD" w14:textId="77777777" w:rsidR="00DB719E" w:rsidRPr="007103E4" w:rsidRDefault="00DB719E" w:rsidP="00571F96">
            <w:pPr>
              <w:spacing w:after="120"/>
              <w:rPr>
                <w:rFonts w:ascii="Arial" w:hAnsi="Arial" w:cs="Arial"/>
                <w:sz w:val="20"/>
                <w:szCs w:val="20"/>
              </w:rPr>
            </w:pPr>
          </w:p>
        </w:tc>
        <w:tc>
          <w:tcPr>
            <w:tcW w:w="298" w:type="pct"/>
            <w:vAlign w:val="center"/>
          </w:tcPr>
          <w:p w14:paraId="2F0F620A" w14:textId="675FD2E7"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7C30EB73" w14:textId="622AD28A"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7BC5A877" w14:textId="1FDBEFA5"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68DCC9A6" w14:textId="53855BEA"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7930DF36" w14:textId="77777777" w:rsidR="00DB719E" w:rsidRPr="007103E4" w:rsidRDefault="00DB719E" w:rsidP="00571F96">
            <w:pPr>
              <w:spacing w:after="120"/>
              <w:rPr>
                <w:rFonts w:ascii="Arial" w:hAnsi="Arial" w:cs="Arial"/>
                <w:sz w:val="20"/>
                <w:szCs w:val="20"/>
              </w:rPr>
            </w:pPr>
          </w:p>
        </w:tc>
        <w:tc>
          <w:tcPr>
            <w:tcW w:w="298" w:type="pct"/>
            <w:vAlign w:val="center"/>
          </w:tcPr>
          <w:p w14:paraId="62F008C3" w14:textId="3E240B15"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2D8CFB48" w14:textId="07C9EDC3"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1490B5DA" w14:textId="68B3101A"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0E9D249F" w14:textId="387DB37A" w:rsidR="00DB719E" w:rsidRPr="007103E4" w:rsidRDefault="00DB719E" w:rsidP="00571F96">
            <w:pPr>
              <w:spacing w:after="120"/>
              <w:rPr>
                <w:rFonts w:ascii="Arial" w:hAnsi="Arial" w:cs="Arial"/>
                <w:sz w:val="20"/>
                <w:szCs w:val="20"/>
              </w:rPr>
            </w:pPr>
            <w:r>
              <w:rPr>
                <w:rFonts w:ascii="Arial" w:hAnsi="Arial" w:cs="Arial"/>
                <w:sz w:val="20"/>
                <w:szCs w:val="20"/>
              </w:rPr>
              <w:t>X</w:t>
            </w:r>
          </w:p>
        </w:tc>
      </w:tr>
      <w:tr w:rsidR="00DB719E" w:rsidRPr="00373ACB" w14:paraId="27905E29" w14:textId="77777777" w:rsidTr="00AE7321">
        <w:trPr>
          <w:trHeight w:val="397"/>
          <w:jc w:val="center"/>
        </w:trPr>
        <w:tc>
          <w:tcPr>
            <w:tcW w:w="700" w:type="pct"/>
            <w:vAlign w:val="center"/>
          </w:tcPr>
          <w:p w14:paraId="646DE757" w14:textId="6AE86619" w:rsidR="00DB719E" w:rsidRPr="00D71DF4" w:rsidRDefault="00DB719E" w:rsidP="00571F96">
            <w:pPr>
              <w:spacing w:after="120"/>
              <w:rPr>
                <w:rFonts w:ascii="Arial" w:hAnsi="Arial" w:cs="Arial"/>
                <w:sz w:val="20"/>
                <w:szCs w:val="20"/>
              </w:rPr>
            </w:pPr>
            <w:r>
              <w:rPr>
                <w:rFonts w:ascii="Arial" w:hAnsi="Arial" w:cs="Arial"/>
                <w:sz w:val="20"/>
                <w:szCs w:val="20"/>
              </w:rPr>
              <w:t>Exam (60%)</w:t>
            </w:r>
          </w:p>
        </w:tc>
        <w:tc>
          <w:tcPr>
            <w:tcW w:w="726" w:type="pct"/>
            <w:vAlign w:val="center"/>
          </w:tcPr>
          <w:p w14:paraId="6750E479" w14:textId="78F3C6E3" w:rsidR="00DB719E" w:rsidRPr="00D71DF4" w:rsidRDefault="00DB719E" w:rsidP="005475E2">
            <w:pPr>
              <w:spacing w:after="120"/>
              <w:rPr>
                <w:rFonts w:ascii="Arial" w:hAnsi="Arial" w:cs="Arial"/>
                <w:sz w:val="20"/>
                <w:szCs w:val="20"/>
              </w:rPr>
            </w:pPr>
            <w:r>
              <w:rPr>
                <w:rFonts w:ascii="Arial" w:hAnsi="Arial" w:cs="Arial"/>
                <w:sz w:val="20"/>
                <w:szCs w:val="20"/>
              </w:rPr>
              <w:t>2-hours</w:t>
            </w:r>
          </w:p>
        </w:tc>
        <w:tc>
          <w:tcPr>
            <w:tcW w:w="298" w:type="pct"/>
            <w:vAlign w:val="center"/>
          </w:tcPr>
          <w:p w14:paraId="2559D711" w14:textId="495B16BA"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029C6A3E" w14:textId="4683BB61"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43B3BA0A" w14:textId="64617365"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60F4F716" w14:textId="0994E0FB"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30B7DE96" w14:textId="1A32137D"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18E2E0EF" w14:textId="2F87B741"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52DBEC64" w14:textId="08852FBA" w:rsidR="00DB719E" w:rsidRPr="007103E4" w:rsidRDefault="00DB719E" w:rsidP="00571F96">
            <w:pPr>
              <w:spacing w:after="120"/>
              <w:rPr>
                <w:rFonts w:ascii="Arial" w:hAnsi="Arial" w:cs="Arial"/>
                <w:sz w:val="20"/>
                <w:szCs w:val="20"/>
              </w:rPr>
            </w:pPr>
          </w:p>
        </w:tc>
        <w:tc>
          <w:tcPr>
            <w:tcW w:w="298" w:type="pct"/>
            <w:vAlign w:val="center"/>
          </w:tcPr>
          <w:p w14:paraId="5A08A1AD" w14:textId="58166CF1"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182F5286" w14:textId="7884A658" w:rsidR="00DB719E" w:rsidRPr="007103E4" w:rsidRDefault="00DB719E" w:rsidP="00571F96">
            <w:pPr>
              <w:spacing w:after="120"/>
              <w:rPr>
                <w:rFonts w:ascii="Arial" w:hAnsi="Arial" w:cs="Arial"/>
                <w:sz w:val="20"/>
                <w:szCs w:val="20"/>
              </w:rPr>
            </w:pPr>
          </w:p>
        </w:tc>
        <w:tc>
          <w:tcPr>
            <w:tcW w:w="298" w:type="pct"/>
            <w:vAlign w:val="center"/>
          </w:tcPr>
          <w:p w14:paraId="6A7DAF00" w14:textId="0F199025"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72AF8869" w14:textId="62BB9D4D" w:rsidR="00DB719E" w:rsidRPr="007103E4" w:rsidRDefault="00DB719E" w:rsidP="00571F96">
            <w:pPr>
              <w:spacing w:after="120"/>
              <w:rPr>
                <w:rFonts w:ascii="Arial" w:hAnsi="Arial" w:cs="Arial"/>
                <w:sz w:val="20"/>
                <w:szCs w:val="20"/>
              </w:rPr>
            </w:pPr>
            <w:r>
              <w:rPr>
                <w:rFonts w:ascii="Arial" w:hAnsi="Arial" w:cs="Arial"/>
                <w:sz w:val="20"/>
                <w:szCs w:val="20"/>
              </w:rPr>
              <w:t>X</w:t>
            </w:r>
          </w:p>
        </w:tc>
        <w:tc>
          <w:tcPr>
            <w:tcW w:w="298" w:type="pct"/>
            <w:vAlign w:val="center"/>
          </w:tcPr>
          <w:p w14:paraId="5311162F" w14:textId="528E8636" w:rsidR="00DB719E" w:rsidRPr="007103E4" w:rsidRDefault="00DB719E" w:rsidP="00571F96">
            <w:pPr>
              <w:spacing w:after="120"/>
              <w:rPr>
                <w:rFonts w:ascii="Arial" w:hAnsi="Arial" w:cs="Arial"/>
                <w:sz w:val="20"/>
                <w:szCs w:val="20"/>
              </w:rPr>
            </w:pPr>
            <w:r>
              <w:rPr>
                <w:rFonts w:ascii="Arial" w:hAnsi="Arial" w:cs="Arial"/>
                <w:sz w:val="20"/>
                <w:szCs w:val="20"/>
              </w:rPr>
              <w:t>X</w:t>
            </w:r>
          </w:p>
        </w:tc>
      </w:tr>
    </w:tbl>
    <w:p w14:paraId="154D7846" w14:textId="66CF4FD5" w:rsidR="007A6245" w:rsidRPr="00BE1C59" w:rsidRDefault="00BE1C59" w:rsidP="0066061A">
      <w:pPr>
        <w:spacing w:after="120" w:line="240" w:lineRule="auto"/>
        <w:ind w:left="426" w:right="260"/>
        <w:rPr>
          <w:rFonts w:ascii="Arial" w:hAnsi="Arial" w:cs="Arial"/>
          <w:iCs/>
          <w:sz w:val="20"/>
          <w:szCs w:val="20"/>
        </w:rPr>
      </w:pPr>
      <w:r>
        <w:rPr>
          <w:rFonts w:ascii="Arial" w:hAnsi="Arial" w:cs="Arial"/>
          <w:b/>
          <w:iCs/>
          <w:sz w:val="20"/>
          <w:szCs w:val="20"/>
        </w:rPr>
        <w:br/>
      </w:r>
      <w:r w:rsidRPr="00BE1C59">
        <w:rPr>
          <w:rFonts w:ascii="Arial" w:hAnsi="Arial" w:cs="Arial"/>
          <w:iCs/>
          <w:sz w:val="20"/>
          <w:szCs w:val="20"/>
        </w:rPr>
        <w:t>* As noted above, students will have the opportunity, with the consent of the module convenor, to replace the problem question with an assessed moot</w:t>
      </w:r>
      <w:r w:rsidR="009757BD">
        <w:rPr>
          <w:rFonts w:ascii="Arial" w:hAnsi="Arial" w:cs="Arial"/>
          <w:iCs/>
          <w:sz w:val="20"/>
          <w:szCs w:val="20"/>
        </w:rPr>
        <w:t xml:space="preserve"> (subject to availability)</w:t>
      </w:r>
      <w:r w:rsidRPr="00BE1C59">
        <w:rPr>
          <w:rFonts w:ascii="Arial" w:hAnsi="Arial" w:cs="Arial"/>
          <w:iCs/>
          <w:sz w:val="20"/>
          <w:szCs w:val="20"/>
        </w:rPr>
        <w:t>.</w:t>
      </w:r>
      <w:r w:rsidRPr="00BE1C59">
        <w:rPr>
          <w:rFonts w:ascii="Arial" w:hAnsi="Arial" w:cs="Arial"/>
          <w:iCs/>
          <w:sz w:val="20"/>
          <w:szCs w:val="20"/>
        </w:rPr>
        <w:br/>
      </w:r>
    </w:p>
    <w:p w14:paraId="580BCF7F" w14:textId="77777777" w:rsidR="00DF2132" w:rsidRPr="00DF2132" w:rsidRDefault="00DF2132" w:rsidP="00DF2132">
      <w:pPr>
        <w:numPr>
          <w:ilvl w:val="0"/>
          <w:numId w:val="1"/>
        </w:numPr>
        <w:spacing w:after="120" w:line="240" w:lineRule="auto"/>
        <w:ind w:left="426" w:right="260" w:hanging="426"/>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DF2132">
        <w:rPr>
          <w:rFonts w:ascii="Arial" w:hAnsi="Arial" w:cs="Arial"/>
          <w:sz w:val="20"/>
          <w:szCs w:val="20"/>
        </w:rPr>
        <w:br/>
      </w:r>
    </w:p>
    <w:p w14:paraId="58243292" w14:textId="77777777" w:rsidR="00DF2132" w:rsidRDefault="00DF2132" w:rsidP="00DF2132">
      <w:pPr>
        <w:spacing w:after="120" w:line="240" w:lineRule="auto"/>
        <w:ind w:left="426" w:right="260"/>
        <w:rPr>
          <w:rFonts w:ascii="Arial" w:hAnsi="Arial" w:cs="Arial"/>
          <w:sz w:val="20"/>
          <w:szCs w:val="20"/>
        </w:rPr>
      </w:pPr>
      <w:r w:rsidRPr="00DF2132">
        <w:rPr>
          <w:rFonts w:ascii="Arial" w:hAnsi="Arial" w:cs="Arial"/>
          <w:sz w:val="20"/>
          <w:szCs w:val="20"/>
        </w:rPr>
        <w:lastRenderedPageBreak/>
        <w:t>The inclusive practices in the guidance (see Annex B Appendix A) have been considered in order to support all students in the following areas:</w:t>
      </w:r>
    </w:p>
    <w:p w14:paraId="7FB4F968" w14:textId="599295E0" w:rsidR="00DF2132" w:rsidRPr="00A7491F" w:rsidRDefault="00DF2132" w:rsidP="00DF2132">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r w:rsidR="00DB3180">
        <w:rPr>
          <w:rFonts w:ascii="Arial" w:hAnsi="Arial" w:cs="Arial"/>
          <w:b/>
          <w:sz w:val="20"/>
          <w:szCs w:val="20"/>
        </w:rPr>
        <w:br/>
      </w:r>
    </w:p>
    <w:p w14:paraId="5DB96012" w14:textId="3CA584AB" w:rsidR="00571F96" w:rsidRPr="00DB3180" w:rsidRDefault="00571F96" w:rsidP="00DB3180">
      <w:pPr>
        <w:pStyle w:val="ListParagraph"/>
        <w:numPr>
          <w:ilvl w:val="1"/>
          <w:numId w:val="8"/>
        </w:numPr>
        <w:spacing w:after="120" w:line="240" w:lineRule="auto"/>
        <w:ind w:right="260"/>
        <w:rPr>
          <w:rFonts w:ascii="Arial" w:hAnsi="Arial" w:cs="Arial"/>
          <w:sz w:val="20"/>
          <w:szCs w:val="20"/>
        </w:rPr>
      </w:pPr>
      <w:r w:rsidRPr="00DB3180">
        <w:rPr>
          <w:rFonts w:ascii="Arial" w:hAnsi="Arial" w:cs="Arial"/>
          <w:sz w:val="20"/>
          <w:szCs w:val="20"/>
        </w:rPr>
        <w:t>Preference will be given to electronic resources that meet minimum accessibility standards and support the use of assistive technologies.</w:t>
      </w:r>
    </w:p>
    <w:p w14:paraId="2BA77CCA" w14:textId="3FC9336B" w:rsidR="00571F96" w:rsidRPr="00DB3180" w:rsidRDefault="00571F96" w:rsidP="00DB3180">
      <w:pPr>
        <w:pStyle w:val="ListParagraph"/>
        <w:numPr>
          <w:ilvl w:val="1"/>
          <w:numId w:val="8"/>
        </w:numPr>
        <w:spacing w:after="120" w:line="240" w:lineRule="auto"/>
        <w:ind w:right="260"/>
        <w:rPr>
          <w:rFonts w:ascii="Arial" w:hAnsi="Arial" w:cs="Arial"/>
          <w:sz w:val="20"/>
          <w:szCs w:val="20"/>
        </w:rPr>
      </w:pPr>
      <w:r w:rsidRPr="00DB3180">
        <w:rPr>
          <w:rFonts w:ascii="Arial" w:hAnsi="Arial" w:cs="Arial"/>
          <w:sz w:val="20"/>
          <w:szCs w:val="20"/>
        </w:rPr>
        <w:t xml:space="preserve">Module outlines will be made accessible at least four weeks before the module starts. </w:t>
      </w:r>
    </w:p>
    <w:p w14:paraId="536B1A96" w14:textId="791C0564" w:rsidR="00571F96" w:rsidRPr="00DB3180" w:rsidRDefault="00571F96" w:rsidP="00DB3180">
      <w:pPr>
        <w:pStyle w:val="ListParagraph"/>
        <w:numPr>
          <w:ilvl w:val="1"/>
          <w:numId w:val="8"/>
        </w:numPr>
        <w:spacing w:after="120" w:line="240" w:lineRule="auto"/>
        <w:ind w:right="260"/>
        <w:rPr>
          <w:rFonts w:ascii="Arial" w:hAnsi="Arial" w:cs="Arial"/>
          <w:sz w:val="20"/>
          <w:szCs w:val="20"/>
        </w:rPr>
      </w:pPr>
      <w:r w:rsidRPr="00DB3180">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4EE7D817" w14:textId="50919CE7" w:rsidR="00571F96" w:rsidRPr="00DB3180" w:rsidRDefault="00571F96" w:rsidP="00DB3180">
      <w:pPr>
        <w:pStyle w:val="ListParagraph"/>
        <w:numPr>
          <w:ilvl w:val="1"/>
          <w:numId w:val="8"/>
        </w:numPr>
        <w:spacing w:after="120" w:line="240" w:lineRule="auto"/>
        <w:ind w:right="260"/>
        <w:rPr>
          <w:rFonts w:ascii="Arial" w:hAnsi="Arial" w:cs="Arial"/>
          <w:sz w:val="20"/>
          <w:szCs w:val="20"/>
        </w:rPr>
      </w:pPr>
      <w:r w:rsidRPr="00DB3180">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5CD0F9F9" w14:textId="32A3DEAF" w:rsidR="00DF2132" w:rsidRPr="00DB3180" w:rsidRDefault="00571F96" w:rsidP="00DB3180">
      <w:pPr>
        <w:pStyle w:val="ListParagraph"/>
        <w:numPr>
          <w:ilvl w:val="1"/>
          <w:numId w:val="8"/>
        </w:numPr>
        <w:spacing w:after="120" w:line="240" w:lineRule="auto"/>
        <w:ind w:right="260"/>
        <w:rPr>
          <w:rFonts w:ascii="Arial" w:hAnsi="Arial" w:cs="Arial"/>
          <w:sz w:val="20"/>
          <w:szCs w:val="20"/>
        </w:rPr>
      </w:pPr>
      <w:r w:rsidRPr="00DB3180">
        <w:rPr>
          <w:rFonts w:ascii="Arial" w:hAnsi="Arial" w:cs="Arial"/>
          <w:sz w:val="20"/>
          <w:szCs w:val="20"/>
        </w:rPr>
        <w:t>Lecture capture will be used to assist notetaking.</w:t>
      </w:r>
      <w:r w:rsidR="00A7491F" w:rsidRPr="00DB3180">
        <w:rPr>
          <w:rFonts w:ascii="Arial" w:hAnsi="Arial" w:cs="Arial"/>
          <w:sz w:val="20"/>
          <w:szCs w:val="20"/>
        </w:rPr>
        <w:br/>
      </w:r>
    </w:p>
    <w:p w14:paraId="5812B493" w14:textId="77777777" w:rsidR="009A2D37" w:rsidRPr="00A7491F" w:rsidRDefault="00DF2132" w:rsidP="00DF2132">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60A6538D" w14:textId="396AEB80" w:rsidR="009A2D37" w:rsidRPr="00373ACB" w:rsidRDefault="00571F96" w:rsidP="00571F96">
      <w:pPr>
        <w:ind w:left="426"/>
        <w:rPr>
          <w:rFonts w:ascii="Arial" w:hAnsi="Arial" w:cs="Arial"/>
          <w:iCs/>
          <w:sz w:val="20"/>
          <w:szCs w:val="20"/>
        </w:rPr>
      </w:pPr>
      <w:r w:rsidRPr="00571F96">
        <w:rPr>
          <w:rFonts w:ascii="Arial" w:hAnsi="Arial" w:cs="Arial"/>
          <w:iCs/>
          <w:sz w:val="20"/>
          <w:szCs w:val="20"/>
        </w:rPr>
        <w:t xml:space="preserve">The inclusive practices in the guidance (Annex B Appendix A, section </w:t>
      </w:r>
      <w:r w:rsidR="003C2A5A" w:rsidRPr="00571F96">
        <w:rPr>
          <w:rFonts w:ascii="Arial" w:hAnsi="Arial" w:cs="Arial"/>
          <w:iCs/>
          <w:sz w:val="20"/>
          <w:szCs w:val="20"/>
        </w:rPr>
        <w:t>b (</w:t>
      </w:r>
      <w:r w:rsidRPr="00571F96">
        <w:rPr>
          <w:rFonts w:ascii="Arial" w:hAnsi="Arial" w:cs="Arial"/>
          <w:iCs/>
          <w:sz w:val="20"/>
          <w:szCs w:val="20"/>
        </w:rPr>
        <w:t>1) and (2)) have all been considered in order to support all students in their assessments on this module.</w:t>
      </w:r>
      <w:r w:rsidR="00A7491F">
        <w:rPr>
          <w:rFonts w:ascii="Arial" w:hAnsi="Arial" w:cs="Arial"/>
          <w:iCs/>
          <w:sz w:val="20"/>
          <w:szCs w:val="20"/>
        </w:rPr>
        <w:br/>
      </w:r>
    </w:p>
    <w:p w14:paraId="67E0347E"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1F4AB1AC" w14:textId="095F3768"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0F8EDC8B" w14:textId="77777777" w:rsidR="00DF2132" w:rsidRDefault="00DF2132" w:rsidP="0066061A">
      <w:pPr>
        <w:spacing w:after="120" w:line="240" w:lineRule="auto"/>
        <w:ind w:left="426" w:right="260"/>
        <w:rPr>
          <w:rFonts w:ascii="Arial" w:hAnsi="Arial" w:cs="Arial"/>
          <w:iCs/>
          <w:sz w:val="20"/>
          <w:szCs w:val="20"/>
        </w:rPr>
      </w:pPr>
    </w:p>
    <w:p w14:paraId="6A0388E0" w14:textId="09C42343" w:rsidR="00DF2132" w:rsidRPr="00DB3180" w:rsidRDefault="00DF2132" w:rsidP="00DB3180">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619B7979" w14:textId="77777777" w:rsidR="00AE7321" w:rsidRDefault="00571F96" w:rsidP="00AE7321">
      <w:pPr>
        <w:spacing w:line="240" w:lineRule="auto"/>
        <w:ind w:left="426"/>
        <w:rPr>
          <w:rFonts w:ascii="Arial" w:hAnsi="Arial" w:cs="Arial"/>
          <w:sz w:val="20"/>
          <w:szCs w:val="20"/>
        </w:rPr>
      </w:pPr>
      <w:r w:rsidRPr="00571F96">
        <w:rPr>
          <w:rFonts w:ascii="Arial" w:hAnsi="Arial" w:cs="Arial"/>
          <w:sz w:val="20"/>
          <w:szCs w:val="20"/>
        </w:rPr>
        <w:t xml:space="preserve">There will be some comparative material included in this module however, </w:t>
      </w:r>
      <w:r w:rsidR="00F13955" w:rsidRPr="00F13955">
        <w:rPr>
          <w:rFonts w:ascii="Arial" w:hAnsi="Arial" w:cs="Arial"/>
          <w:sz w:val="20"/>
          <w:szCs w:val="20"/>
        </w:rPr>
        <w:t xml:space="preserve">as one of the Foundations of Legal Knowledge, this module has a direct contribution to the achievement of a Qualifying Law Degree (which is required in order to qualify as a solicitor or barrister in England and Wales). The content of this module is, therefore, prescribed by the requirements of the Solicitors Regulation Authority and Bar Standards Board and serves to provide students with substantive knowledge of English </w:t>
      </w:r>
      <w:r w:rsidR="00F13955">
        <w:rPr>
          <w:rFonts w:ascii="Arial" w:hAnsi="Arial" w:cs="Arial"/>
          <w:sz w:val="20"/>
          <w:szCs w:val="20"/>
        </w:rPr>
        <w:t>tort</w:t>
      </w:r>
      <w:r w:rsidR="00F13955" w:rsidRPr="00F13955">
        <w:rPr>
          <w:rFonts w:ascii="Arial" w:hAnsi="Arial" w:cs="Arial"/>
          <w:sz w:val="20"/>
          <w:szCs w:val="20"/>
        </w:rPr>
        <w:t xml:space="preserve"> law.  </w:t>
      </w:r>
    </w:p>
    <w:p w14:paraId="24394A65" w14:textId="77777777" w:rsidR="00AE7321" w:rsidRDefault="00AE7321" w:rsidP="00AE7321">
      <w:pPr>
        <w:spacing w:line="240" w:lineRule="auto"/>
        <w:rPr>
          <w:rFonts w:ascii="Arial" w:hAnsi="Arial" w:cs="Arial"/>
          <w:sz w:val="20"/>
          <w:szCs w:val="20"/>
        </w:rPr>
      </w:pPr>
    </w:p>
    <w:p w14:paraId="44E7B9D1" w14:textId="77777777" w:rsidR="00AE7321" w:rsidRDefault="00AE7321" w:rsidP="00AE7321">
      <w:pPr>
        <w:spacing w:line="240" w:lineRule="auto"/>
        <w:rPr>
          <w:rFonts w:ascii="Arial" w:hAnsi="Arial" w:cs="Arial"/>
          <w:sz w:val="20"/>
          <w:szCs w:val="20"/>
        </w:rPr>
      </w:pPr>
    </w:p>
    <w:p w14:paraId="3C9B3139" w14:textId="77777777" w:rsidR="00585D0A" w:rsidRDefault="00585D0A">
      <w:pPr>
        <w:rPr>
          <w:rFonts w:ascii="Arial" w:hAnsi="Arial" w:cs="Arial"/>
          <w:b/>
          <w:sz w:val="20"/>
          <w:szCs w:val="20"/>
        </w:rPr>
      </w:pPr>
      <w:r>
        <w:rPr>
          <w:rFonts w:ascii="Arial" w:hAnsi="Arial" w:cs="Arial"/>
          <w:b/>
          <w:sz w:val="20"/>
          <w:szCs w:val="20"/>
        </w:rPr>
        <w:br w:type="page"/>
      </w:r>
    </w:p>
    <w:p w14:paraId="312C7DB2" w14:textId="719D5A39" w:rsidR="00441E76" w:rsidRPr="00AE7321" w:rsidRDefault="00422B69" w:rsidP="00AE7321">
      <w:pPr>
        <w:spacing w:line="240" w:lineRule="auto"/>
        <w:rPr>
          <w:rFonts w:ascii="Arial" w:hAnsi="Arial" w:cs="Arial"/>
          <w:sz w:val="20"/>
          <w:szCs w:val="20"/>
        </w:rPr>
      </w:pPr>
      <w:r w:rsidRPr="00373ACB">
        <w:rPr>
          <w:rFonts w:ascii="Arial" w:hAnsi="Arial" w:cs="Arial"/>
          <w:b/>
          <w:sz w:val="20"/>
          <w:szCs w:val="20"/>
        </w:rPr>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12DED2F5"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094FCAD0"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654E4649" w14:textId="77777777" w:rsidTr="00585D0A">
        <w:trPr>
          <w:trHeight w:val="317"/>
        </w:trPr>
        <w:tc>
          <w:tcPr>
            <w:tcW w:w="1673" w:type="dxa"/>
          </w:tcPr>
          <w:p w14:paraId="55243DD1"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6A6453DD"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25F2366E"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581ED813"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325440FF"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5637EF27" w14:textId="77777777" w:rsidTr="00585D0A">
        <w:trPr>
          <w:trHeight w:val="305"/>
        </w:trPr>
        <w:tc>
          <w:tcPr>
            <w:tcW w:w="1673" w:type="dxa"/>
          </w:tcPr>
          <w:p w14:paraId="06EB3B96" w14:textId="66963FCD" w:rsidR="00422B69" w:rsidRPr="00373ACB" w:rsidRDefault="00AE7321" w:rsidP="0066061A">
            <w:pPr>
              <w:spacing w:after="120"/>
              <w:ind w:right="-330"/>
              <w:rPr>
                <w:rFonts w:ascii="Arial" w:hAnsi="Arial" w:cs="Arial"/>
                <w:sz w:val="20"/>
                <w:szCs w:val="20"/>
              </w:rPr>
            </w:pPr>
            <w:r>
              <w:rPr>
                <w:rFonts w:ascii="Arial" w:hAnsi="Arial" w:cs="Arial"/>
                <w:sz w:val="20"/>
                <w:szCs w:val="20"/>
              </w:rPr>
              <w:t>24/01/2018</w:t>
            </w:r>
          </w:p>
        </w:tc>
        <w:tc>
          <w:tcPr>
            <w:tcW w:w="1417" w:type="dxa"/>
          </w:tcPr>
          <w:p w14:paraId="09598D89" w14:textId="2D1A81E7" w:rsidR="00422B69" w:rsidRPr="00373ACB" w:rsidRDefault="00AE7321"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4B978268" w14:textId="6CF63A01" w:rsidR="00422B69" w:rsidRPr="00373ACB" w:rsidRDefault="00AE7321"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0E72AE1F" w14:textId="3D1C3651" w:rsidR="00422B69" w:rsidRPr="00373ACB" w:rsidRDefault="00AE7321" w:rsidP="0066061A">
            <w:pPr>
              <w:spacing w:after="120"/>
              <w:ind w:right="-330"/>
              <w:rPr>
                <w:rFonts w:ascii="Arial" w:hAnsi="Arial" w:cs="Arial"/>
                <w:sz w:val="20"/>
                <w:szCs w:val="20"/>
              </w:rPr>
            </w:pPr>
            <w:r>
              <w:rPr>
                <w:rFonts w:ascii="Arial" w:hAnsi="Arial" w:cs="Arial"/>
                <w:sz w:val="20"/>
                <w:szCs w:val="20"/>
              </w:rPr>
              <w:t>8, 13-14</w:t>
            </w:r>
          </w:p>
        </w:tc>
        <w:tc>
          <w:tcPr>
            <w:tcW w:w="2400" w:type="dxa"/>
          </w:tcPr>
          <w:p w14:paraId="608E82AC" w14:textId="7E5CA84D" w:rsidR="00422B69" w:rsidRPr="00373ACB" w:rsidRDefault="00AE7321" w:rsidP="0066061A">
            <w:pPr>
              <w:spacing w:after="120"/>
              <w:ind w:right="-330"/>
              <w:rPr>
                <w:rFonts w:ascii="Arial" w:hAnsi="Arial" w:cs="Arial"/>
                <w:sz w:val="20"/>
                <w:szCs w:val="20"/>
              </w:rPr>
            </w:pPr>
            <w:r>
              <w:rPr>
                <w:rFonts w:ascii="Arial" w:hAnsi="Arial" w:cs="Arial"/>
                <w:sz w:val="20"/>
                <w:szCs w:val="20"/>
              </w:rPr>
              <w:t>Yes</w:t>
            </w:r>
          </w:p>
        </w:tc>
      </w:tr>
      <w:tr w:rsidR="00302082" w:rsidRPr="00373ACB" w14:paraId="3252754B" w14:textId="77777777" w:rsidTr="00585D0A">
        <w:trPr>
          <w:trHeight w:val="305"/>
        </w:trPr>
        <w:tc>
          <w:tcPr>
            <w:tcW w:w="1673" w:type="dxa"/>
          </w:tcPr>
          <w:p w14:paraId="3ADE8FDF" w14:textId="0645EF74" w:rsidR="00422B69" w:rsidRPr="00373ACB" w:rsidRDefault="00F11FD3" w:rsidP="0066061A">
            <w:pPr>
              <w:spacing w:after="120"/>
              <w:ind w:right="-330"/>
              <w:rPr>
                <w:rFonts w:ascii="Arial" w:hAnsi="Arial" w:cs="Arial"/>
                <w:sz w:val="20"/>
                <w:szCs w:val="20"/>
              </w:rPr>
            </w:pPr>
            <w:r>
              <w:rPr>
                <w:rFonts w:ascii="Arial" w:hAnsi="Arial" w:cs="Arial"/>
                <w:sz w:val="20"/>
                <w:szCs w:val="20"/>
              </w:rPr>
              <w:t>09/01/2019</w:t>
            </w:r>
          </w:p>
        </w:tc>
        <w:tc>
          <w:tcPr>
            <w:tcW w:w="1417" w:type="dxa"/>
          </w:tcPr>
          <w:p w14:paraId="07423CA6" w14:textId="43FFEC83" w:rsidR="00422B69" w:rsidRPr="00373ACB" w:rsidRDefault="00F11FD3"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131D6F98" w14:textId="264488E1" w:rsidR="00422B69" w:rsidRPr="00373ACB" w:rsidRDefault="00F11FD3" w:rsidP="0066061A">
            <w:pPr>
              <w:spacing w:after="120"/>
              <w:ind w:right="-330"/>
              <w:rPr>
                <w:rFonts w:ascii="Arial" w:hAnsi="Arial" w:cs="Arial"/>
                <w:sz w:val="20"/>
                <w:szCs w:val="20"/>
              </w:rPr>
            </w:pPr>
            <w:r>
              <w:rPr>
                <w:rFonts w:ascii="Arial" w:hAnsi="Arial" w:cs="Arial"/>
                <w:sz w:val="20"/>
                <w:szCs w:val="20"/>
              </w:rPr>
              <w:t>September 2019</w:t>
            </w:r>
          </w:p>
        </w:tc>
        <w:tc>
          <w:tcPr>
            <w:tcW w:w="2658" w:type="dxa"/>
          </w:tcPr>
          <w:p w14:paraId="6B4ED20A" w14:textId="719BEFA8" w:rsidR="00422B69" w:rsidRPr="00373ACB" w:rsidRDefault="00F11FD3" w:rsidP="0066061A">
            <w:pPr>
              <w:spacing w:after="120"/>
              <w:ind w:right="-330"/>
              <w:rPr>
                <w:rFonts w:ascii="Arial" w:hAnsi="Arial" w:cs="Arial"/>
                <w:sz w:val="20"/>
                <w:szCs w:val="20"/>
              </w:rPr>
            </w:pPr>
            <w:r>
              <w:rPr>
                <w:rFonts w:ascii="Arial" w:hAnsi="Arial" w:cs="Arial"/>
                <w:sz w:val="20"/>
                <w:szCs w:val="20"/>
              </w:rPr>
              <w:t>8-11</w:t>
            </w:r>
          </w:p>
        </w:tc>
        <w:tc>
          <w:tcPr>
            <w:tcW w:w="2400" w:type="dxa"/>
          </w:tcPr>
          <w:p w14:paraId="49DCAFD6" w14:textId="2E43EE6A" w:rsidR="00422B69" w:rsidRPr="00373ACB" w:rsidRDefault="00F11FD3" w:rsidP="0066061A">
            <w:pPr>
              <w:spacing w:after="120"/>
              <w:ind w:right="-330"/>
              <w:rPr>
                <w:rFonts w:ascii="Arial" w:hAnsi="Arial" w:cs="Arial"/>
                <w:sz w:val="20"/>
                <w:szCs w:val="20"/>
              </w:rPr>
            </w:pPr>
            <w:r>
              <w:rPr>
                <w:rFonts w:ascii="Arial" w:hAnsi="Arial" w:cs="Arial"/>
                <w:sz w:val="20"/>
                <w:szCs w:val="20"/>
              </w:rPr>
              <w:t>No</w:t>
            </w:r>
          </w:p>
        </w:tc>
      </w:tr>
    </w:tbl>
    <w:p w14:paraId="206A7BD7"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C23752" w16cid:durableId="1F79A83F"/>
  <w16cid:commentId w16cid:paraId="735675A3" w16cid:durableId="1F79AC9F"/>
  <w16cid:commentId w16cid:paraId="467EEE6A" w16cid:durableId="1F79A8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CEA42" w14:textId="77777777" w:rsidR="00BB6CC7" w:rsidRDefault="00BB6CC7" w:rsidP="009A2D37">
      <w:pPr>
        <w:spacing w:after="0" w:line="240" w:lineRule="auto"/>
      </w:pPr>
      <w:r>
        <w:separator/>
      </w:r>
    </w:p>
  </w:endnote>
  <w:endnote w:type="continuationSeparator" w:id="0">
    <w:p w14:paraId="7DC34970" w14:textId="77777777" w:rsidR="00BB6CC7" w:rsidRDefault="00BB6CC7" w:rsidP="009A2D37">
      <w:pPr>
        <w:spacing w:after="0" w:line="240" w:lineRule="auto"/>
      </w:pPr>
      <w:r>
        <w:continuationSeparator/>
      </w:r>
    </w:p>
  </w:endnote>
  <w:endnote w:type="continuationNotice" w:id="1">
    <w:p w14:paraId="44EF5E4C" w14:textId="77777777" w:rsidR="00BB6CC7" w:rsidRDefault="00BB6C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698693"/>
      <w:docPartObj>
        <w:docPartGallery w:val="Page Numbers (Bottom of Page)"/>
        <w:docPartUnique/>
      </w:docPartObj>
    </w:sdtPr>
    <w:sdtEndPr/>
    <w:sdtContent>
      <w:p w14:paraId="3E5284FC" w14:textId="77777777" w:rsidR="00585D0A" w:rsidRDefault="00585D0A" w:rsidP="009A2D37">
        <w:pPr>
          <w:pStyle w:val="Footer"/>
          <w:jc w:val="center"/>
        </w:pPr>
      </w:p>
      <w:p w14:paraId="0546785D" w14:textId="4B71732B" w:rsidR="008B2543" w:rsidRDefault="0019787E" w:rsidP="009A2D37">
        <w:pPr>
          <w:pStyle w:val="Footer"/>
          <w:jc w:val="center"/>
        </w:pPr>
        <w:r>
          <w:fldChar w:fldCharType="begin"/>
        </w:r>
        <w:r>
          <w:instrText xml:space="preserve"> PAGE   \* MERGEFORMAT </w:instrText>
        </w:r>
        <w:r>
          <w:fldChar w:fldCharType="separate"/>
        </w:r>
        <w:r w:rsidR="00F11FD3">
          <w:rPr>
            <w:noProof/>
          </w:rPr>
          <w:t>2</w:t>
        </w:r>
        <w:r>
          <w:rPr>
            <w:noProof/>
          </w:rPr>
          <w:fldChar w:fldCharType="end"/>
        </w:r>
      </w:p>
    </w:sdtContent>
  </w:sdt>
  <w:p w14:paraId="7B842873" w14:textId="0E3E96F8" w:rsidR="008B2543" w:rsidRPr="007B7724" w:rsidRDefault="00986CD3" w:rsidP="00986CD3">
    <w:pPr>
      <w:pStyle w:val="Footer"/>
      <w:spacing w:after="120"/>
      <w:ind w:right="-330"/>
      <w:jc w:val="center"/>
      <w:rPr>
        <w:rFonts w:ascii="Arial" w:hAnsi="Arial"/>
        <w:sz w:val="18"/>
      </w:rPr>
    </w:pPr>
    <w:r>
      <w:rPr>
        <w:rFonts w:ascii="Arial" w:hAnsi="Arial"/>
        <w:sz w:val="18"/>
      </w:rPr>
      <w:t>LW651 Law of Tort</w:t>
    </w:r>
    <w:r w:rsidR="008B2543">
      <w:rPr>
        <w:rFonts w:ascii="Arial" w:hAnsi="Arial"/>
        <w:sz w:val="18"/>
      </w:rPr>
      <w:t xml:space="preserve"> (</w:t>
    </w:r>
    <w:r>
      <w:rPr>
        <w:rFonts w:ascii="Arial" w:hAnsi="Arial"/>
        <w:sz w:val="18"/>
      </w:rPr>
      <w:t xml:space="preserve">Sept. </w:t>
    </w:r>
    <w:r w:rsidR="00DF2132">
      <w:rPr>
        <w:rFonts w:ascii="Arial" w:hAnsi="Arial"/>
        <w:sz w:val="18"/>
      </w:rPr>
      <w:t>201</w:t>
    </w:r>
    <w:r w:rsidR="00FB4D9D">
      <w:rPr>
        <w:rFonts w:ascii="Arial" w:hAnsi="Arial"/>
        <w:sz w:val="18"/>
      </w:rPr>
      <w:t>9</w:t>
    </w:r>
    <w:r>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BF5E4" w14:textId="77777777" w:rsidR="00BB6CC7" w:rsidRDefault="00BB6CC7" w:rsidP="009A2D37">
      <w:pPr>
        <w:spacing w:after="0" w:line="240" w:lineRule="auto"/>
      </w:pPr>
      <w:r>
        <w:separator/>
      </w:r>
    </w:p>
  </w:footnote>
  <w:footnote w:type="continuationSeparator" w:id="0">
    <w:p w14:paraId="1EAD93B8" w14:textId="77777777" w:rsidR="00BB6CC7" w:rsidRDefault="00BB6CC7" w:rsidP="009A2D37">
      <w:pPr>
        <w:spacing w:after="0" w:line="240" w:lineRule="auto"/>
      </w:pPr>
      <w:r>
        <w:continuationSeparator/>
      </w:r>
    </w:p>
  </w:footnote>
  <w:footnote w:type="continuationNotice" w:id="1">
    <w:p w14:paraId="6106F9BF" w14:textId="77777777" w:rsidR="00BB6CC7" w:rsidRDefault="00BB6CC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3E4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FAB264" wp14:editId="569A6E1C">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8FE8A2D" w14:textId="77777777" w:rsidR="008B2543" w:rsidRPr="008C00F8" w:rsidRDefault="008B2543" w:rsidP="005E6D38">
    <w:pPr>
      <w:pStyle w:val="Heading1"/>
      <w:spacing w:before="60" w:after="60"/>
      <w:rPr>
        <w:rFonts w:ascii="Arial" w:hAnsi="Arial" w:cs="Arial"/>
      </w:rPr>
    </w:pPr>
  </w:p>
  <w:p w14:paraId="7807A05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AB8FF" w14:textId="6074DEC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D7F0275" wp14:editId="0C8E3DFD">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E77F8E2"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072A2710"/>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F6269092">
      <w:start w:val="1"/>
      <w:numFmt w:val="lowerLetter"/>
      <w:lvlText w:val="%4)"/>
      <w:lvlJc w:val="left"/>
      <w:pPr>
        <w:ind w:left="3306" w:hanging="786"/>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A6A43F7"/>
    <w:multiLevelType w:val="hybridMultilevel"/>
    <w:tmpl w:val="15605100"/>
    <w:lvl w:ilvl="0" w:tplc="08090001">
      <w:start w:val="1"/>
      <w:numFmt w:val="bullet"/>
      <w:lvlText w:val=""/>
      <w:lvlJc w:val="left"/>
      <w:pPr>
        <w:ind w:left="1146" w:hanging="360"/>
      </w:pPr>
      <w:rPr>
        <w:rFonts w:ascii="Symbol" w:hAnsi="Symbol" w:hint="default"/>
      </w:rPr>
    </w:lvl>
    <w:lvl w:ilvl="1" w:tplc="C0CAA01C">
      <w:start w:val="1"/>
      <w:numFmt w:val="lowerRoman"/>
      <w:lvlText w:val="%2."/>
      <w:lvlJc w:val="left"/>
      <w:pPr>
        <w:ind w:left="2226" w:hanging="720"/>
      </w:pPr>
      <w:rPr>
        <w:rFonts w:hint="default"/>
      </w:rPr>
    </w:lvl>
    <w:lvl w:ilvl="2" w:tplc="08090005" w:tentative="1">
      <w:start w:val="1"/>
      <w:numFmt w:val="bullet"/>
      <w:lvlText w:val=""/>
      <w:lvlJc w:val="left"/>
      <w:pPr>
        <w:ind w:left="2586" w:hanging="360"/>
      </w:pPr>
      <w:rPr>
        <w:rFonts w:ascii="Wingdings" w:hAnsi="Wingdings" w:hint="default"/>
      </w:rPr>
    </w:lvl>
    <w:lvl w:ilvl="3" w:tplc="7C82F930">
      <w:start w:val="1"/>
      <w:numFmt w:val="lowerLetter"/>
      <w:lvlText w:val="%4)"/>
      <w:lvlJc w:val="left"/>
      <w:pPr>
        <w:ind w:left="3306" w:hanging="360"/>
      </w:pPr>
      <w:rPr>
        <w:rFonts w:ascii="Arial" w:eastAsiaTheme="minorEastAsia" w:hAnsi="Arial" w:cs="Arial"/>
        <w:b w:val="0"/>
        <w:i w:val="0"/>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0341ACA"/>
    <w:multiLevelType w:val="hybridMultilevel"/>
    <w:tmpl w:val="C56EC4D2"/>
    <w:lvl w:ilvl="0" w:tplc="C0CAA01C">
      <w:start w:val="1"/>
      <w:numFmt w:val="lowerRoman"/>
      <w:lvlText w:val="%1."/>
      <w:lvlJc w:val="left"/>
      <w:pPr>
        <w:ind w:left="1800" w:hanging="72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09E7DD0"/>
    <w:multiLevelType w:val="hybridMultilevel"/>
    <w:tmpl w:val="E46A671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69BCEF7A"/>
    <w:lvl w:ilvl="0" w:tplc="95F2D2F2">
      <w:start w:val="1"/>
      <w:numFmt w:val="decimal"/>
      <w:lvlText w:val="%1."/>
      <w:lvlJc w:val="left"/>
      <w:pPr>
        <w:ind w:left="360" w:hanging="360"/>
      </w:pPr>
      <w:rPr>
        <w:rFonts w:ascii="Arial" w:hAnsi="Arial" w:cs="Arial" w:hint="default"/>
        <w:sz w:val="20"/>
        <w:szCs w:val="22"/>
      </w:rPr>
    </w:lvl>
    <w:lvl w:ilvl="1" w:tplc="C6F8C1F2">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B670A13"/>
    <w:multiLevelType w:val="hybridMultilevel"/>
    <w:tmpl w:val="78E46244"/>
    <w:lvl w:ilvl="0" w:tplc="7C82F930">
      <w:start w:val="1"/>
      <w:numFmt w:val="lowerLetter"/>
      <w:lvlText w:val="%1)"/>
      <w:lvlJc w:val="left"/>
      <w:pPr>
        <w:ind w:left="3306" w:hanging="360"/>
      </w:pPr>
      <w:rPr>
        <w:rFonts w:ascii="Arial" w:eastAsiaTheme="minorEastAsia" w:hAnsi="Arial" w:cs="Arial"/>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ED6486"/>
    <w:multiLevelType w:val="hybridMultilevel"/>
    <w:tmpl w:val="552610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43B4DD6"/>
    <w:multiLevelType w:val="hybridMultilevel"/>
    <w:tmpl w:val="80862FF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2"/>
  </w:num>
  <w:num w:numId="6">
    <w:abstractNumId w:val="10"/>
  </w:num>
  <w:num w:numId="7">
    <w:abstractNumId w:val="17"/>
  </w:num>
  <w:num w:numId="8">
    <w:abstractNumId w:val="11"/>
  </w:num>
  <w:num w:numId="9">
    <w:abstractNumId w:val="15"/>
  </w:num>
  <w:num w:numId="10">
    <w:abstractNumId w:val="8"/>
  </w:num>
  <w:num w:numId="11">
    <w:abstractNumId w:val="2"/>
  </w:num>
  <w:num w:numId="12">
    <w:abstractNumId w:val="3"/>
  </w:num>
  <w:num w:numId="13">
    <w:abstractNumId w:val="9"/>
  </w:num>
  <w:num w:numId="14">
    <w:abstractNumId w:val="6"/>
  </w:num>
  <w:num w:numId="15">
    <w:abstractNumId w:val="7"/>
  </w:num>
  <w:num w:numId="16">
    <w:abstractNumId w:val="13"/>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73"/>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56FC"/>
    <w:rsid w:val="000678D3"/>
    <w:rsid w:val="0007557C"/>
    <w:rsid w:val="00081B27"/>
    <w:rsid w:val="00094810"/>
    <w:rsid w:val="000A284E"/>
    <w:rsid w:val="000C0294"/>
    <w:rsid w:val="000C4F1F"/>
    <w:rsid w:val="000C6BCE"/>
    <w:rsid w:val="000C7A1C"/>
    <w:rsid w:val="000D2A8A"/>
    <w:rsid w:val="000D32AC"/>
    <w:rsid w:val="000E2032"/>
    <w:rsid w:val="000E20C1"/>
    <w:rsid w:val="000E3B73"/>
    <w:rsid w:val="000F6C56"/>
    <w:rsid w:val="000F7FBF"/>
    <w:rsid w:val="00100D79"/>
    <w:rsid w:val="00106BE5"/>
    <w:rsid w:val="00110947"/>
    <w:rsid w:val="00111906"/>
    <w:rsid w:val="00111CB3"/>
    <w:rsid w:val="00117577"/>
    <w:rsid w:val="00117793"/>
    <w:rsid w:val="001206E4"/>
    <w:rsid w:val="001214D3"/>
    <w:rsid w:val="00121BFC"/>
    <w:rsid w:val="001222DB"/>
    <w:rsid w:val="001402AD"/>
    <w:rsid w:val="00140673"/>
    <w:rsid w:val="00145E6A"/>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41D0"/>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476"/>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17FA0"/>
    <w:rsid w:val="003262B9"/>
    <w:rsid w:val="00334A02"/>
    <w:rsid w:val="00335875"/>
    <w:rsid w:val="00335FBE"/>
    <w:rsid w:val="00352D8E"/>
    <w:rsid w:val="00356B68"/>
    <w:rsid w:val="0035702D"/>
    <w:rsid w:val="003604D4"/>
    <w:rsid w:val="003627B0"/>
    <w:rsid w:val="00363CB3"/>
    <w:rsid w:val="0036491D"/>
    <w:rsid w:val="003712C1"/>
    <w:rsid w:val="00373ACB"/>
    <w:rsid w:val="00374DF6"/>
    <w:rsid w:val="003759B0"/>
    <w:rsid w:val="00375F84"/>
    <w:rsid w:val="00376E34"/>
    <w:rsid w:val="003804E7"/>
    <w:rsid w:val="00380EAE"/>
    <w:rsid w:val="003927F2"/>
    <w:rsid w:val="003934D2"/>
    <w:rsid w:val="003973A1"/>
    <w:rsid w:val="003A5DA0"/>
    <w:rsid w:val="003A5EEB"/>
    <w:rsid w:val="003A6143"/>
    <w:rsid w:val="003B35F4"/>
    <w:rsid w:val="003B7C76"/>
    <w:rsid w:val="003C2A5A"/>
    <w:rsid w:val="003C3E0C"/>
    <w:rsid w:val="003C776B"/>
    <w:rsid w:val="003D2952"/>
    <w:rsid w:val="003D4A1C"/>
    <w:rsid w:val="003D7AA0"/>
    <w:rsid w:val="003E1FF7"/>
    <w:rsid w:val="003E311D"/>
    <w:rsid w:val="003F4470"/>
    <w:rsid w:val="003F5A04"/>
    <w:rsid w:val="003F67CD"/>
    <w:rsid w:val="00402ED7"/>
    <w:rsid w:val="00403BCE"/>
    <w:rsid w:val="004074A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60C2"/>
    <w:rsid w:val="005475E2"/>
    <w:rsid w:val="005526FB"/>
    <w:rsid w:val="0055280A"/>
    <w:rsid w:val="005548E1"/>
    <w:rsid w:val="0055585D"/>
    <w:rsid w:val="0056127B"/>
    <w:rsid w:val="00561D26"/>
    <w:rsid w:val="00563E20"/>
    <w:rsid w:val="00567EC9"/>
    <w:rsid w:val="00571630"/>
    <w:rsid w:val="00571F96"/>
    <w:rsid w:val="00572F08"/>
    <w:rsid w:val="005759F4"/>
    <w:rsid w:val="005779D1"/>
    <w:rsid w:val="0058041A"/>
    <w:rsid w:val="0058384F"/>
    <w:rsid w:val="00585D0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67F7B"/>
    <w:rsid w:val="006725EC"/>
    <w:rsid w:val="00674ED0"/>
    <w:rsid w:val="00682650"/>
    <w:rsid w:val="00684851"/>
    <w:rsid w:val="00695285"/>
    <w:rsid w:val="00696B0B"/>
    <w:rsid w:val="006978AD"/>
    <w:rsid w:val="006A38BF"/>
    <w:rsid w:val="006A6BB4"/>
    <w:rsid w:val="006A7FB0"/>
    <w:rsid w:val="006C2A9A"/>
    <w:rsid w:val="006C423D"/>
    <w:rsid w:val="006C46EF"/>
    <w:rsid w:val="006C4C67"/>
    <w:rsid w:val="006D1F38"/>
    <w:rsid w:val="006D41AB"/>
    <w:rsid w:val="006D444F"/>
    <w:rsid w:val="006D6F6D"/>
    <w:rsid w:val="006E4859"/>
    <w:rsid w:val="006F1A15"/>
    <w:rsid w:val="006F3F8B"/>
    <w:rsid w:val="00700488"/>
    <w:rsid w:val="00703404"/>
    <w:rsid w:val="00703F79"/>
    <w:rsid w:val="00703F92"/>
    <w:rsid w:val="00704637"/>
    <w:rsid w:val="00704B74"/>
    <w:rsid w:val="007103E4"/>
    <w:rsid w:val="007105E4"/>
    <w:rsid w:val="00714EE5"/>
    <w:rsid w:val="00715D6C"/>
    <w:rsid w:val="00720270"/>
    <w:rsid w:val="007228A9"/>
    <w:rsid w:val="00724362"/>
    <w:rsid w:val="00727780"/>
    <w:rsid w:val="00736208"/>
    <w:rsid w:val="0073792C"/>
    <w:rsid w:val="00754069"/>
    <w:rsid w:val="00763508"/>
    <w:rsid w:val="007667DF"/>
    <w:rsid w:val="0077080B"/>
    <w:rsid w:val="00787070"/>
    <w:rsid w:val="007906FD"/>
    <w:rsid w:val="00797197"/>
    <w:rsid w:val="007972A7"/>
    <w:rsid w:val="007A2BA2"/>
    <w:rsid w:val="007A6245"/>
    <w:rsid w:val="007A7067"/>
    <w:rsid w:val="007A7376"/>
    <w:rsid w:val="007B1DB2"/>
    <w:rsid w:val="007B375B"/>
    <w:rsid w:val="007B412A"/>
    <w:rsid w:val="007B635E"/>
    <w:rsid w:val="007B7724"/>
    <w:rsid w:val="007B7CDC"/>
    <w:rsid w:val="007C74B4"/>
    <w:rsid w:val="007E2A9A"/>
    <w:rsid w:val="007E3412"/>
    <w:rsid w:val="007F393D"/>
    <w:rsid w:val="0080250F"/>
    <w:rsid w:val="008029AF"/>
    <w:rsid w:val="00802FFA"/>
    <w:rsid w:val="008102E5"/>
    <w:rsid w:val="008111B4"/>
    <w:rsid w:val="008133F0"/>
    <w:rsid w:val="00815713"/>
    <w:rsid w:val="00815880"/>
    <w:rsid w:val="0082322C"/>
    <w:rsid w:val="00823942"/>
    <w:rsid w:val="00827FFD"/>
    <w:rsid w:val="008467A4"/>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186"/>
    <w:rsid w:val="008B4B6E"/>
    <w:rsid w:val="008D7401"/>
    <w:rsid w:val="00903DF6"/>
    <w:rsid w:val="00921CF6"/>
    <w:rsid w:val="009246F0"/>
    <w:rsid w:val="00924EF0"/>
    <w:rsid w:val="00934D7B"/>
    <w:rsid w:val="00942290"/>
    <w:rsid w:val="00947180"/>
    <w:rsid w:val="009567BE"/>
    <w:rsid w:val="009676FA"/>
    <w:rsid w:val="009679E0"/>
    <w:rsid w:val="009757BD"/>
    <w:rsid w:val="00977632"/>
    <w:rsid w:val="00982A8E"/>
    <w:rsid w:val="00986CD3"/>
    <w:rsid w:val="009877DE"/>
    <w:rsid w:val="00987DB4"/>
    <w:rsid w:val="00996204"/>
    <w:rsid w:val="009A26CB"/>
    <w:rsid w:val="009A2D37"/>
    <w:rsid w:val="009A7587"/>
    <w:rsid w:val="009B0A69"/>
    <w:rsid w:val="009B5B0B"/>
    <w:rsid w:val="009C2474"/>
    <w:rsid w:val="009C2816"/>
    <w:rsid w:val="009C7082"/>
    <w:rsid w:val="009D0006"/>
    <w:rsid w:val="009D068C"/>
    <w:rsid w:val="009F239E"/>
    <w:rsid w:val="009F3A2A"/>
    <w:rsid w:val="009F731F"/>
    <w:rsid w:val="00A021FE"/>
    <w:rsid w:val="00A0522A"/>
    <w:rsid w:val="00A1270E"/>
    <w:rsid w:val="00A15342"/>
    <w:rsid w:val="00A3007E"/>
    <w:rsid w:val="00A3203B"/>
    <w:rsid w:val="00A32048"/>
    <w:rsid w:val="00A41F06"/>
    <w:rsid w:val="00A449DF"/>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B01CA"/>
    <w:rsid w:val="00AC7501"/>
    <w:rsid w:val="00AD1039"/>
    <w:rsid w:val="00AD748B"/>
    <w:rsid w:val="00AE4865"/>
    <w:rsid w:val="00AE7321"/>
    <w:rsid w:val="00AF3C1C"/>
    <w:rsid w:val="00AF50EE"/>
    <w:rsid w:val="00B0591D"/>
    <w:rsid w:val="00B13402"/>
    <w:rsid w:val="00B14BC2"/>
    <w:rsid w:val="00B17024"/>
    <w:rsid w:val="00B17CD2"/>
    <w:rsid w:val="00B213D2"/>
    <w:rsid w:val="00B248BA"/>
    <w:rsid w:val="00B24B56"/>
    <w:rsid w:val="00B2615F"/>
    <w:rsid w:val="00B30E07"/>
    <w:rsid w:val="00B34ADD"/>
    <w:rsid w:val="00B4189F"/>
    <w:rsid w:val="00B52FF5"/>
    <w:rsid w:val="00B57219"/>
    <w:rsid w:val="00B658A3"/>
    <w:rsid w:val="00B746A8"/>
    <w:rsid w:val="00B7664D"/>
    <w:rsid w:val="00B80989"/>
    <w:rsid w:val="00B847EA"/>
    <w:rsid w:val="00B9109B"/>
    <w:rsid w:val="00B927AE"/>
    <w:rsid w:val="00B93721"/>
    <w:rsid w:val="00B937B1"/>
    <w:rsid w:val="00BA2208"/>
    <w:rsid w:val="00BA453C"/>
    <w:rsid w:val="00BA4E02"/>
    <w:rsid w:val="00BB2A6D"/>
    <w:rsid w:val="00BB4189"/>
    <w:rsid w:val="00BB42F8"/>
    <w:rsid w:val="00BB6CC7"/>
    <w:rsid w:val="00BC19F7"/>
    <w:rsid w:val="00BC1D37"/>
    <w:rsid w:val="00BC41ED"/>
    <w:rsid w:val="00BD009E"/>
    <w:rsid w:val="00BD0EF8"/>
    <w:rsid w:val="00BD7A8C"/>
    <w:rsid w:val="00BE1C59"/>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47F30"/>
    <w:rsid w:val="00C612A8"/>
    <w:rsid w:val="00C67631"/>
    <w:rsid w:val="00C729D7"/>
    <w:rsid w:val="00C74DA2"/>
    <w:rsid w:val="00C83354"/>
    <w:rsid w:val="00C84004"/>
    <w:rsid w:val="00C843F6"/>
    <w:rsid w:val="00C84507"/>
    <w:rsid w:val="00C862C7"/>
    <w:rsid w:val="00CA3254"/>
    <w:rsid w:val="00CB11CE"/>
    <w:rsid w:val="00CB1E18"/>
    <w:rsid w:val="00CC25A2"/>
    <w:rsid w:val="00CC75A8"/>
    <w:rsid w:val="00CD7F07"/>
    <w:rsid w:val="00CE04F3"/>
    <w:rsid w:val="00CE12D8"/>
    <w:rsid w:val="00CE4574"/>
    <w:rsid w:val="00CE70E6"/>
    <w:rsid w:val="00CE725A"/>
    <w:rsid w:val="00CF2E1E"/>
    <w:rsid w:val="00D02E99"/>
    <w:rsid w:val="00D079B0"/>
    <w:rsid w:val="00D103CC"/>
    <w:rsid w:val="00D13357"/>
    <w:rsid w:val="00D13A13"/>
    <w:rsid w:val="00D2689A"/>
    <w:rsid w:val="00D65506"/>
    <w:rsid w:val="00D71DF4"/>
    <w:rsid w:val="00D773CF"/>
    <w:rsid w:val="00D83563"/>
    <w:rsid w:val="00D8448F"/>
    <w:rsid w:val="00DA64B6"/>
    <w:rsid w:val="00DB3180"/>
    <w:rsid w:val="00DB5C9D"/>
    <w:rsid w:val="00DB719E"/>
    <w:rsid w:val="00DD02E6"/>
    <w:rsid w:val="00DD2606"/>
    <w:rsid w:val="00DE388B"/>
    <w:rsid w:val="00DE4F08"/>
    <w:rsid w:val="00DF2132"/>
    <w:rsid w:val="00DF665B"/>
    <w:rsid w:val="00E0152A"/>
    <w:rsid w:val="00E03394"/>
    <w:rsid w:val="00E066E5"/>
    <w:rsid w:val="00E22F03"/>
    <w:rsid w:val="00E233C1"/>
    <w:rsid w:val="00E23ADD"/>
    <w:rsid w:val="00E51404"/>
    <w:rsid w:val="00E574C9"/>
    <w:rsid w:val="00E610DE"/>
    <w:rsid w:val="00E66167"/>
    <w:rsid w:val="00E71F2F"/>
    <w:rsid w:val="00E77786"/>
    <w:rsid w:val="00E806FB"/>
    <w:rsid w:val="00EA6558"/>
    <w:rsid w:val="00EB1C2D"/>
    <w:rsid w:val="00EC1810"/>
    <w:rsid w:val="00EC3FCC"/>
    <w:rsid w:val="00EC432B"/>
    <w:rsid w:val="00ED32FF"/>
    <w:rsid w:val="00EE6A6F"/>
    <w:rsid w:val="00EF039B"/>
    <w:rsid w:val="00EF351D"/>
    <w:rsid w:val="00EF4933"/>
    <w:rsid w:val="00EF5044"/>
    <w:rsid w:val="00F01956"/>
    <w:rsid w:val="00F116CE"/>
    <w:rsid w:val="00F11FD3"/>
    <w:rsid w:val="00F128E1"/>
    <w:rsid w:val="00F13955"/>
    <w:rsid w:val="00F176DE"/>
    <w:rsid w:val="00F21C47"/>
    <w:rsid w:val="00F244E2"/>
    <w:rsid w:val="00F25953"/>
    <w:rsid w:val="00F340DE"/>
    <w:rsid w:val="00F43542"/>
    <w:rsid w:val="00F527CB"/>
    <w:rsid w:val="00F562AA"/>
    <w:rsid w:val="00F66348"/>
    <w:rsid w:val="00F7105A"/>
    <w:rsid w:val="00F77676"/>
    <w:rsid w:val="00F8197C"/>
    <w:rsid w:val="00F82B4E"/>
    <w:rsid w:val="00F86D53"/>
    <w:rsid w:val="00F87559"/>
    <w:rsid w:val="00F96D71"/>
    <w:rsid w:val="00F97C9E"/>
    <w:rsid w:val="00FA20DE"/>
    <w:rsid w:val="00FA4EE8"/>
    <w:rsid w:val="00FB12CA"/>
    <w:rsid w:val="00FB36EC"/>
    <w:rsid w:val="00FB4D9D"/>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E82B76"/>
  <w15:docId w15:val="{CC82F5EF-4BE8-4626-9CD5-C30E1509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BD4A40-BF1E-42FA-A727-FC62BA9468AB}">
  <ds:schemaRefs>
    <ds:schemaRef ds:uri="http://schemas.openxmlformats.org/officeDocument/2006/bibliography"/>
  </ds:schemaRefs>
</ds:datastoreItem>
</file>

<file path=customXml/itemProps2.xml><?xml version="1.0" encoding="utf-8"?>
<ds:datastoreItem xmlns:ds="http://schemas.openxmlformats.org/officeDocument/2006/customXml" ds:itemID="{201B09B9-E460-480B-8E17-44CDFB94EBC5}"/>
</file>

<file path=customXml/itemProps3.xml><?xml version="1.0" encoding="utf-8"?>
<ds:datastoreItem xmlns:ds="http://schemas.openxmlformats.org/officeDocument/2006/customXml" ds:itemID="{BFFF1AFA-48C7-4026-8528-5CB99ECF6F2C}"/>
</file>

<file path=customXml/itemProps4.xml><?xml version="1.0" encoding="utf-8"?>
<ds:datastoreItem xmlns:ds="http://schemas.openxmlformats.org/officeDocument/2006/customXml" ds:itemID="{7056C0A1-DA4B-4C5C-88EF-F47CA502EBD9}"/>
</file>

<file path=docProps/app.xml><?xml version="1.0" encoding="utf-8"?>
<Properties xmlns="http://schemas.openxmlformats.org/officeDocument/2006/extended-properties" xmlns:vt="http://schemas.openxmlformats.org/officeDocument/2006/docPropsVTypes">
  <Template>Normal</Template>
  <TotalTime>0</TotalTime>
  <Pages>5</Pages>
  <Words>1191</Words>
  <Characters>6792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R.G.Rowe</cp:lastModifiedBy>
  <cp:revision>2</cp:revision>
  <cp:lastPrinted>2015-09-24T14:18:00Z</cp:lastPrinted>
  <dcterms:created xsi:type="dcterms:W3CDTF">2019-01-14T11:31:00Z</dcterms:created>
  <dcterms:modified xsi:type="dcterms:W3CDTF">2019-01-14T11:31:00Z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