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1E812" w14:textId="77777777"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5F20D713" w14:textId="6BC3A36D" w:rsidR="009A2D37" w:rsidRPr="00373ACB" w:rsidRDefault="00B87A41" w:rsidP="0066061A">
      <w:pPr>
        <w:spacing w:after="120" w:line="240" w:lineRule="auto"/>
        <w:ind w:left="426" w:right="260"/>
        <w:rPr>
          <w:rFonts w:ascii="Arial" w:hAnsi="Arial" w:cs="Arial"/>
          <w:sz w:val="20"/>
          <w:szCs w:val="20"/>
        </w:rPr>
      </w:pPr>
      <w:bookmarkStart w:id="0" w:name="_GoBack"/>
      <w:bookmarkEnd w:id="0"/>
      <w:r w:rsidRPr="00B87A41">
        <w:rPr>
          <w:rFonts w:ascii="Arial" w:hAnsi="Arial" w:cs="Arial"/>
          <w:sz w:val="20"/>
          <w:szCs w:val="20"/>
        </w:rPr>
        <w:t>LAWS6380 (LW638)</w:t>
      </w:r>
      <w:r>
        <w:rPr>
          <w:rFonts w:ascii="Arial" w:hAnsi="Arial" w:cs="Arial"/>
          <w:sz w:val="20"/>
          <w:szCs w:val="20"/>
        </w:rPr>
        <w:t xml:space="preserve"> </w:t>
      </w:r>
      <w:r w:rsidR="009F59B0" w:rsidRPr="009F59B0">
        <w:rPr>
          <w:rFonts w:ascii="Arial" w:hAnsi="Arial" w:cs="Arial"/>
          <w:sz w:val="20"/>
          <w:szCs w:val="20"/>
        </w:rPr>
        <w:t>Mooting</w:t>
      </w:r>
      <w:r w:rsidR="00FB60EA">
        <w:rPr>
          <w:rFonts w:ascii="Arial" w:hAnsi="Arial" w:cs="Arial"/>
          <w:sz w:val="20"/>
          <w:szCs w:val="20"/>
        </w:rPr>
        <w:t xml:space="preserve"> </w:t>
      </w:r>
    </w:p>
    <w:p w14:paraId="09E7DA42" w14:textId="77777777" w:rsidR="00C07A56" w:rsidRPr="00373ACB" w:rsidRDefault="00C07A56" w:rsidP="0066061A">
      <w:pPr>
        <w:spacing w:after="120" w:line="240" w:lineRule="auto"/>
        <w:ind w:left="426" w:right="260"/>
        <w:jc w:val="both"/>
        <w:rPr>
          <w:rFonts w:ascii="Arial" w:hAnsi="Arial" w:cs="Arial"/>
          <w:sz w:val="20"/>
          <w:szCs w:val="20"/>
        </w:rPr>
      </w:pPr>
    </w:p>
    <w:p w14:paraId="1EACCE1A"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666B70CB"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42D3022C" w14:textId="77777777" w:rsidR="00C07A56" w:rsidRPr="00373ACB" w:rsidRDefault="00C07A56" w:rsidP="0066061A">
      <w:pPr>
        <w:spacing w:after="120" w:line="240" w:lineRule="auto"/>
        <w:ind w:left="426" w:right="260"/>
        <w:rPr>
          <w:rFonts w:ascii="Arial" w:hAnsi="Arial" w:cs="Arial"/>
          <w:iCs/>
          <w:sz w:val="20"/>
          <w:szCs w:val="20"/>
        </w:rPr>
      </w:pPr>
    </w:p>
    <w:p w14:paraId="34073770"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13E69B48" w14:textId="06031AEB" w:rsidR="009A2D37" w:rsidRPr="00373ACB" w:rsidRDefault="00BC1D37" w:rsidP="0066061A">
      <w:pPr>
        <w:spacing w:after="120" w:line="240" w:lineRule="auto"/>
        <w:ind w:left="426" w:right="260"/>
        <w:rPr>
          <w:rFonts w:ascii="Arial" w:hAnsi="Arial" w:cs="Arial"/>
          <w:iCs/>
          <w:sz w:val="20"/>
          <w:szCs w:val="20"/>
        </w:rPr>
      </w:pPr>
      <w:r>
        <w:rPr>
          <w:rFonts w:ascii="Arial" w:hAnsi="Arial" w:cs="Arial"/>
          <w:iCs/>
          <w:sz w:val="20"/>
          <w:szCs w:val="20"/>
        </w:rPr>
        <w:t xml:space="preserve">Level </w:t>
      </w:r>
      <w:r w:rsidR="009F59B0">
        <w:rPr>
          <w:rFonts w:ascii="Arial" w:hAnsi="Arial" w:cs="Arial"/>
          <w:iCs/>
          <w:sz w:val="20"/>
          <w:szCs w:val="20"/>
        </w:rPr>
        <w:t>5</w:t>
      </w:r>
    </w:p>
    <w:p w14:paraId="10DFD999" w14:textId="77777777" w:rsidR="00C07A56" w:rsidRPr="00373ACB" w:rsidRDefault="00C07A56" w:rsidP="0066061A">
      <w:pPr>
        <w:spacing w:after="120" w:line="240" w:lineRule="auto"/>
        <w:ind w:left="426" w:right="260"/>
        <w:rPr>
          <w:rFonts w:ascii="Arial" w:hAnsi="Arial" w:cs="Arial"/>
          <w:iCs/>
          <w:sz w:val="20"/>
          <w:szCs w:val="20"/>
        </w:rPr>
      </w:pPr>
    </w:p>
    <w:p w14:paraId="76AB7E26" w14:textId="3CA2A8A7" w:rsidR="009A2D37"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139BD0F4" w14:textId="77777777" w:rsidR="009F59B0" w:rsidRPr="00C94345" w:rsidRDefault="009F59B0" w:rsidP="009F59B0">
      <w:pPr>
        <w:spacing w:before="60" w:after="60" w:line="240" w:lineRule="auto"/>
        <w:ind w:right="-330" w:firstLine="426"/>
        <w:jc w:val="both"/>
        <w:rPr>
          <w:rFonts w:ascii="Arial" w:hAnsi="Arial" w:cs="Arial"/>
          <w:sz w:val="20"/>
          <w:szCs w:val="20"/>
        </w:rPr>
      </w:pPr>
      <w:r w:rsidRPr="00C94345">
        <w:rPr>
          <w:rFonts w:ascii="Arial" w:hAnsi="Arial" w:cs="Arial"/>
          <w:sz w:val="20"/>
          <w:szCs w:val="20"/>
        </w:rPr>
        <w:t>3 credits, these are non-contributory</w:t>
      </w:r>
    </w:p>
    <w:p w14:paraId="472CED01" w14:textId="77777777" w:rsidR="009F59B0" w:rsidRPr="00373ACB" w:rsidRDefault="009F59B0" w:rsidP="009F59B0">
      <w:pPr>
        <w:spacing w:after="120" w:line="240" w:lineRule="auto"/>
        <w:ind w:left="426" w:right="260"/>
        <w:jc w:val="both"/>
        <w:rPr>
          <w:rFonts w:ascii="Arial" w:hAnsi="Arial" w:cs="Arial"/>
          <w:b/>
          <w:sz w:val="20"/>
          <w:szCs w:val="20"/>
        </w:rPr>
      </w:pPr>
    </w:p>
    <w:p w14:paraId="0256D78A"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589769BA" w14:textId="60A4EDEC" w:rsidR="00BC1D37" w:rsidRPr="00380EAE" w:rsidRDefault="00BC1D37" w:rsidP="0066061A">
      <w:pPr>
        <w:spacing w:line="240" w:lineRule="auto"/>
        <w:ind w:left="426"/>
        <w:rPr>
          <w:rFonts w:ascii="Arial" w:hAnsi="Arial" w:cs="Arial"/>
          <w:sz w:val="20"/>
          <w:szCs w:val="20"/>
        </w:rPr>
      </w:pPr>
      <w:r>
        <w:rPr>
          <w:rFonts w:ascii="Arial" w:hAnsi="Arial" w:cs="Arial"/>
          <w:sz w:val="20"/>
          <w:szCs w:val="20"/>
        </w:rPr>
        <w:t>Autumn and Spring</w:t>
      </w:r>
    </w:p>
    <w:p w14:paraId="43BFDEF0" w14:textId="77777777" w:rsidR="00C07A56" w:rsidRPr="00373ACB" w:rsidRDefault="00C07A56" w:rsidP="005E3FA7">
      <w:pPr>
        <w:spacing w:line="240" w:lineRule="auto"/>
        <w:ind w:left="426"/>
        <w:rPr>
          <w:rFonts w:ascii="Arial" w:hAnsi="Arial" w:cs="Arial"/>
          <w:b/>
          <w:sz w:val="20"/>
          <w:szCs w:val="20"/>
        </w:rPr>
      </w:pPr>
    </w:p>
    <w:p w14:paraId="32D869EA"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20C0C982" w14:textId="43F6C2C3" w:rsidR="005E3FA7" w:rsidRDefault="009F59B0" w:rsidP="005E3FA7">
      <w:pPr>
        <w:spacing w:after="120" w:line="240" w:lineRule="auto"/>
        <w:ind w:left="426" w:right="260"/>
        <w:rPr>
          <w:rFonts w:ascii="Arial" w:hAnsi="Arial" w:cs="Arial"/>
          <w:sz w:val="20"/>
          <w:szCs w:val="20"/>
        </w:rPr>
      </w:pPr>
      <w:r w:rsidRPr="009F59B0">
        <w:rPr>
          <w:rFonts w:ascii="Arial" w:hAnsi="Arial" w:cs="Arial"/>
          <w:sz w:val="20"/>
          <w:szCs w:val="20"/>
        </w:rPr>
        <w:t>None</w:t>
      </w:r>
    </w:p>
    <w:p w14:paraId="6C9A7FCA" w14:textId="77777777" w:rsidR="00C94345" w:rsidRPr="009F59B0" w:rsidRDefault="00C94345" w:rsidP="005E3FA7">
      <w:pPr>
        <w:spacing w:after="120" w:line="240" w:lineRule="auto"/>
        <w:ind w:left="426" w:right="260"/>
        <w:rPr>
          <w:rFonts w:ascii="Arial" w:hAnsi="Arial" w:cs="Arial"/>
          <w:sz w:val="20"/>
          <w:szCs w:val="20"/>
        </w:rPr>
      </w:pPr>
    </w:p>
    <w:p w14:paraId="1EFF3341"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20D044CA" w14:textId="0416C07B" w:rsidR="009F59B0" w:rsidRPr="00C94345" w:rsidRDefault="009F59B0" w:rsidP="009F59B0">
      <w:pPr>
        <w:spacing w:before="60" w:after="60" w:line="240" w:lineRule="auto"/>
        <w:ind w:right="-330" w:firstLine="426"/>
        <w:jc w:val="both"/>
        <w:rPr>
          <w:rFonts w:ascii="Arial" w:hAnsi="Arial" w:cs="Arial"/>
          <w:sz w:val="20"/>
          <w:szCs w:val="20"/>
        </w:rPr>
      </w:pPr>
      <w:r w:rsidRPr="00C94345">
        <w:rPr>
          <w:rFonts w:ascii="Arial" w:hAnsi="Arial" w:cs="Arial"/>
          <w:sz w:val="20"/>
          <w:szCs w:val="20"/>
        </w:rPr>
        <w:t xml:space="preserve">All single and joint </w:t>
      </w:r>
      <w:r w:rsidR="00C94345" w:rsidRPr="00C94345">
        <w:rPr>
          <w:rFonts w:ascii="Arial" w:hAnsi="Arial" w:cs="Arial"/>
          <w:sz w:val="20"/>
          <w:szCs w:val="20"/>
        </w:rPr>
        <w:t>honours</w:t>
      </w:r>
      <w:r w:rsidRPr="00C94345">
        <w:rPr>
          <w:rFonts w:ascii="Arial" w:hAnsi="Arial" w:cs="Arial"/>
          <w:sz w:val="20"/>
          <w:szCs w:val="20"/>
        </w:rPr>
        <w:t xml:space="preserve"> Law programmes. Not available to first year students.</w:t>
      </w:r>
    </w:p>
    <w:p w14:paraId="3F5E12D7" w14:textId="77777777" w:rsidR="009A2D37" w:rsidRPr="00373ACB" w:rsidRDefault="009A2D37" w:rsidP="0066061A">
      <w:pPr>
        <w:spacing w:after="120" w:line="240" w:lineRule="auto"/>
        <w:ind w:left="426" w:right="260"/>
        <w:rPr>
          <w:rFonts w:ascii="Arial" w:hAnsi="Arial" w:cs="Arial"/>
          <w:iCs/>
          <w:sz w:val="20"/>
          <w:szCs w:val="20"/>
        </w:rPr>
      </w:pPr>
    </w:p>
    <w:p w14:paraId="17058DDC" w14:textId="77777777" w:rsidR="00C07A56" w:rsidRPr="00373ACB" w:rsidRDefault="00C07A56" w:rsidP="0066061A">
      <w:pPr>
        <w:spacing w:after="120" w:line="240" w:lineRule="auto"/>
        <w:ind w:left="426" w:right="260"/>
        <w:rPr>
          <w:rFonts w:ascii="Arial" w:hAnsi="Arial" w:cs="Arial"/>
          <w:iCs/>
          <w:sz w:val="20"/>
          <w:szCs w:val="20"/>
        </w:rPr>
      </w:pPr>
    </w:p>
    <w:p w14:paraId="4B1FFCE6" w14:textId="247959BA"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47BE7">
        <w:rPr>
          <w:rFonts w:ascii="Arial" w:hAnsi="Arial" w:cs="Arial"/>
          <w:b/>
          <w:sz w:val="20"/>
          <w:szCs w:val="20"/>
        </w:rPr>
        <w:t xml:space="preserve"> </w:t>
      </w:r>
      <w:r w:rsidR="00C729D7" w:rsidRPr="00373ACB">
        <w:rPr>
          <w:rFonts w:ascii="Arial" w:hAnsi="Arial" w:cs="Arial"/>
          <w:b/>
          <w:sz w:val="20"/>
          <w:szCs w:val="20"/>
        </w:rPr>
        <w:t>students will be able to:</w:t>
      </w:r>
    </w:p>
    <w:p w14:paraId="2535E470" w14:textId="77777777" w:rsidR="00380EAE" w:rsidRPr="00373ACB" w:rsidRDefault="00380EAE" w:rsidP="00796421">
      <w:pPr>
        <w:spacing w:after="120" w:line="240" w:lineRule="auto"/>
        <w:ind w:left="426" w:right="260"/>
        <w:rPr>
          <w:rFonts w:ascii="Arial" w:hAnsi="Arial" w:cs="Arial"/>
          <w:b/>
          <w:sz w:val="20"/>
          <w:szCs w:val="20"/>
        </w:rPr>
      </w:pPr>
    </w:p>
    <w:p w14:paraId="27617336" w14:textId="6679C467" w:rsidR="009F59B0" w:rsidRPr="00C94345" w:rsidRDefault="00C94345" w:rsidP="00796421">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 xml:space="preserve">Demonstrate </w:t>
      </w:r>
      <w:r w:rsidR="009F59B0" w:rsidRPr="00C94345">
        <w:rPr>
          <w:rFonts w:ascii="Arial" w:hAnsi="Arial" w:cs="Arial"/>
          <w:sz w:val="20"/>
          <w:szCs w:val="20"/>
        </w:rPr>
        <w:t>detailed knowledge and understanding of the general principles underlying successful advocacy;</w:t>
      </w:r>
    </w:p>
    <w:p w14:paraId="608DAB91" w14:textId="2E9F9CBB" w:rsidR="009F59B0" w:rsidRPr="00C94345" w:rsidRDefault="00C94345" w:rsidP="00796421">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 xml:space="preserve">Demonstrate </w:t>
      </w:r>
      <w:r w:rsidR="009F59B0" w:rsidRPr="00C94345">
        <w:rPr>
          <w:rFonts w:ascii="Arial" w:hAnsi="Arial" w:cs="Arial"/>
          <w:sz w:val="20"/>
          <w:szCs w:val="20"/>
        </w:rPr>
        <w:t>detailed knowledge and understanding of the preparatory work required for successful advocacy and its purpose e.g. the production of skeleton arguments;</w:t>
      </w:r>
    </w:p>
    <w:p w14:paraId="35FBC86C" w14:textId="31D59170" w:rsidR="009F59B0" w:rsidRPr="00C94345" w:rsidRDefault="00C94345" w:rsidP="00796421">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 xml:space="preserve">Demonstrate </w:t>
      </w:r>
      <w:r w:rsidR="009F59B0" w:rsidRPr="00C94345">
        <w:rPr>
          <w:rFonts w:ascii="Arial" w:hAnsi="Arial" w:cs="Arial"/>
          <w:sz w:val="20"/>
          <w:szCs w:val="20"/>
        </w:rPr>
        <w:t>detailed knowledge and understanding of the law, practice, techniques and etiquette of advocacy;</w:t>
      </w:r>
    </w:p>
    <w:p w14:paraId="1F897135" w14:textId="77777777" w:rsidR="008A4BCA" w:rsidRPr="00C94345" w:rsidRDefault="008A4BCA" w:rsidP="00796421">
      <w:pPr>
        <w:spacing w:after="120" w:line="240" w:lineRule="auto"/>
        <w:ind w:left="426" w:right="260"/>
        <w:rPr>
          <w:rFonts w:ascii="Arial" w:hAnsi="Arial" w:cs="Arial"/>
          <w:sz w:val="20"/>
          <w:szCs w:val="20"/>
        </w:rPr>
      </w:pPr>
    </w:p>
    <w:p w14:paraId="76C8D3E5" w14:textId="77777777" w:rsidR="00373ACB" w:rsidRPr="00373ACB" w:rsidRDefault="00373ACB" w:rsidP="00796421">
      <w:pPr>
        <w:pStyle w:val="ListParagraph"/>
        <w:spacing w:after="120" w:line="240" w:lineRule="auto"/>
        <w:ind w:left="851" w:right="260"/>
        <w:rPr>
          <w:rFonts w:ascii="Arial" w:hAnsi="Arial" w:cs="Arial"/>
          <w:sz w:val="20"/>
          <w:szCs w:val="20"/>
        </w:rPr>
      </w:pPr>
    </w:p>
    <w:p w14:paraId="1175E9A3" w14:textId="5B873870" w:rsidR="00380EAE" w:rsidRDefault="009A2D37" w:rsidP="00796421">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47BE7">
        <w:rPr>
          <w:rFonts w:ascii="Arial" w:hAnsi="Arial" w:cs="Arial"/>
          <w:b/>
          <w:sz w:val="20"/>
          <w:szCs w:val="20"/>
        </w:rPr>
        <w:t xml:space="preserve"> </w:t>
      </w:r>
      <w:r w:rsidR="00C729D7" w:rsidRPr="00373ACB">
        <w:rPr>
          <w:rFonts w:ascii="Arial" w:hAnsi="Arial" w:cs="Arial"/>
          <w:b/>
          <w:sz w:val="20"/>
          <w:szCs w:val="20"/>
        </w:rPr>
        <w:t>students will be able to:</w:t>
      </w:r>
    </w:p>
    <w:p w14:paraId="7390C5FD" w14:textId="77777777" w:rsidR="00380EAE" w:rsidRPr="00380EAE" w:rsidRDefault="00380EAE" w:rsidP="00796421">
      <w:pPr>
        <w:spacing w:after="120" w:line="240" w:lineRule="auto"/>
        <w:ind w:left="426" w:right="260"/>
        <w:rPr>
          <w:rFonts w:ascii="Arial" w:hAnsi="Arial" w:cs="Arial"/>
          <w:b/>
          <w:sz w:val="20"/>
          <w:szCs w:val="20"/>
        </w:rPr>
      </w:pPr>
    </w:p>
    <w:p w14:paraId="358AC2CD" w14:textId="41950A05" w:rsidR="009F59B0" w:rsidRPr="00C94345" w:rsidRDefault="00E05EB1" w:rsidP="00796421">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I</w:t>
      </w:r>
      <w:r w:rsidR="009F59B0" w:rsidRPr="00C94345">
        <w:rPr>
          <w:rFonts w:ascii="Arial" w:hAnsi="Arial" w:cs="Arial"/>
          <w:sz w:val="20"/>
          <w:szCs w:val="20"/>
        </w:rPr>
        <w:t xml:space="preserve">dentify accurately the issue(s) that require research; </w:t>
      </w:r>
    </w:p>
    <w:p w14:paraId="276010BC" w14:textId="7A17CF0E" w:rsidR="009F59B0" w:rsidRPr="00C94345" w:rsidRDefault="00E05EB1" w:rsidP="00796421">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U</w:t>
      </w:r>
      <w:r w:rsidR="009F59B0" w:rsidRPr="00C94345">
        <w:rPr>
          <w:rFonts w:ascii="Arial" w:hAnsi="Arial" w:cs="Arial"/>
          <w:sz w:val="20"/>
          <w:szCs w:val="20"/>
        </w:rPr>
        <w:t>ndertake relevant research which may or may not include research into an area of law covered by another law module;</w:t>
      </w:r>
    </w:p>
    <w:p w14:paraId="2B6EC31B" w14:textId="18CFBD07" w:rsidR="009F59B0" w:rsidRPr="00C94345" w:rsidRDefault="00E05EB1" w:rsidP="00796421">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W</w:t>
      </w:r>
      <w:r w:rsidR="009F59B0" w:rsidRPr="00C94345">
        <w:rPr>
          <w:rFonts w:ascii="Arial" w:hAnsi="Arial" w:cs="Arial"/>
          <w:sz w:val="20"/>
          <w:szCs w:val="20"/>
        </w:rPr>
        <w:t>rite a short and concise skeleton argument;</w:t>
      </w:r>
    </w:p>
    <w:p w14:paraId="533FAF3C" w14:textId="1C3BA951" w:rsidR="009F59B0" w:rsidRPr="00C94345" w:rsidRDefault="00E05EB1" w:rsidP="00796421">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P</w:t>
      </w:r>
      <w:r w:rsidR="009F59B0" w:rsidRPr="00C94345">
        <w:rPr>
          <w:rFonts w:ascii="Arial" w:hAnsi="Arial" w:cs="Arial"/>
          <w:sz w:val="20"/>
          <w:szCs w:val="20"/>
        </w:rPr>
        <w:t>repare for and conduct advocacy effectively, persuasively and ethically;</w:t>
      </w:r>
    </w:p>
    <w:p w14:paraId="14086875" w14:textId="77777777" w:rsidR="00373ACB" w:rsidRPr="00C94345" w:rsidRDefault="00373ACB" w:rsidP="009F59B0">
      <w:pPr>
        <w:pStyle w:val="ListParagraph"/>
        <w:spacing w:after="120" w:line="240" w:lineRule="auto"/>
        <w:ind w:left="851" w:right="260"/>
        <w:rPr>
          <w:rFonts w:ascii="Arial" w:hAnsi="Arial" w:cs="Arial"/>
          <w:sz w:val="20"/>
          <w:szCs w:val="20"/>
        </w:rPr>
      </w:pPr>
    </w:p>
    <w:p w14:paraId="219C1990" w14:textId="77777777" w:rsidR="00373ACB" w:rsidRPr="00C94345" w:rsidRDefault="00373ACB" w:rsidP="0066061A">
      <w:pPr>
        <w:pStyle w:val="Default"/>
        <w:spacing w:after="120"/>
        <w:ind w:right="260"/>
        <w:rPr>
          <w:color w:val="auto"/>
          <w:sz w:val="20"/>
          <w:szCs w:val="20"/>
        </w:rPr>
      </w:pPr>
    </w:p>
    <w:p w14:paraId="7C8D609B" w14:textId="77777777" w:rsidR="009A2D37" w:rsidRPr="00373ACB" w:rsidRDefault="009A2D37" w:rsidP="0079642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278A2134" w14:textId="6D8D004B" w:rsidR="009F59B0" w:rsidRPr="00C94345" w:rsidRDefault="009F59B0" w:rsidP="00796421">
      <w:pPr>
        <w:spacing w:before="60" w:after="60" w:line="240" w:lineRule="auto"/>
        <w:ind w:left="426" w:right="260"/>
        <w:jc w:val="both"/>
        <w:rPr>
          <w:rFonts w:ascii="Arial" w:hAnsi="Arial" w:cs="Arial"/>
          <w:sz w:val="20"/>
          <w:szCs w:val="20"/>
        </w:rPr>
      </w:pPr>
      <w:r w:rsidRPr="00C94345">
        <w:rPr>
          <w:rFonts w:ascii="Arial" w:hAnsi="Arial" w:cs="Arial"/>
          <w:sz w:val="20"/>
          <w:szCs w:val="20"/>
        </w:rPr>
        <w:t>This non-contributory module provides an introduction to and practical experience of mooting and the skills required to resolve legal disputes</w:t>
      </w:r>
      <w:r w:rsidR="008E3686">
        <w:rPr>
          <w:rFonts w:ascii="Arial" w:hAnsi="Arial" w:cs="Arial"/>
          <w:sz w:val="20"/>
          <w:szCs w:val="20"/>
        </w:rPr>
        <w:t xml:space="preserve"> predominantly </w:t>
      </w:r>
      <w:r w:rsidRPr="00C94345">
        <w:rPr>
          <w:rFonts w:ascii="Arial" w:hAnsi="Arial" w:cs="Arial"/>
          <w:sz w:val="20"/>
          <w:szCs w:val="20"/>
        </w:rPr>
        <w:t>in the context of appellate litigation. This will include an introduction to the practice of mooting and the skills required to prepare for it, and to take part in a moot either in an internal or external mooting competition using moot problems provided. The Director of Mooting operates a selection process for the teams competing in the external moots, there will be several each year.</w:t>
      </w:r>
    </w:p>
    <w:p w14:paraId="2310A1FA" w14:textId="77777777" w:rsidR="00373ACB" w:rsidRPr="00373ACB" w:rsidRDefault="00373ACB" w:rsidP="00796421">
      <w:pPr>
        <w:spacing w:after="120" w:line="240" w:lineRule="auto"/>
        <w:ind w:left="426" w:right="260"/>
        <w:rPr>
          <w:rFonts w:ascii="Arial" w:hAnsi="Arial" w:cs="Arial"/>
          <w:iCs/>
          <w:sz w:val="20"/>
          <w:szCs w:val="20"/>
        </w:rPr>
      </w:pPr>
    </w:p>
    <w:p w14:paraId="5022B5C2" w14:textId="77777777" w:rsidR="009A2D37" w:rsidRPr="00373ACB" w:rsidRDefault="00DF2132" w:rsidP="00796421">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0A99D655" w14:textId="77777777" w:rsidR="00947BE7" w:rsidRDefault="009F59B0" w:rsidP="00796421">
      <w:pPr>
        <w:spacing w:after="120" w:line="240" w:lineRule="auto"/>
        <w:ind w:left="426" w:right="260"/>
        <w:rPr>
          <w:rFonts w:ascii="Arial" w:hAnsi="Arial" w:cs="Arial"/>
          <w:sz w:val="20"/>
          <w:szCs w:val="20"/>
        </w:rPr>
      </w:pPr>
      <w:r w:rsidRPr="009F59B0">
        <w:rPr>
          <w:rFonts w:ascii="Arial" w:hAnsi="Arial" w:cs="Arial"/>
          <w:sz w:val="20"/>
          <w:szCs w:val="20"/>
        </w:rPr>
        <w:t xml:space="preserve">The reading required will depend on the scenario each team works on; therefore it is not possible to provide an indicative reading list but all mooters are advised to read the 13,000 word document available on Moodle entitled ‘A Brief Guide to Mooting’. </w:t>
      </w:r>
    </w:p>
    <w:p w14:paraId="095BFBAB" w14:textId="77777777" w:rsidR="00947BE7" w:rsidRDefault="00947BE7" w:rsidP="00796421">
      <w:pPr>
        <w:spacing w:after="120" w:line="240" w:lineRule="auto"/>
        <w:ind w:left="426" w:right="260"/>
        <w:rPr>
          <w:rFonts w:ascii="Arial" w:hAnsi="Arial" w:cs="Arial"/>
          <w:sz w:val="20"/>
          <w:szCs w:val="20"/>
        </w:rPr>
      </w:pPr>
    </w:p>
    <w:p w14:paraId="64E89B04" w14:textId="166059A6" w:rsidR="00947BE7" w:rsidRDefault="009F59B0" w:rsidP="00796421">
      <w:pPr>
        <w:spacing w:after="120" w:line="240" w:lineRule="auto"/>
        <w:ind w:left="426" w:right="260"/>
        <w:rPr>
          <w:rFonts w:ascii="Arial" w:hAnsi="Arial" w:cs="Arial"/>
          <w:sz w:val="20"/>
          <w:szCs w:val="20"/>
        </w:rPr>
      </w:pPr>
      <w:r w:rsidRPr="009F59B0">
        <w:rPr>
          <w:rFonts w:ascii="Arial" w:hAnsi="Arial" w:cs="Arial"/>
          <w:sz w:val="20"/>
          <w:szCs w:val="20"/>
        </w:rPr>
        <w:t>Generic mooting books include</w:t>
      </w:r>
      <w:r w:rsidR="00947BE7">
        <w:rPr>
          <w:rFonts w:ascii="Arial" w:hAnsi="Arial" w:cs="Arial"/>
          <w:sz w:val="20"/>
          <w:szCs w:val="20"/>
        </w:rPr>
        <w:t>:</w:t>
      </w:r>
    </w:p>
    <w:p w14:paraId="689736EF" w14:textId="555134C1" w:rsidR="00947BE7" w:rsidRDefault="00947BE7" w:rsidP="00796421">
      <w:pPr>
        <w:spacing w:after="120" w:line="240" w:lineRule="auto"/>
        <w:ind w:left="426" w:right="260"/>
        <w:rPr>
          <w:rFonts w:ascii="Arial" w:hAnsi="Arial" w:cs="Arial"/>
          <w:sz w:val="20"/>
          <w:szCs w:val="20"/>
        </w:rPr>
      </w:pPr>
      <w:r>
        <w:rPr>
          <w:rFonts w:ascii="Arial" w:hAnsi="Arial" w:cs="Arial"/>
          <w:sz w:val="20"/>
          <w:szCs w:val="20"/>
        </w:rPr>
        <w:t>E Bas</w:t>
      </w:r>
      <w:r w:rsidR="00C55618">
        <w:rPr>
          <w:rFonts w:ascii="Arial" w:hAnsi="Arial" w:cs="Arial"/>
          <w:sz w:val="20"/>
          <w:szCs w:val="20"/>
        </w:rPr>
        <w:t>kind</w:t>
      </w:r>
      <w:r>
        <w:rPr>
          <w:rFonts w:ascii="Arial" w:hAnsi="Arial" w:cs="Arial"/>
          <w:sz w:val="20"/>
          <w:szCs w:val="20"/>
        </w:rPr>
        <w:t xml:space="preserve"> </w:t>
      </w:r>
      <w:r>
        <w:rPr>
          <w:rFonts w:ascii="Arial" w:hAnsi="Arial" w:cs="Arial"/>
          <w:i/>
          <w:sz w:val="20"/>
          <w:szCs w:val="20"/>
        </w:rPr>
        <w:t xml:space="preserve">Mooting the Definitive Guide </w:t>
      </w:r>
      <w:r>
        <w:rPr>
          <w:rFonts w:ascii="Arial" w:hAnsi="Arial" w:cs="Arial"/>
          <w:sz w:val="20"/>
          <w:szCs w:val="20"/>
        </w:rPr>
        <w:t>(Routledge 2017)</w:t>
      </w:r>
    </w:p>
    <w:p w14:paraId="19A8AA9C" w14:textId="6CE397B8" w:rsidR="00947BE7" w:rsidRDefault="00947BE7" w:rsidP="00B87A41">
      <w:pPr>
        <w:spacing w:after="120" w:line="240" w:lineRule="auto"/>
        <w:ind w:right="260" w:firstLine="426"/>
        <w:rPr>
          <w:rFonts w:ascii="Arial" w:hAnsi="Arial" w:cs="Arial"/>
          <w:sz w:val="20"/>
          <w:szCs w:val="20"/>
        </w:rPr>
      </w:pPr>
      <w:r>
        <w:rPr>
          <w:rFonts w:ascii="Arial" w:hAnsi="Arial" w:cs="Arial"/>
          <w:sz w:val="20"/>
          <w:szCs w:val="20"/>
        </w:rPr>
        <w:t>S</w:t>
      </w:r>
      <w:r w:rsidR="008E3686">
        <w:rPr>
          <w:rFonts w:ascii="Arial" w:hAnsi="Arial" w:cs="Arial"/>
          <w:sz w:val="20"/>
          <w:szCs w:val="20"/>
        </w:rPr>
        <w:t xml:space="preserve"> Cooper and S McArdle </w:t>
      </w:r>
      <w:r w:rsidR="008E3686">
        <w:rPr>
          <w:rFonts w:ascii="Arial" w:hAnsi="Arial" w:cs="Arial"/>
          <w:i/>
          <w:sz w:val="20"/>
          <w:szCs w:val="20"/>
        </w:rPr>
        <w:t xml:space="preserve">Preparing to Moot </w:t>
      </w:r>
      <w:r>
        <w:rPr>
          <w:rFonts w:ascii="Arial" w:hAnsi="Arial" w:cs="Arial"/>
          <w:sz w:val="20"/>
          <w:szCs w:val="20"/>
        </w:rPr>
        <w:t>(Routledge, 2017)</w:t>
      </w:r>
    </w:p>
    <w:p w14:paraId="58FF9606" w14:textId="77777777" w:rsidR="00947BE7" w:rsidRDefault="00947BE7" w:rsidP="00796421">
      <w:pPr>
        <w:spacing w:after="120" w:line="240" w:lineRule="auto"/>
        <w:ind w:left="426" w:right="260"/>
        <w:rPr>
          <w:rFonts w:ascii="Arial" w:hAnsi="Arial" w:cs="Arial"/>
          <w:sz w:val="20"/>
          <w:szCs w:val="20"/>
        </w:rPr>
      </w:pPr>
      <w:r w:rsidRPr="009F59B0">
        <w:rPr>
          <w:rFonts w:ascii="Arial" w:hAnsi="Arial" w:cs="Arial"/>
          <w:sz w:val="20"/>
          <w:szCs w:val="20"/>
        </w:rPr>
        <w:t>K</w:t>
      </w:r>
      <w:r>
        <w:rPr>
          <w:rFonts w:ascii="Arial" w:hAnsi="Arial" w:cs="Arial"/>
          <w:sz w:val="20"/>
          <w:szCs w:val="20"/>
        </w:rPr>
        <w:t xml:space="preserve"> </w:t>
      </w:r>
      <w:r w:rsidRPr="009F59B0">
        <w:rPr>
          <w:rFonts w:ascii="Arial" w:hAnsi="Arial" w:cs="Arial"/>
          <w:sz w:val="20"/>
          <w:szCs w:val="20"/>
        </w:rPr>
        <w:t xml:space="preserve">Evans </w:t>
      </w:r>
      <w:r w:rsidRPr="00B87A41">
        <w:rPr>
          <w:rFonts w:ascii="Arial" w:hAnsi="Arial" w:cs="Arial"/>
          <w:i/>
          <w:sz w:val="20"/>
          <w:szCs w:val="20"/>
        </w:rPr>
        <w:t>Advocacy at the Bar</w:t>
      </w:r>
      <w:r w:rsidRPr="009F59B0">
        <w:rPr>
          <w:rFonts w:ascii="Arial" w:hAnsi="Arial" w:cs="Arial"/>
          <w:sz w:val="20"/>
          <w:szCs w:val="20"/>
        </w:rPr>
        <w:t xml:space="preserve"> (Blackstone Press, 1992).  </w:t>
      </w:r>
    </w:p>
    <w:p w14:paraId="6EC8918D" w14:textId="77777777" w:rsidR="00947BE7" w:rsidRDefault="00947BE7" w:rsidP="00796421">
      <w:pPr>
        <w:spacing w:after="120" w:line="240" w:lineRule="auto"/>
        <w:ind w:left="426" w:right="260"/>
        <w:rPr>
          <w:rFonts w:ascii="Arial" w:hAnsi="Arial" w:cs="Arial"/>
          <w:sz w:val="20"/>
          <w:szCs w:val="20"/>
        </w:rPr>
      </w:pPr>
      <w:r>
        <w:rPr>
          <w:rFonts w:ascii="Arial" w:hAnsi="Arial" w:cs="Arial"/>
          <w:sz w:val="20"/>
          <w:szCs w:val="20"/>
        </w:rPr>
        <w:t>I</w:t>
      </w:r>
      <w:r w:rsidRPr="009F59B0">
        <w:rPr>
          <w:rFonts w:ascii="Arial" w:hAnsi="Arial" w:cs="Arial"/>
          <w:sz w:val="20"/>
          <w:szCs w:val="20"/>
        </w:rPr>
        <w:t xml:space="preserve"> Morley </w:t>
      </w:r>
      <w:r w:rsidRPr="00B87A41">
        <w:rPr>
          <w:rFonts w:ascii="Arial" w:hAnsi="Arial" w:cs="Arial"/>
          <w:i/>
          <w:sz w:val="20"/>
          <w:szCs w:val="20"/>
        </w:rPr>
        <w:t>The Devil’s Advocate</w:t>
      </w:r>
      <w:r w:rsidRPr="009F59B0">
        <w:rPr>
          <w:rFonts w:ascii="Arial" w:hAnsi="Arial" w:cs="Arial"/>
          <w:sz w:val="20"/>
          <w:szCs w:val="20"/>
        </w:rPr>
        <w:t xml:space="preserve"> (Sweet &amp; Maxwell, 20</w:t>
      </w:r>
      <w:r>
        <w:rPr>
          <w:rFonts w:ascii="Arial" w:hAnsi="Arial" w:cs="Arial"/>
          <w:sz w:val="20"/>
          <w:szCs w:val="20"/>
        </w:rPr>
        <w:t>15</w:t>
      </w:r>
      <w:r w:rsidRPr="009F59B0">
        <w:rPr>
          <w:rFonts w:ascii="Arial" w:hAnsi="Arial" w:cs="Arial"/>
          <w:sz w:val="20"/>
          <w:szCs w:val="20"/>
        </w:rPr>
        <w:t>)</w:t>
      </w:r>
    </w:p>
    <w:p w14:paraId="480D8914" w14:textId="29AB780F" w:rsidR="00947BE7" w:rsidRDefault="009F59B0" w:rsidP="00B87A41">
      <w:pPr>
        <w:spacing w:after="120" w:line="240" w:lineRule="auto"/>
        <w:ind w:right="260" w:firstLine="426"/>
        <w:rPr>
          <w:rFonts w:ascii="Arial" w:hAnsi="Arial" w:cs="Arial"/>
          <w:sz w:val="20"/>
          <w:szCs w:val="20"/>
        </w:rPr>
      </w:pPr>
      <w:r w:rsidRPr="009F59B0">
        <w:rPr>
          <w:rFonts w:ascii="Arial" w:hAnsi="Arial" w:cs="Arial"/>
          <w:sz w:val="20"/>
          <w:szCs w:val="20"/>
        </w:rPr>
        <w:t xml:space="preserve">D Pope </w:t>
      </w:r>
      <w:r w:rsidRPr="00B87A41">
        <w:rPr>
          <w:rFonts w:ascii="Arial" w:hAnsi="Arial" w:cs="Arial"/>
          <w:i/>
          <w:sz w:val="20"/>
          <w:szCs w:val="20"/>
        </w:rPr>
        <w:t>Mooting and Advocacy Skills</w:t>
      </w:r>
      <w:r w:rsidRPr="009F59B0">
        <w:rPr>
          <w:rFonts w:ascii="Arial" w:hAnsi="Arial" w:cs="Arial"/>
          <w:sz w:val="20"/>
          <w:szCs w:val="20"/>
        </w:rPr>
        <w:t xml:space="preserve"> (Sweet &amp; Maxwell, 2011)</w:t>
      </w:r>
    </w:p>
    <w:p w14:paraId="4756D872" w14:textId="64BC029B" w:rsidR="00DE4F08" w:rsidRPr="00373ACB" w:rsidRDefault="00DE4F08" w:rsidP="0066061A">
      <w:pPr>
        <w:spacing w:after="120" w:line="240" w:lineRule="auto"/>
        <w:ind w:left="426" w:right="260"/>
        <w:rPr>
          <w:rFonts w:ascii="Arial" w:hAnsi="Arial" w:cs="Arial"/>
          <w:sz w:val="20"/>
          <w:szCs w:val="20"/>
        </w:rPr>
      </w:pPr>
    </w:p>
    <w:p w14:paraId="69BA5737" w14:textId="39E769A1"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4B2F0853" w14:textId="6D93D64D" w:rsidR="00947BE7" w:rsidRPr="00947BE7" w:rsidRDefault="00947BE7" w:rsidP="00947BE7">
      <w:pPr>
        <w:spacing w:before="60" w:after="60" w:line="240" w:lineRule="auto"/>
        <w:ind w:left="426" w:right="-330"/>
        <w:jc w:val="both"/>
        <w:rPr>
          <w:rFonts w:ascii="Arial" w:hAnsi="Arial" w:cs="Arial"/>
          <w:sz w:val="20"/>
          <w:szCs w:val="20"/>
        </w:rPr>
      </w:pPr>
      <w:r w:rsidRPr="00947BE7">
        <w:rPr>
          <w:rFonts w:ascii="Arial" w:hAnsi="Arial" w:cs="Arial"/>
          <w:sz w:val="20"/>
          <w:szCs w:val="20"/>
        </w:rPr>
        <w:t>T</w:t>
      </w:r>
      <w:r>
        <w:rPr>
          <w:rFonts w:ascii="Arial" w:hAnsi="Arial" w:cs="Arial"/>
          <w:sz w:val="20"/>
          <w:szCs w:val="20"/>
        </w:rPr>
        <w:t>otal study hours: 25</w:t>
      </w:r>
    </w:p>
    <w:p w14:paraId="665F3AAE" w14:textId="7C7509F2" w:rsidR="00947BE7" w:rsidRPr="00947BE7" w:rsidRDefault="00947BE7" w:rsidP="00947BE7">
      <w:pPr>
        <w:spacing w:before="60" w:after="60" w:line="240" w:lineRule="auto"/>
        <w:ind w:left="426" w:right="-330"/>
        <w:jc w:val="both"/>
        <w:rPr>
          <w:rFonts w:ascii="Arial" w:hAnsi="Arial" w:cs="Arial"/>
          <w:sz w:val="20"/>
          <w:szCs w:val="20"/>
        </w:rPr>
      </w:pPr>
      <w:r>
        <w:rPr>
          <w:rFonts w:ascii="Arial" w:hAnsi="Arial" w:cs="Arial"/>
          <w:sz w:val="20"/>
          <w:szCs w:val="20"/>
        </w:rPr>
        <w:t>Contact hours: 5</w:t>
      </w:r>
    </w:p>
    <w:p w14:paraId="04C5A0E4" w14:textId="1BBCE29B" w:rsidR="00947BE7" w:rsidRDefault="00947BE7">
      <w:pPr>
        <w:spacing w:before="60" w:after="60" w:line="240" w:lineRule="auto"/>
        <w:ind w:left="426" w:right="-330"/>
        <w:jc w:val="both"/>
        <w:rPr>
          <w:rFonts w:ascii="Arial" w:hAnsi="Arial" w:cs="Arial"/>
          <w:sz w:val="20"/>
          <w:szCs w:val="20"/>
        </w:rPr>
      </w:pPr>
      <w:r>
        <w:rPr>
          <w:rFonts w:ascii="Arial" w:hAnsi="Arial" w:cs="Arial"/>
          <w:sz w:val="20"/>
          <w:szCs w:val="20"/>
        </w:rPr>
        <w:t>Private study hours: 20</w:t>
      </w:r>
    </w:p>
    <w:p w14:paraId="7DCC0FE3" w14:textId="77777777" w:rsidR="009F59B0" w:rsidRDefault="009F59B0" w:rsidP="009F59B0">
      <w:pPr>
        <w:spacing w:after="120" w:line="240" w:lineRule="auto"/>
        <w:ind w:left="426" w:right="260"/>
        <w:rPr>
          <w:rFonts w:ascii="Arial" w:hAnsi="Arial" w:cs="Arial"/>
          <w:iCs/>
          <w:sz w:val="20"/>
          <w:szCs w:val="20"/>
        </w:rPr>
      </w:pPr>
    </w:p>
    <w:p w14:paraId="68446813"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23599BF0" w14:textId="77777777" w:rsidR="006F3F43" w:rsidRP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3FC00367" w14:textId="77777777" w:rsidR="006F3F43" w:rsidRDefault="006F3F43" w:rsidP="0066061A">
      <w:pPr>
        <w:spacing w:after="120" w:line="240" w:lineRule="auto"/>
        <w:ind w:left="426" w:right="260"/>
        <w:rPr>
          <w:rFonts w:ascii="Arial" w:hAnsi="Arial" w:cs="Arial"/>
          <w:iCs/>
          <w:sz w:val="20"/>
          <w:szCs w:val="20"/>
        </w:rPr>
      </w:pPr>
    </w:p>
    <w:p w14:paraId="71A698D1" w14:textId="77777777" w:rsidR="009F59B0" w:rsidRPr="00C94345" w:rsidRDefault="009F59B0" w:rsidP="00796421">
      <w:pPr>
        <w:spacing w:before="60" w:after="60" w:line="240" w:lineRule="auto"/>
        <w:ind w:left="426" w:right="260"/>
        <w:jc w:val="both"/>
        <w:rPr>
          <w:rFonts w:ascii="Arial" w:hAnsi="Arial" w:cs="Arial"/>
          <w:sz w:val="20"/>
          <w:szCs w:val="20"/>
        </w:rPr>
      </w:pPr>
      <w:r w:rsidRPr="00C94345">
        <w:rPr>
          <w:rFonts w:ascii="Arial" w:hAnsi="Arial" w:cs="Arial"/>
          <w:sz w:val="20"/>
          <w:szCs w:val="20"/>
        </w:rPr>
        <w:t xml:space="preserve">This module does not form part of the formal 240 credit diet at stages 2 &amp; 3, therefore assessment does not formally ‘count’ for the degree. The module represents extra learning and an opportunity to gain transferable skills to enhance employability. </w:t>
      </w:r>
    </w:p>
    <w:p w14:paraId="1F41784C" w14:textId="77777777" w:rsidR="009F59B0" w:rsidRPr="00C94345" w:rsidRDefault="009F59B0" w:rsidP="00796421">
      <w:pPr>
        <w:spacing w:before="60" w:after="60" w:line="240" w:lineRule="auto"/>
        <w:ind w:left="426" w:right="260"/>
        <w:jc w:val="both"/>
        <w:rPr>
          <w:rFonts w:ascii="Arial" w:hAnsi="Arial" w:cs="Arial"/>
          <w:sz w:val="20"/>
          <w:szCs w:val="20"/>
        </w:rPr>
      </w:pPr>
    </w:p>
    <w:p w14:paraId="2DB0C484" w14:textId="0C50F4D0" w:rsidR="009F59B0" w:rsidRPr="00C94345" w:rsidRDefault="009F59B0" w:rsidP="00796421">
      <w:pPr>
        <w:spacing w:before="60" w:after="60" w:line="240" w:lineRule="auto"/>
        <w:ind w:left="426" w:right="260"/>
        <w:jc w:val="both"/>
        <w:rPr>
          <w:rFonts w:ascii="Arial" w:hAnsi="Arial" w:cs="Arial"/>
          <w:sz w:val="20"/>
          <w:szCs w:val="20"/>
        </w:rPr>
      </w:pPr>
      <w:r w:rsidRPr="00C94345">
        <w:rPr>
          <w:rFonts w:ascii="Arial" w:hAnsi="Arial" w:cs="Arial"/>
          <w:sz w:val="20"/>
          <w:szCs w:val="20"/>
        </w:rPr>
        <w:t xml:space="preserve">Students who attend and participate in the meetings and take part in either an internal or external competition will be deemed to have passed this module, unless the quality </w:t>
      </w:r>
      <w:r w:rsidR="0041038D">
        <w:rPr>
          <w:rFonts w:ascii="Arial" w:hAnsi="Arial" w:cs="Arial"/>
          <w:sz w:val="20"/>
          <w:szCs w:val="20"/>
        </w:rPr>
        <w:t xml:space="preserve">of </w:t>
      </w:r>
      <w:r w:rsidRPr="00C94345">
        <w:rPr>
          <w:rFonts w:ascii="Arial" w:hAnsi="Arial" w:cs="Arial"/>
          <w:sz w:val="20"/>
          <w:szCs w:val="20"/>
        </w:rPr>
        <w:t xml:space="preserve">an individual’s preparation for and participation in a mooting competition is deemed to be below 40%. Assessment of performance will be based on the criteria used where mooting is used as a formal assessment in a credited module. </w:t>
      </w:r>
    </w:p>
    <w:p w14:paraId="716FCBAD" w14:textId="77777777" w:rsidR="009F59B0" w:rsidRPr="00532FE6" w:rsidRDefault="009F59B0" w:rsidP="00796421">
      <w:pPr>
        <w:keepNext/>
        <w:keepLines/>
        <w:spacing w:before="60" w:after="60" w:line="240" w:lineRule="auto"/>
        <w:ind w:right="260"/>
        <w:rPr>
          <w:rFonts w:ascii="Segoe UI" w:hAnsi="Segoe UI" w:cs="Segoe UI"/>
          <w:i/>
          <w:iCs/>
          <w:sz w:val="20"/>
          <w:szCs w:val="20"/>
        </w:rPr>
      </w:pPr>
    </w:p>
    <w:p w14:paraId="3679DB23" w14:textId="77777777" w:rsidR="0066061A" w:rsidRDefault="0066061A" w:rsidP="00796421">
      <w:pPr>
        <w:spacing w:after="120" w:line="240" w:lineRule="auto"/>
        <w:ind w:left="426" w:right="260"/>
        <w:rPr>
          <w:rFonts w:ascii="Arial" w:hAnsi="Arial" w:cs="Arial"/>
          <w:iCs/>
          <w:sz w:val="20"/>
          <w:szCs w:val="20"/>
        </w:rPr>
      </w:pPr>
    </w:p>
    <w:p w14:paraId="7BD8A647" w14:textId="77777777" w:rsidR="006F3F43" w:rsidRDefault="006F3F43" w:rsidP="00796421">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416FE675" w14:textId="77777777" w:rsidR="006F3F43" w:rsidRDefault="006F3F43" w:rsidP="00796421">
      <w:pPr>
        <w:spacing w:after="120" w:line="240" w:lineRule="auto"/>
        <w:ind w:left="426" w:right="260"/>
        <w:rPr>
          <w:rFonts w:ascii="Arial" w:hAnsi="Arial" w:cs="Arial"/>
          <w:iCs/>
          <w:sz w:val="20"/>
          <w:szCs w:val="20"/>
          <w:u w:val="single"/>
        </w:rPr>
      </w:pPr>
    </w:p>
    <w:p w14:paraId="5DC1BDF9" w14:textId="45E34FF5" w:rsidR="009F59B0" w:rsidRPr="00C94345" w:rsidRDefault="009F59B0" w:rsidP="00796421">
      <w:pPr>
        <w:spacing w:before="60" w:after="60" w:line="240" w:lineRule="auto"/>
        <w:ind w:left="426" w:right="260"/>
        <w:jc w:val="both"/>
        <w:rPr>
          <w:rFonts w:ascii="Arial" w:hAnsi="Arial" w:cs="Arial"/>
          <w:sz w:val="20"/>
          <w:szCs w:val="20"/>
        </w:rPr>
      </w:pPr>
      <w:r w:rsidRPr="00C94345">
        <w:rPr>
          <w:rFonts w:ascii="Arial" w:hAnsi="Arial" w:cs="Arial"/>
          <w:sz w:val="20"/>
          <w:szCs w:val="20"/>
        </w:rPr>
        <w:t xml:space="preserve">This module does not form part of the formal 240 credit diet at stages 2 &amp; 3, therefore assessment does not formally ‘count’ for the degree. The module represents extra learning and an opportunity to gain transferable skills to enhance employability. As such the module does not have a reassessment method. </w:t>
      </w:r>
    </w:p>
    <w:p w14:paraId="6CA1EE31" w14:textId="77777777" w:rsidR="009F59B0" w:rsidRPr="00C94345" w:rsidRDefault="009F59B0" w:rsidP="009F59B0">
      <w:pPr>
        <w:spacing w:before="60" w:after="60" w:line="240" w:lineRule="auto"/>
        <w:ind w:left="426" w:right="-330"/>
        <w:jc w:val="both"/>
        <w:rPr>
          <w:rFonts w:ascii="Arial" w:hAnsi="Arial" w:cs="Arial"/>
          <w:sz w:val="20"/>
          <w:szCs w:val="20"/>
        </w:rPr>
      </w:pPr>
    </w:p>
    <w:p w14:paraId="0E4AFDCD" w14:textId="126CF610" w:rsidR="00B87A41" w:rsidRDefault="00B87A41">
      <w:pPr>
        <w:rPr>
          <w:rFonts w:ascii="Arial" w:hAnsi="Arial" w:cs="Arial"/>
          <w:b/>
          <w:i/>
          <w:iCs/>
          <w:sz w:val="20"/>
          <w:szCs w:val="20"/>
        </w:rPr>
      </w:pPr>
      <w:r>
        <w:rPr>
          <w:rFonts w:ascii="Arial" w:hAnsi="Arial" w:cs="Arial"/>
          <w:b/>
          <w:i/>
          <w:iCs/>
          <w:sz w:val="20"/>
          <w:szCs w:val="20"/>
        </w:rPr>
        <w:br w:type="page"/>
      </w:r>
    </w:p>
    <w:p w14:paraId="6DF7583E" w14:textId="77777777" w:rsidR="00274ED7" w:rsidRPr="00373ACB" w:rsidRDefault="00DF2132" w:rsidP="0066061A">
      <w:pPr>
        <w:numPr>
          <w:ilvl w:val="0"/>
          <w:numId w:val="1"/>
        </w:numPr>
        <w:spacing w:after="120" w:line="240" w:lineRule="auto"/>
        <w:ind w:left="426" w:right="260" w:hanging="426"/>
        <w:rPr>
          <w:rFonts w:ascii="Arial" w:hAnsi="Arial" w:cs="Arial"/>
          <w:b/>
          <w:i/>
          <w:iCs/>
          <w:sz w:val="20"/>
          <w:szCs w:val="20"/>
        </w:rPr>
      </w:pPr>
      <w:r>
        <w:rPr>
          <w:rFonts w:ascii="Arial" w:hAnsi="Arial" w:cs="Arial"/>
          <w:b/>
          <w:i/>
          <w:iCs/>
          <w:sz w:val="20"/>
          <w:szCs w:val="20"/>
        </w:rPr>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45013A42"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5000" w:type="pct"/>
        <w:tblLook w:val="04A0" w:firstRow="1" w:lastRow="0" w:firstColumn="1" w:lastColumn="0" w:noHBand="0" w:noVBand="1"/>
      </w:tblPr>
      <w:tblGrid>
        <w:gridCol w:w="2205"/>
        <w:gridCol w:w="2910"/>
        <w:gridCol w:w="763"/>
        <w:gridCol w:w="763"/>
        <w:gridCol w:w="763"/>
        <w:gridCol w:w="763"/>
        <w:gridCol w:w="763"/>
        <w:gridCol w:w="763"/>
        <w:gridCol w:w="763"/>
      </w:tblGrid>
      <w:tr w:rsidR="00C94345" w:rsidRPr="00373ACB" w14:paraId="5DA53670" w14:textId="77777777" w:rsidTr="00C94345">
        <w:trPr>
          <w:trHeight w:val="397"/>
        </w:trPr>
        <w:tc>
          <w:tcPr>
            <w:tcW w:w="2445" w:type="pct"/>
            <w:gridSpan w:val="2"/>
            <w:shd w:val="clear" w:color="auto" w:fill="D9D9D9" w:themeFill="background1" w:themeFillShade="D9"/>
            <w:vAlign w:val="center"/>
          </w:tcPr>
          <w:p w14:paraId="5B24DA01" w14:textId="77777777" w:rsidR="00C94345" w:rsidRPr="00373ACB" w:rsidRDefault="00C94345" w:rsidP="0066061A">
            <w:pPr>
              <w:spacing w:after="120"/>
              <w:rPr>
                <w:rFonts w:ascii="Arial" w:hAnsi="Arial" w:cs="Arial"/>
                <w:i/>
                <w:sz w:val="20"/>
                <w:szCs w:val="20"/>
              </w:rPr>
            </w:pPr>
            <w:r w:rsidRPr="00373ACB">
              <w:rPr>
                <w:rFonts w:ascii="Arial" w:hAnsi="Arial" w:cs="Arial"/>
                <w:b/>
                <w:sz w:val="20"/>
                <w:szCs w:val="20"/>
              </w:rPr>
              <w:t>Module learning outcome</w:t>
            </w:r>
          </w:p>
        </w:tc>
        <w:tc>
          <w:tcPr>
            <w:tcW w:w="365" w:type="pct"/>
            <w:vAlign w:val="center"/>
          </w:tcPr>
          <w:p w14:paraId="2FCC4503" w14:textId="77777777" w:rsidR="00C94345" w:rsidRPr="007103E4" w:rsidRDefault="00C94345" w:rsidP="0066061A">
            <w:pPr>
              <w:spacing w:after="120"/>
              <w:rPr>
                <w:rFonts w:ascii="Arial" w:hAnsi="Arial" w:cs="Arial"/>
                <w:sz w:val="20"/>
                <w:szCs w:val="20"/>
              </w:rPr>
            </w:pPr>
            <w:r>
              <w:rPr>
                <w:rFonts w:ascii="Arial" w:hAnsi="Arial" w:cs="Arial"/>
                <w:sz w:val="20"/>
                <w:szCs w:val="20"/>
              </w:rPr>
              <w:t>8.1</w:t>
            </w:r>
          </w:p>
        </w:tc>
        <w:tc>
          <w:tcPr>
            <w:tcW w:w="365" w:type="pct"/>
            <w:vAlign w:val="center"/>
          </w:tcPr>
          <w:p w14:paraId="4A80461A" w14:textId="77777777" w:rsidR="00C94345" w:rsidRPr="007103E4" w:rsidRDefault="00C94345" w:rsidP="0066061A">
            <w:pPr>
              <w:spacing w:after="120"/>
              <w:rPr>
                <w:rFonts w:ascii="Arial" w:hAnsi="Arial" w:cs="Arial"/>
                <w:sz w:val="20"/>
                <w:szCs w:val="20"/>
              </w:rPr>
            </w:pPr>
            <w:r>
              <w:rPr>
                <w:rFonts w:ascii="Arial" w:hAnsi="Arial" w:cs="Arial"/>
                <w:sz w:val="20"/>
                <w:szCs w:val="20"/>
              </w:rPr>
              <w:t>8.2</w:t>
            </w:r>
          </w:p>
        </w:tc>
        <w:tc>
          <w:tcPr>
            <w:tcW w:w="365" w:type="pct"/>
            <w:vAlign w:val="center"/>
          </w:tcPr>
          <w:p w14:paraId="360E2E42" w14:textId="77777777" w:rsidR="00C94345" w:rsidRPr="007103E4" w:rsidRDefault="00C94345" w:rsidP="0066061A">
            <w:pPr>
              <w:spacing w:after="120"/>
              <w:rPr>
                <w:rFonts w:ascii="Arial" w:hAnsi="Arial" w:cs="Arial"/>
                <w:sz w:val="20"/>
                <w:szCs w:val="20"/>
              </w:rPr>
            </w:pPr>
            <w:r>
              <w:rPr>
                <w:rFonts w:ascii="Arial" w:hAnsi="Arial" w:cs="Arial"/>
                <w:sz w:val="20"/>
                <w:szCs w:val="20"/>
              </w:rPr>
              <w:t>8.3</w:t>
            </w:r>
          </w:p>
        </w:tc>
        <w:tc>
          <w:tcPr>
            <w:tcW w:w="365" w:type="pct"/>
            <w:vAlign w:val="center"/>
          </w:tcPr>
          <w:p w14:paraId="59117982" w14:textId="3149BF10" w:rsidR="00C94345" w:rsidRPr="007103E4" w:rsidRDefault="00C94345" w:rsidP="0066061A">
            <w:pPr>
              <w:spacing w:after="120"/>
              <w:rPr>
                <w:rFonts w:ascii="Arial" w:hAnsi="Arial" w:cs="Arial"/>
                <w:sz w:val="20"/>
                <w:szCs w:val="20"/>
              </w:rPr>
            </w:pPr>
            <w:r>
              <w:rPr>
                <w:rFonts w:ascii="Arial" w:hAnsi="Arial" w:cs="Arial"/>
                <w:sz w:val="20"/>
                <w:szCs w:val="20"/>
              </w:rPr>
              <w:t>9.1</w:t>
            </w:r>
          </w:p>
        </w:tc>
        <w:tc>
          <w:tcPr>
            <w:tcW w:w="365" w:type="pct"/>
            <w:vAlign w:val="center"/>
          </w:tcPr>
          <w:p w14:paraId="0E6F60C6" w14:textId="2393EB71" w:rsidR="00C94345" w:rsidRPr="007103E4" w:rsidRDefault="00C94345" w:rsidP="0066061A">
            <w:pPr>
              <w:spacing w:after="120"/>
              <w:rPr>
                <w:rFonts w:ascii="Arial" w:hAnsi="Arial" w:cs="Arial"/>
                <w:sz w:val="20"/>
                <w:szCs w:val="20"/>
              </w:rPr>
            </w:pPr>
            <w:r>
              <w:rPr>
                <w:rFonts w:ascii="Arial" w:hAnsi="Arial" w:cs="Arial"/>
                <w:sz w:val="20"/>
                <w:szCs w:val="20"/>
              </w:rPr>
              <w:t>9.2</w:t>
            </w:r>
          </w:p>
        </w:tc>
        <w:tc>
          <w:tcPr>
            <w:tcW w:w="365" w:type="pct"/>
            <w:vAlign w:val="center"/>
          </w:tcPr>
          <w:p w14:paraId="61E038A9" w14:textId="39F720B3" w:rsidR="00C94345" w:rsidRPr="007103E4" w:rsidRDefault="00C94345" w:rsidP="0066061A">
            <w:pPr>
              <w:spacing w:after="120"/>
              <w:rPr>
                <w:rFonts w:ascii="Arial" w:hAnsi="Arial" w:cs="Arial"/>
                <w:sz w:val="20"/>
                <w:szCs w:val="20"/>
              </w:rPr>
            </w:pPr>
            <w:r>
              <w:rPr>
                <w:rFonts w:ascii="Arial" w:hAnsi="Arial" w:cs="Arial"/>
                <w:sz w:val="20"/>
                <w:szCs w:val="20"/>
              </w:rPr>
              <w:t>9.3</w:t>
            </w:r>
          </w:p>
        </w:tc>
        <w:tc>
          <w:tcPr>
            <w:tcW w:w="365" w:type="pct"/>
            <w:vAlign w:val="center"/>
          </w:tcPr>
          <w:p w14:paraId="71EA9617" w14:textId="7B68ABCB" w:rsidR="00C94345" w:rsidRPr="007103E4" w:rsidRDefault="00C94345" w:rsidP="0066061A">
            <w:pPr>
              <w:spacing w:after="120"/>
              <w:rPr>
                <w:rFonts w:ascii="Arial" w:hAnsi="Arial" w:cs="Arial"/>
                <w:sz w:val="20"/>
                <w:szCs w:val="20"/>
              </w:rPr>
            </w:pPr>
            <w:r>
              <w:rPr>
                <w:rFonts w:ascii="Arial" w:hAnsi="Arial" w:cs="Arial"/>
                <w:sz w:val="20"/>
                <w:szCs w:val="20"/>
              </w:rPr>
              <w:t>9.4</w:t>
            </w:r>
          </w:p>
        </w:tc>
      </w:tr>
      <w:tr w:rsidR="00C94345" w:rsidRPr="00373ACB" w14:paraId="2D59F5A9" w14:textId="77777777" w:rsidTr="00C94345">
        <w:trPr>
          <w:trHeight w:val="397"/>
        </w:trPr>
        <w:tc>
          <w:tcPr>
            <w:tcW w:w="1054" w:type="pct"/>
            <w:shd w:val="clear" w:color="auto" w:fill="D9D9D9" w:themeFill="background1" w:themeFillShade="D9"/>
            <w:vAlign w:val="center"/>
          </w:tcPr>
          <w:p w14:paraId="26263F08" w14:textId="77777777" w:rsidR="00C94345" w:rsidRPr="00373ACB" w:rsidRDefault="00C94345"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1391" w:type="pct"/>
            <w:shd w:val="clear" w:color="auto" w:fill="D9D9D9" w:themeFill="background1" w:themeFillShade="D9"/>
            <w:vAlign w:val="center"/>
          </w:tcPr>
          <w:p w14:paraId="244CCF4E" w14:textId="18CC7674" w:rsidR="00C94345" w:rsidRPr="00373ACB" w:rsidRDefault="00C94345" w:rsidP="0066061A">
            <w:pPr>
              <w:spacing w:after="120"/>
              <w:rPr>
                <w:rFonts w:ascii="Arial" w:hAnsi="Arial" w:cs="Arial"/>
                <w:b/>
                <w:sz w:val="20"/>
                <w:szCs w:val="20"/>
              </w:rPr>
            </w:pPr>
          </w:p>
        </w:tc>
        <w:tc>
          <w:tcPr>
            <w:tcW w:w="365" w:type="pct"/>
            <w:vAlign w:val="center"/>
          </w:tcPr>
          <w:p w14:paraId="31B99C0F" w14:textId="77777777" w:rsidR="00C94345" w:rsidRPr="007103E4" w:rsidRDefault="00C94345" w:rsidP="0066061A">
            <w:pPr>
              <w:spacing w:after="120"/>
              <w:rPr>
                <w:rFonts w:ascii="Arial" w:hAnsi="Arial" w:cs="Arial"/>
                <w:b/>
                <w:sz w:val="20"/>
                <w:szCs w:val="20"/>
              </w:rPr>
            </w:pPr>
          </w:p>
        </w:tc>
        <w:tc>
          <w:tcPr>
            <w:tcW w:w="365" w:type="pct"/>
            <w:vAlign w:val="center"/>
          </w:tcPr>
          <w:p w14:paraId="38A4B22F" w14:textId="77777777" w:rsidR="00C94345" w:rsidRPr="007103E4" w:rsidRDefault="00C94345" w:rsidP="0066061A">
            <w:pPr>
              <w:spacing w:after="120"/>
              <w:rPr>
                <w:rFonts w:ascii="Arial" w:hAnsi="Arial" w:cs="Arial"/>
                <w:b/>
                <w:sz w:val="20"/>
                <w:szCs w:val="20"/>
              </w:rPr>
            </w:pPr>
          </w:p>
        </w:tc>
        <w:tc>
          <w:tcPr>
            <w:tcW w:w="365" w:type="pct"/>
            <w:vAlign w:val="center"/>
          </w:tcPr>
          <w:p w14:paraId="21547A89" w14:textId="77777777" w:rsidR="00C94345" w:rsidRPr="007103E4" w:rsidRDefault="00C94345" w:rsidP="0066061A">
            <w:pPr>
              <w:spacing w:after="120"/>
              <w:rPr>
                <w:rFonts w:ascii="Arial" w:hAnsi="Arial" w:cs="Arial"/>
                <w:b/>
                <w:sz w:val="20"/>
                <w:szCs w:val="20"/>
              </w:rPr>
            </w:pPr>
          </w:p>
        </w:tc>
        <w:tc>
          <w:tcPr>
            <w:tcW w:w="365" w:type="pct"/>
            <w:vAlign w:val="center"/>
          </w:tcPr>
          <w:p w14:paraId="40ED9BDB" w14:textId="77777777" w:rsidR="00C94345" w:rsidRPr="007103E4" w:rsidRDefault="00C94345" w:rsidP="0066061A">
            <w:pPr>
              <w:spacing w:after="120"/>
              <w:rPr>
                <w:rFonts w:ascii="Arial" w:hAnsi="Arial" w:cs="Arial"/>
                <w:b/>
                <w:sz w:val="20"/>
                <w:szCs w:val="20"/>
              </w:rPr>
            </w:pPr>
          </w:p>
        </w:tc>
        <w:tc>
          <w:tcPr>
            <w:tcW w:w="365" w:type="pct"/>
            <w:vAlign w:val="center"/>
          </w:tcPr>
          <w:p w14:paraId="76810256" w14:textId="77777777" w:rsidR="00C94345" w:rsidRPr="007103E4" w:rsidRDefault="00C94345" w:rsidP="0066061A">
            <w:pPr>
              <w:spacing w:after="120"/>
              <w:rPr>
                <w:rFonts w:ascii="Arial" w:hAnsi="Arial" w:cs="Arial"/>
                <w:b/>
                <w:sz w:val="20"/>
                <w:szCs w:val="20"/>
              </w:rPr>
            </w:pPr>
          </w:p>
        </w:tc>
        <w:tc>
          <w:tcPr>
            <w:tcW w:w="365" w:type="pct"/>
            <w:vAlign w:val="center"/>
          </w:tcPr>
          <w:p w14:paraId="4E439F04" w14:textId="77777777" w:rsidR="00C94345" w:rsidRPr="007103E4" w:rsidRDefault="00C94345" w:rsidP="0066061A">
            <w:pPr>
              <w:spacing w:after="120"/>
              <w:rPr>
                <w:rFonts w:ascii="Arial" w:hAnsi="Arial" w:cs="Arial"/>
                <w:b/>
                <w:sz w:val="20"/>
                <w:szCs w:val="20"/>
              </w:rPr>
            </w:pPr>
          </w:p>
        </w:tc>
        <w:tc>
          <w:tcPr>
            <w:tcW w:w="365" w:type="pct"/>
            <w:vAlign w:val="center"/>
          </w:tcPr>
          <w:p w14:paraId="13384D60" w14:textId="77777777" w:rsidR="00C94345" w:rsidRPr="007103E4" w:rsidRDefault="00C94345" w:rsidP="0066061A">
            <w:pPr>
              <w:spacing w:after="120"/>
              <w:rPr>
                <w:rFonts w:ascii="Arial" w:hAnsi="Arial" w:cs="Arial"/>
                <w:b/>
                <w:sz w:val="20"/>
                <w:szCs w:val="20"/>
              </w:rPr>
            </w:pPr>
          </w:p>
        </w:tc>
      </w:tr>
      <w:tr w:rsidR="00C94345" w:rsidRPr="00373ACB" w14:paraId="21F6A660" w14:textId="77777777" w:rsidTr="00C94345">
        <w:trPr>
          <w:trHeight w:val="397"/>
        </w:trPr>
        <w:tc>
          <w:tcPr>
            <w:tcW w:w="1054" w:type="pct"/>
            <w:vAlign w:val="center"/>
          </w:tcPr>
          <w:p w14:paraId="6F3223E4" w14:textId="220A0CA1" w:rsidR="00C94345" w:rsidRPr="007103E4" w:rsidRDefault="00C94345" w:rsidP="0066061A">
            <w:pPr>
              <w:spacing w:after="120"/>
              <w:rPr>
                <w:rFonts w:ascii="Arial" w:hAnsi="Arial" w:cs="Arial"/>
                <w:sz w:val="20"/>
                <w:szCs w:val="20"/>
              </w:rPr>
            </w:pPr>
            <w:r>
              <w:rPr>
                <w:rFonts w:ascii="Arial" w:hAnsi="Arial" w:cs="Arial"/>
                <w:sz w:val="20"/>
                <w:szCs w:val="20"/>
              </w:rPr>
              <w:t>Meetings</w:t>
            </w:r>
          </w:p>
        </w:tc>
        <w:tc>
          <w:tcPr>
            <w:tcW w:w="1391" w:type="pct"/>
            <w:vAlign w:val="center"/>
          </w:tcPr>
          <w:p w14:paraId="7197D750" w14:textId="76E8FE07" w:rsidR="00C94345" w:rsidRPr="007103E4" w:rsidRDefault="00C94345" w:rsidP="0066061A">
            <w:pPr>
              <w:spacing w:after="120"/>
              <w:rPr>
                <w:rFonts w:ascii="Arial" w:hAnsi="Arial" w:cs="Arial"/>
                <w:sz w:val="20"/>
                <w:szCs w:val="20"/>
              </w:rPr>
            </w:pPr>
          </w:p>
        </w:tc>
        <w:tc>
          <w:tcPr>
            <w:tcW w:w="365" w:type="pct"/>
            <w:vAlign w:val="center"/>
          </w:tcPr>
          <w:p w14:paraId="692C1112" w14:textId="700F2176" w:rsidR="00C94345" w:rsidRPr="007103E4" w:rsidRDefault="0041038D" w:rsidP="0066061A">
            <w:pPr>
              <w:spacing w:after="120"/>
              <w:rPr>
                <w:rFonts w:ascii="Arial" w:hAnsi="Arial" w:cs="Arial"/>
                <w:sz w:val="20"/>
                <w:szCs w:val="20"/>
              </w:rPr>
            </w:pPr>
            <w:r>
              <w:rPr>
                <w:rFonts w:ascii="Arial" w:hAnsi="Arial" w:cs="Arial"/>
                <w:sz w:val="20"/>
                <w:szCs w:val="20"/>
              </w:rPr>
              <w:t>x</w:t>
            </w:r>
          </w:p>
        </w:tc>
        <w:tc>
          <w:tcPr>
            <w:tcW w:w="365" w:type="pct"/>
            <w:vAlign w:val="center"/>
          </w:tcPr>
          <w:p w14:paraId="5A97C6DD" w14:textId="6B7340EA" w:rsidR="00C94345" w:rsidRPr="007103E4" w:rsidRDefault="0041038D" w:rsidP="0066061A">
            <w:pPr>
              <w:spacing w:after="120"/>
              <w:rPr>
                <w:rFonts w:ascii="Arial" w:hAnsi="Arial" w:cs="Arial"/>
                <w:sz w:val="20"/>
                <w:szCs w:val="20"/>
              </w:rPr>
            </w:pPr>
            <w:r>
              <w:rPr>
                <w:rFonts w:ascii="Arial" w:hAnsi="Arial" w:cs="Arial"/>
                <w:sz w:val="20"/>
                <w:szCs w:val="20"/>
              </w:rPr>
              <w:t>x</w:t>
            </w:r>
          </w:p>
        </w:tc>
        <w:tc>
          <w:tcPr>
            <w:tcW w:w="365" w:type="pct"/>
            <w:vAlign w:val="center"/>
          </w:tcPr>
          <w:p w14:paraId="0BB4F8A3" w14:textId="109A109E" w:rsidR="00C94345" w:rsidRPr="007103E4" w:rsidRDefault="0041038D" w:rsidP="0066061A">
            <w:pPr>
              <w:spacing w:after="120"/>
              <w:rPr>
                <w:rFonts w:ascii="Arial" w:hAnsi="Arial" w:cs="Arial"/>
                <w:sz w:val="20"/>
                <w:szCs w:val="20"/>
              </w:rPr>
            </w:pPr>
            <w:r>
              <w:rPr>
                <w:rFonts w:ascii="Arial" w:hAnsi="Arial" w:cs="Arial"/>
                <w:sz w:val="20"/>
                <w:szCs w:val="20"/>
              </w:rPr>
              <w:t>x</w:t>
            </w:r>
          </w:p>
        </w:tc>
        <w:tc>
          <w:tcPr>
            <w:tcW w:w="365" w:type="pct"/>
            <w:vAlign w:val="center"/>
          </w:tcPr>
          <w:p w14:paraId="38B32B5B" w14:textId="77777777" w:rsidR="00C94345" w:rsidRPr="007103E4" w:rsidRDefault="00C94345" w:rsidP="0066061A">
            <w:pPr>
              <w:spacing w:after="120"/>
              <w:rPr>
                <w:rFonts w:ascii="Arial" w:hAnsi="Arial" w:cs="Arial"/>
                <w:sz w:val="20"/>
                <w:szCs w:val="20"/>
              </w:rPr>
            </w:pPr>
          </w:p>
        </w:tc>
        <w:tc>
          <w:tcPr>
            <w:tcW w:w="365" w:type="pct"/>
            <w:vAlign w:val="center"/>
          </w:tcPr>
          <w:p w14:paraId="4C9306FE" w14:textId="178AE20B" w:rsidR="00C94345" w:rsidRPr="007103E4" w:rsidRDefault="0041038D" w:rsidP="0066061A">
            <w:pPr>
              <w:spacing w:after="120"/>
              <w:rPr>
                <w:rFonts w:ascii="Arial" w:hAnsi="Arial" w:cs="Arial"/>
                <w:sz w:val="20"/>
                <w:szCs w:val="20"/>
              </w:rPr>
            </w:pPr>
            <w:r>
              <w:rPr>
                <w:rFonts w:ascii="Arial" w:hAnsi="Arial" w:cs="Arial"/>
                <w:sz w:val="20"/>
                <w:szCs w:val="20"/>
              </w:rPr>
              <w:t>x</w:t>
            </w:r>
          </w:p>
        </w:tc>
        <w:tc>
          <w:tcPr>
            <w:tcW w:w="365" w:type="pct"/>
            <w:vAlign w:val="center"/>
          </w:tcPr>
          <w:p w14:paraId="3F801C4F" w14:textId="5768F39C" w:rsidR="00C94345" w:rsidRPr="007103E4" w:rsidRDefault="0041038D" w:rsidP="0066061A">
            <w:pPr>
              <w:spacing w:after="120"/>
              <w:rPr>
                <w:rFonts w:ascii="Arial" w:hAnsi="Arial" w:cs="Arial"/>
                <w:sz w:val="20"/>
                <w:szCs w:val="20"/>
              </w:rPr>
            </w:pPr>
            <w:r>
              <w:rPr>
                <w:rFonts w:ascii="Arial" w:hAnsi="Arial" w:cs="Arial"/>
                <w:sz w:val="20"/>
                <w:szCs w:val="20"/>
              </w:rPr>
              <w:t>x</w:t>
            </w:r>
          </w:p>
        </w:tc>
        <w:tc>
          <w:tcPr>
            <w:tcW w:w="365" w:type="pct"/>
            <w:vAlign w:val="center"/>
          </w:tcPr>
          <w:p w14:paraId="30CADAF7" w14:textId="77777777" w:rsidR="00C94345" w:rsidRPr="007103E4" w:rsidRDefault="00C94345" w:rsidP="0066061A">
            <w:pPr>
              <w:spacing w:after="120"/>
              <w:rPr>
                <w:rFonts w:ascii="Arial" w:hAnsi="Arial" w:cs="Arial"/>
                <w:sz w:val="20"/>
                <w:szCs w:val="20"/>
              </w:rPr>
            </w:pPr>
          </w:p>
        </w:tc>
      </w:tr>
      <w:tr w:rsidR="00C94345" w:rsidRPr="00373ACB" w14:paraId="6F82A4BC" w14:textId="77777777" w:rsidTr="00C94345">
        <w:trPr>
          <w:trHeight w:val="397"/>
        </w:trPr>
        <w:tc>
          <w:tcPr>
            <w:tcW w:w="1054" w:type="pct"/>
            <w:vAlign w:val="center"/>
          </w:tcPr>
          <w:p w14:paraId="0E596CBF" w14:textId="122B8D8F" w:rsidR="00C94345" w:rsidRPr="007103E4" w:rsidRDefault="00C94345" w:rsidP="00865CBA">
            <w:pPr>
              <w:spacing w:after="120"/>
              <w:rPr>
                <w:rFonts w:ascii="Arial" w:hAnsi="Arial" w:cs="Arial"/>
                <w:sz w:val="20"/>
                <w:szCs w:val="20"/>
              </w:rPr>
            </w:pPr>
            <w:r>
              <w:rPr>
                <w:rFonts w:ascii="Arial" w:hAnsi="Arial" w:cs="Arial"/>
                <w:sz w:val="20"/>
                <w:szCs w:val="20"/>
              </w:rPr>
              <w:t>In house competitions</w:t>
            </w:r>
          </w:p>
        </w:tc>
        <w:tc>
          <w:tcPr>
            <w:tcW w:w="1391" w:type="pct"/>
            <w:vAlign w:val="center"/>
          </w:tcPr>
          <w:p w14:paraId="17AD93E3" w14:textId="63665418" w:rsidR="00C94345" w:rsidRPr="007103E4" w:rsidRDefault="00C94345" w:rsidP="0066061A">
            <w:pPr>
              <w:spacing w:after="120"/>
              <w:rPr>
                <w:rFonts w:ascii="Arial" w:hAnsi="Arial" w:cs="Arial"/>
                <w:sz w:val="20"/>
                <w:szCs w:val="20"/>
              </w:rPr>
            </w:pPr>
          </w:p>
        </w:tc>
        <w:tc>
          <w:tcPr>
            <w:tcW w:w="365" w:type="pct"/>
            <w:vAlign w:val="center"/>
          </w:tcPr>
          <w:p w14:paraId="790F1D4A" w14:textId="77777777" w:rsidR="00C94345" w:rsidRPr="007103E4" w:rsidRDefault="00C94345" w:rsidP="0066061A">
            <w:pPr>
              <w:spacing w:after="120"/>
              <w:rPr>
                <w:rFonts w:ascii="Arial" w:hAnsi="Arial" w:cs="Arial"/>
                <w:sz w:val="20"/>
                <w:szCs w:val="20"/>
              </w:rPr>
            </w:pPr>
          </w:p>
        </w:tc>
        <w:tc>
          <w:tcPr>
            <w:tcW w:w="365" w:type="pct"/>
            <w:vAlign w:val="center"/>
          </w:tcPr>
          <w:p w14:paraId="53E39811" w14:textId="77777777" w:rsidR="00C94345" w:rsidRPr="007103E4" w:rsidRDefault="00C94345" w:rsidP="0066061A">
            <w:pPr>
              <w:spacing w:after="120"/>
              <w:rPr>
                <w:rFonts w:ascii="Arial" w:hAnsi="Arial" w:cs="Arial"/>
                <w:sz w:val="20"/>
                <w:szCs w:val="20"/>
              </w:rPr>
            </w:pPr>
          </w:p>
        </w:tc>
        <w:tc>
          <w:tcPr>
            <w:tcW w:w="365" w:type="pct"/>
            <w:vAlign w:val="center"/>
          </w:tcPr>
          <w:p w14:paraId="5D4DAB80" w14:textId="77777777" w:rsidR="00C94345" w:rsidRPr="007103E4" w:rsidRDefault="00C94345" w:rsidP="0066061A">
            <w:pPr>
              <w:spacing w:after="120"/>
              <w:rPr>
                <w:rFonts w:ascii="Arial" w:hAnsi="Arial" w:cs="Arial"/>
                <w:sz w:val="20"/>
                <w:szCs w:val="20"/>
              </w:rPr>
            </w:pPr>
          </w:p>
        </w:tc>
        <w:tc>
          <w:tcPr>
            <w:tcW w:w="365" w:type="pct"/>
            <w:vAlign w:val="center"/>
          </w:tcPr>
          <w:p w14:paraId="07B939DA" w14:textId="5767364B" w:rsidR="00C94345" w:rsidRPr="007103E4" w:rsidRDefault="0041038D" w:rsidP="0066061A">
            <w:pPr>
              <w:spacing w:after="120"/>
              <w:rPr>
                <w:rFonts w:ascii="Arial" w:hAnsi="Arial" w:cs="Arial"/>
                <w:sz w:val="20"/>
                <w:szCs w:val="20"/>
              </w:rPr>
            </w:pPr>
            <w:r>
              <w:rPr>
                <w:rFonts w:ascii="Arial" w:hAnsi="Arial" w:cs="Arial"/>
                <w:sz w:val="20"/>
                <w:szCs w:val="20"/>
              </w:rPr>
              <w:t>x</w:t>
            </w:r>
          </w:p>
        </w:tc>
        <w:tc>
          <w:tcPr>
            <w:tcW w:w="365" w:type="pct"/>
            <w:vAlign w:val="center"/>
          </w:tcPr>
          <w:p w14:paraId="67ED0655" w14:textId="2A954401" w:rsidR="00C94345" w:rsidRPr="007103E4" w:rsidRDefault="0041038D" w:rsidP="0066061A">
            <w:pPr>
              <w:spacing w:after="120"/>
              <w:rPr>
                <w:rFonts w:ascii="Arial" w:hAnsi="Arial" w:cs="Arial"/>
                <w:sz w:val="20"/>
                <w:szCs w:val="20"/>
              </w:rPr>
            </w:pPr>
            <w:r>
              <w:rPr>
                <w:rFonts w:ascii="Arial" w:hAnsi="Arial" w:cs="Arial"/>
                <w:sz w:val="20"/>
                <w:szCs w:val="20"/>
              </w:rPr>
              <w:t>x</w:t>
            </w:r>
          </w:p>
        </w:tc>
        <w:tc>
          <w:tcPr>
            <w:tcW w:w="365" w:type="pct"/>
            <w:vAlign w:val="center"/>
          </w:tcPr>
          <w:p w14:paraId="0B18D62E" w14:textId="4EB219F2" w:rsidR="00C94345" w:rsidRPr="007103E4" w:rsidRDefault="0041038D" w:rsidP="0066061A">
            <w:pPr>
              <w:spacing w:after="120"/>
              <w:rPr>
                <w:rFonts w:ascii="Arial" w:hAnsi="Arial" w:cs="Arial"/>
                <w:sz w:val="20"/>
                <w:szCs w:val="20"/>
              </w:rPr>
            </w:pPr>
            <w:r>
              <w:rPr>
                <w:rFonts w:ascii="Arial" w:hAnsi="Arial" w:cs="Arial"/>
                <w:sz w:val="20"/>
                <w:szCs w:val="20"/>
              </w:rPr>
              <w:t>x</w:t>
            </w:r>
          </w:p>
        </w:tc>
        <w:tc>
          <w:tcPr>
            <w:tcW w:w="365" w:type="pct"/>
            <w:vAlign w:val="center"/>
          </w:tcPr>
          <w:p w14:paraId="52DD5A62" w14:textId="3E0B4AC3" w:rsidR="00C94345" w:rsidRPr="007103E4" w:rsidRDefault="0041038D" w:rsidP="0066061A">
            <w:pPr>
              <w:spacing w:after="120"/>
              <w:rPr>
                <w:rFonts w:ascii="Arial" w:hAnsi="Arial" w:cs="Arial"/>
                <w:sz w:val="20"/>
                <w:szCs w:val="20"/>
              </w:rPr>
            </w:pPr>
            <w:r>
              <w:rPr>
                <w:rFonts w:ascii="Arial" w:hAnsi="Arial" w:cs="Arial"/>
                <w:sz w:val="20"/>
                <w:szCs w:val="20"/>
              </w:rPr>
              <w:t>x</w:t>
            </w:r>
          </w:p>
        </w:tc>
      </w:tr>
      <w:tr w:rsidR="00C94345" w:rsidRPr="00373ACB" w14:paraId="168C812E" w14:textId="77777777" w:rsidTr="00C94345">
        <w:trPr>
          <w:trHeight w:val="397"/>
        </w:trPr>
        <w:tc>
          <w:tcPr>
            <w:tcW w:w="1054" w:type="pct"/>
            <w:vAlign w:val="center"/>
          </w:tcPr>
          <w:p w14:paraId="01F6ACDF" w14:textId="77777777" w:rsidR="00C94345" w:rsidRPr="007103E4" w:rsidRDefault="00C94345" w:rsidP="0066061A">
            <w:pPr>
              <w:spacing w:after="120"/>
              <w:rPr>
                <w:rFonts w:ascii="Arial" w:hAnsi="Arial" w:cs="Arial"/>
                <w:sz w:val="20"/>
                <w:szCs w:val="20"/>
              </w:rPr>
            </w:pPr>
            <w:r>
              <w:rPr>
                <w:rFonts w:ascii="Arial" w:hAnsi="Arial" w:cs="Arial"/>
                <w:sz w:val="20"/>
                <w:szCs w:val="20"/>
              </w:rPr>
              <w:t>Private Study</w:t>
            </w:r>
          </w:p>
        </w:tc>
        <w:tc>
          <w:tcPr>
            <w:tcW w:w="1391" w:type="pct"/>
            <w:vAlign w:val="center"/>
          </w:tcPr>
          <w:p w14:paraId="6F52A221" w14:textId="67B4F8CE" w:rsidR="00C94345" w:rsidRPr="007103E4" w:rsidRDefault="00C94345" w:rsidP="0066061A">
            <w:pPr>
              <w:spacing w:after="120"/>
              <w:rPr>
                <w:rFonts w:ascii="Arial" w:hAnsi="Arial" w:cs="Arial"/>
                <w:sz w:val="20"/>
                <w:szCs w:val="20"/>
              </w:rPr>
            </w:pPr>
          </w:p>
        </w:tc>
        <w:tc>
          <w:tcPr>
            <w:tcW w:w="365" w:type="pct"/>
            <w:vAlign w:val="center"/>
          </w:tcPr>
          <w:p w14:paraId="5022B1E4" w14:textId="77777777" w:rsidR="00C94345" w:rsidRPr="007103E4" w:rsidRDefault="00C94345" w:rsidP="0066061A">
            <w:pPr>
              <w:spacing w:after="120"/>
              <w:rPr>
                <w:rFonts w:ascii="Arial" w:hAnsi="Arial" w:cs="Arial"/>
                <w:sz w:val="20"/>
                <w:szCs w:val="20"/>
              </w:rPr>
            </w:pPr>
          </w:p>
        </w:tc>
        <w:tc>
          <w:tcPr>
            <w:tcW w:w="365" w:type="pct"/>
            <w:vAlign w:val="center"/>
          </w:tcPr>
          <w:p w14:paraId="5E0F69F1" w14:textId="77777777" w:rsidR="00C94345" w:rsidRPr="007103E4" w:rsidRDefault="00C94345" w:rsidP="0066061A">
            <w:pPr>
              <w:spacing w:after="120"/>
              <w:rPr>
                <w:rFonts w:ascii="Arial" w:hAnsi="Arial" w:cs="Arial"/>
                <w:sz w:val="20"/>
                <w:szCs w:val="20"/>
              </w:rPr>
            </w:pPr>
          </w:p>
        </w:tc>
        <w:tc>
          <w:tcPr>
            <w:tcW w:w="365" w:type="pct"/>
            <w:vAlign w:val="center"/>
          </w:tcPr>
          <w:p w14:paraId="106034E5" w14:textId="77777777" w:rsidR="00C94345" w:rsidRPr="007103E4" w:rsidRDefault="00C94345" w:rsidP="0066061A">
            <w:pPr>
              <w:spacing w:after="120"/>
              <w:rPr>
                <w:rFonts w:ascii="Arial" w:hAnsi="Arial" w:cs="Arial"/>
                <w:sz w:val="20"/>
                <w:szCs w:val="20"/>
              </w:rPr>
            </w:pPr>
          </w:p>
        </w:tc>
        <w:tc>
          <w:tcPr>
            <w:tcW w:w="365" w:type="pct"/>
            <w:vAlign w:val="center"/>
          </w:tcPr>
          <w:p w14:paraId="55D9EFB6" w14:textId="1ABC9549" w:rsidR="00C94345" w:rsidRPr="007103E4" w:rsidRDefault="0041038D" w:rsidP="0066061A">
            <w:pPr>
              <w:spacing w:after="120"/>
              <w:rPr>
                <w:rFonts w:ascii="Arial" w:hAnsi="Arial" w:cs="Arial"/>
                <w:sz w:val="20"/>
                <w:szCs w:val="20"/>
              </w:rPr>
            </w:pPr>
            <w:r>
              <w:rPr>
                <w:rFonts w:ascii="Arial" w:hAnsi="Arial" w:cs="Arial"/>
                <w:sz w:val="20"/>
                <w:szCs w:val="20"/>
              </w:rPr>
              <w:t>x</w:t>
            </w:r>
          </w:p>
        </w:tc>
        <w:tc>
          <w:tcPr>
            <w:tcW w:w="365" w:type="pct"/>
            <w:vAlign w:val="center"/>
          </w:tcPr>
          <w:p w14:paraId="24CDEDA3" w14:textId="1FBABF36" w:rsidR="00C94345" w:rsidRPr="007103E4" w:rsidRDefault="0041038D" w:rsidP="0066061A">
            <w:pPr>
              <w:spacing w:after="120"/>
              <w:rPr>
                <w:rFonts w:ascii="Arial" w:hAnsi="Arial" w:cs="Arial"/>
                <w:sz w:val="20"/>
                <w:szCs w:val="20"/>
              </w:rPr>
            </w:pPr>
            <w:r>
              <w:rPr>
                <w:rFonts w:ascii="Arial" w:hAnsi="Arial" w:cs="Arial"/>
                <w:sz w:val="20"/>
                <w:szCs w:val="20"/>
              </w:rPr>
              <w:t>x</w:t>
            </w:r>
          </w:p>
        </w:tc>
        <w:tc>
          <w:tcPr>
            <w:tcW w:w="365" w:type="pct"/>
            <w:vAlign w:val="center"/>
          </w:tcPr>
          <w:p w14:paraId="0B225BDD" w14:textId="50BAA644" w:rsidR="00C94345" w:rsidRPr="007103E4" w:rsidRDefault="0041038D" w:rsidP="0066061A">
            <w:pPr>
              <w:spacing w:after="120"/>
              <w:rPr>
                <w:rFonts w:ascii="Arial" w:hAnsi="Arial" w:cs="Arial"/>
                <w:sz w:val="20"/>
                <w:szCs w:val="20"/>
              </w:rPr>
            </w:pPr>
            <w:r>
              <w:rPr>
                <w:rFonts w:ascii="Arial" w:hAnsi="Arial" w:cs="Arial"/>
                <w:sz w:val="20"/>
                <w:szCs w:val="20"/>
              </w:rPr>
              <w:t>x</w:t>
            </w:r>
          </w:p>
        </w:tc>
        <w:tc>
          <w:tcPr>
            <w:tcW w:w="365" w:type="pct"/>
            <w:vAlign w:val="center"/>
          </w:tcPr>
          <w:p w14:paraId="402AD200" w14:textId="50E2583B" w:rsidR="00C94345" w:rsidRPr="007103E4" w:rsidRDefault="0041038D" w:rsidP="0066061A">
            <w:pPr>
              <w:spacing w:after="120"/>
              <w:rPr>
                <w:rFonts w:ascii="Arial" w:hAnsi="Arial" w:cs="Arial"/>
                <w:sz w:val="20"/>
                <w:szCs w:val="20"/>
              </w:rPr>
            </w:pPr>
            <w:r>
              <w:rPr>
                <w:rFonts w:ascii="Arial" w:hAnsi="Arial" w:cs="Arial"/>
                <w:sz w:val="20"/>
                <w:szCs w:val="20"/>
              </w:rPr>
              <w:t>x</w:t>
            </w:r>
          </w:p>
        </w:tc>
      </w:tr>
      <w:tr w:rsidR="00C94345" w:rsidRPr="00373ACB" w14:paraId="523B6F95" w14:textId="77777777" w:rsidTr="00C94345">
        <w:trPr>
          <w:trHeight w:val="397"/>
        </w:trPr>
        <w:tc>
          <w:tcPr>
            <w:tcW w:w="1054" w:type="pct"/>
            <w:shd w:val="clear" w:color="auto" w:fill="D9D9D9" w:themeFill="background1" w:themeFillShade="D9"/>
            <w:vAlign w:val="center"/>
          </w:tcPr>
          <w:p w14:paraId="274472CA" w14:textId="77777777" w:rsidR="00C94345" w:rsidRPr="00373ACB" w:rsidRDefault="00C94345" w:rsidP="0066061A">
            <w:pPr>
              <w:spacing w:after="120"/>
              <w:rPr>
                <w:rFonts w:ascii="Arial" w:hAnsi="Arial" w:cs="Arial"/>
                <w:b/>
                <w:sz w:val="20"/>
                <w:szCs w:val="20"/>
              </w:rPr>
            </w:pPr>
            <w:r w:rsidRPr="00373ACB">
              <w:rPr>
                <w:rFonts w:ascii="Arial" w:hAnsi="Arial" w:cs="Arial"/>
                <w:b/>
                <w:sz w:val="20"/>
                <w:szCs w:val="20"/>
              </w:rPr>
              <w:t>Assessment method</w:t>
            </w:r>
          </w:p>
        </w:tc>
        <w:tc>
          <w:tcPr>
            <w:tcW w:w="1391" w:type="pct"/>
            <w:shd w:val="clear" w:color="auto" w:fill="D9D9D9" w:themeFill="background1" w:themeFillShade="D9"/>
            <w:vAlign w:val="center"/>
          </w:tcPr>
          <w:p w14:paraId="07F48840" w14:textId="77777777" w:rsidR="00C94345" w:rsidRPr="007103E4" w:rsidRDefault="00C94345" w:rsidP="0066061A">
            <w:pPr>
              <w:spacing w:after="120"/>
              <w:rPr>
                <w:rFonts w:ascii="Arial" w:hAnsi="Arial" w:cs="Arial"/>
                <w:sz w:val="20"/>
                <w:szCs w:val="20"/>
              </w:rPr>
            </w:pPr>
            <w:r w:rsidRPr="007103E4">
              <w:rPr>
                <w:rFonts w:ascii="Arial" w:hAnsi="Arial" w:cs="Arial"/>
                <w:sz w:val="16"/>
                <w:szCs w:val="20"/>
              </w:rPr>
              <w:t xml:space="preserve">Specify </w:t>
            </w:r>
            <w:r>
              <w:rPr>
                <w:rFonts w:ascii="Arial" w:hAnsi="Arial" w:cs="Arial"/>
                <w:sz w:val="16"/>
                <w:szCs w:val="20"/>
              </w:rPr>
              <w:t xml:space="preserve">word </w:t>
            </w:r>
            <w:r w:rsidRPr="007103E4">
              <w:rPr>
                <w:rFonts w:ascii="Arial" w:hAnsi="Arial" w:cs="Arial"/>
                <w:sz w:val="16"/>
                <w:szCs w:val="20"/>
              </w:rPr>
              <w:t>length, duration, individual or group</w:t>
            </w:r>
            <w:r>
              <w:rPr>
                <w:rFonts w:ascii="Arial" w:hAnsi="Arial" w:cs="Arial"/>
                <w:sz w:val="16"/>
                <w:szCs w:val="20"/>
              </w:rPr>
              <w:t xml:space="preserve"> work</w:t>
            </w:r>
            <w:r w:rsidRPr="007103E4">
              <w:rPr>
                <w:rFonts w:ascii="Arial" w:hAnsi="Arial" w:cs="Arial"/>
                <w:sz w:val="16"/>
                <w:szCs w:val="20"/>
              </w:rPr>
              <w:t xml:space="preserve"> (as appropriate)</w:t>
            </w:r>
          </w:p>
        </w:tc>
        <w:tc>
          <w:tcPr>
            <w:tcW w:w="365" w:type="pct"/>
            <w:vAlign w:val="center"/>
          </w:tcPr>
          <w:p w14:paraId="4B1BC30F" w14:textId="77777777" w:rsidR="00C94345" w:rsidRPr="007103E4" w:rsidRDefault="00C94345" w:rsidP="0066061A">
            <w:pPr>
              <w:spacing w:after="120"/>
              <w:rPr>
                <w:rFonts w:ascii="Arial" w:hAnsi="Arial" w:cs="Arial"/>
                <w:b/>
                <w:sz w:val="20"/>
                <w:szCs w:val="20"/>
              </w:rPr>
            </w:pPr>
          </w:p>
        </w:tc>
        <w:tc>
          <w:tcPr>
            <w:tcW w:w="365" w:type="pct"/>
            <w:vAlign w:val="center"/>
          </w:tcPr>
          <w:p w14:paraId="0316FF0E" w14:textId="77777777" w:rsidR="00C94345" w:rsidRPr="007103E4" w:rsidRDefault="00C94345" w:rsidP="0066061A">
            <w:pPr>
              <w:spacing w:after="120"/>
              <w:rPr>
                <w:rFonts w:ascii="Arial" w:hAnsi="Arial" w:cs="Arial"/>
                <w:b/>
                <w:sz w:val="20"/>
                <w:szCs w:val="20"/>
              </w:rPr>
            </w:pPr>
          </w:p>
        </w:tc>
        <w:tc>
          <w:tcPr>
            <w:tcW w:w="365" w:type="pct"/>
            <w:vAlign w:val="center"/>
          </w:tcPr>
          <w:p w14:paraId="24435F14" w14:textId="77777777" w:rsidR="00C94345" w:rsidRPr="007103E4" w:rsidRDefault="00C94345" w:rsidP="0066061A">
            <w:pPr>
              <w:spacing w:after="120"/>
              <w:rPr>
                <w:rFonts w:ascii="Arial" w:hAnsi="Arial" w:cs="Arial"/>
                <w:b/>
                <w:sz w:val="20"/>
                <w:szCs w:val="20"/>
              </w:rPr>
            </w:pPr>
          </w:p>
        </w:tc>
        <w:tc>
          <w:tcPr>
            <w:tcW w:w="365" w:type="pct"/>
            <w:vAlign w:val="center"/>
          </w:tcPr>
          <w:p w14:paraId="47A35570" w14:textId="77777777" w:rsidR="00C94345" w:rsidRPr="007103E4" w:rsidRDefault="00C94345" w:rsidP="0066061A">
            <w:pPr>
              <w:spacing w:after="120"/>
              <w:rPr>
                <w:rFonts w:ascii="Arial" w:hAnsi="Arial" w:cs="Arial"/>
                <w:b/>
                <w:sz w:val="20"/>
                <w:szCs w:val="20"/>
              </w:rPr>
            </w:pPr>
          </w:p>
        </w:tc>
        <w:tc>
          <w:tcPr>
            <w:tcW w:w="365" w:type="pct"/>
            <w:vAlign w:val="center"/>
          </w:tcPr>
          <w:p w14:paraId="60118BFE" w14:textId="77777777" w:rsidR="00C94345" w:rsidRPr="007103E4" w:rsidRDefault="00C94345" w:rsidP="0066061A">
            <w:pPr>
              <w:spacing w:after="120"/>
              <w:rPr>
                <w:rFonts w:ascii="Arial" w:hAnsi="Arial" w:cs="Arial"/>
                <w:b/>
                <w:sz w:val="20"/>
                <w:szCs w:val="20"/>
              </w:rPr>
            </w:pPr>
          </w:p>
        </w:tc>
        <w:tc>
          <w:tcPr>
            <w:tcW w:w="365" w:type="pct"/>
            <w:vAlign w:val="center"/>
          </w:tcPr>
          <w:p w14:paraId="1C34751A" w14:textId="77777777" w:rsidR="00C94345" w:rsidRPr="007103E4" w:rsidRDefault="00C94345" w:rsidP="0066061A">
            <w:pPr>
              <w:spacing w:after="120"/>
              <w:rPr>
                <w:rFonts w:ascii="Arial" w:hAnsi="Arial" w:cs="Arial"/>
                <w:b/>
                <w:sz w:val="20"/>
                <w:szCs w:val="20"/>
              </w:rPr>
            </w:pPr>
          </w:p>
        </w:tc>
        <w:tc>
          <w:tcPr>
            <w:tcW w:w="365" w:type="pct"/>
            <w:vAlign w:val="center"/>
          </w:tcPr>
          <w:p w14:paraId="237D3A84" w14:textId="77777777" w:rsidR="00C94345" w:rsidRPr="007103E4" w:rsidRDefault="00C94345" w:rsidP="0066061A">
            <w:pPr>
              <w:spacing w:after="120"/>
              <w:rPr>
                <w:rFonts w:ascii="Arial" w:hAnsi="Arial" w:cs="Arial"/>
                <w:b/>
                <w:sz w:val="20"/>
                <w:szCs w:val="20"/>
              </w:rPr>
            </w:pPr>
          </w:p>
        </w:tc>
      </w:tr>
      <w:tr w:rsidR="00C94345" w:rsidRPr="00373ACB" w14:paraId="6DFE4DA2" w14:textId="77777777" w:rsidTr="00C94345">
        <w:trPr>
          <w:trHeight w:val="397"/>
        </w:trPr>
        <w:tc>
          <w:tcPr>
            <w:tcW w:w="1054" w:type="pct"/>
            <w:vAlign w:val="center"/>
          </w:tcPr>
          <w:p w14:paraId="4D349832" w14:textId="3D9C78E4" w:rsidR="00C94345" w:rsidRPr="00D71DF4" w:rsidRDefault="00C94345" w:rsidP="00C94345">
            <w:pPr>
              <w:spacing w:after="120"/>
              <w:rPr>
                <w:rFonts w:ascii="Arial" w:hAnsi="Arial" w:cs="Arial"/>
                <w:sz w:val="20"/>
                <w:szCs w:val="20"/>
              </w:rPr>
            </w:pPr>
            <w:r>
              <w:rPr>
                <w:rFonts w:ascii="Arial" w:hAnsi="Arial" w:cs="Arial"/>
                <w:sz w:val="20"/>
                <w:szCs w:val="20"/>
              </w:rPr>
              <w:t>Attendance and participation deemed to be above 40%</w:t>
            </w:r>
          </w:p>
        </w:tc>
        <w:tc>
          <w:tcPr>
            <w:tcW w:w="1391" w:type="pct"/>
            <w:vAlign w:val="center"/>
          </w:tcPr>
          <w:p w14:paraId="75BF93AC" w14:textId="5E881E9A" w:rsidR="00C94345" w:rsidRPr="00D71DF4" w:rsidRDefault="00C94345" w:rsidP="0066061A">
            <w:pPr>
              <w:spacing w:after="120"/>
              <w:rPr>
                <w:rFonts w:ascii="Arial" w:hAnsi="Arial" w:cs="Arial"/>
                <w:sz w:val="20"/>
                <w:szCs w:val="20"/>
              </w:rPr>
            </w:pPr>
            <w:r>
              <w:rPr>
                <w:rFonts w:ascii="Arial" w:hAnsi="Arial" w:cs="Arial"/>
                <w:sz w:val="20"/>
                <w:szCs w:val="20"/>
              </w:rPr>
              <w:t>Pass/Fail</w:t>
            </w:r>
          </w:p>
        </w:tc>
        <w:tc>
          <w:tcPr>
            <w:tcW w:w="365" w:type="pct"/>
            <w:vAlign w:val="center"/>
          </w:tcPr>
          <w:p w14:paraId="519121B3" w14:textId="1BA27553" w:rsidR="00C94345" w:rsidRPr="007103E4" w:rsidRDefault="0041038D" w:rsidP="0066061A">
            <w:pPr>
              <w:spacing w:after="120"/>
              <w:rPr>
                <w:rFonts w:ascii="Arial" w:hAnsi="Arial" w:cs="Arial"/>
                <w:sz w:val="20"/>
                <w:szCs w:val="20"/>
              </w:rPr>
            </w:pPr>
            <w:r>
              <w:rPr>
                <w:rFonts w:ascii="Arial" w:hAnsi="Arial" w:cs="Arial"/>
                <w:sz w:val="20"/>
                <w:szCs w:val="20"/>
              </w:rPr>
              <w:t>x</w:t>
            </w:r>
          </w:p>
        </w:tc>
        <w:tc>
          <w:tcPr>
            <w:tcW w:w="365" w:type="pct"/>
            <w:vAlign w:val="center"/>
          </w:tcPr>
          <w:p w14:paraId="47C69F60" w14:textId="2EB363F5" w:rsidR="00C94345" w:rsidRPr="007103E4" w:rsidRDefault="0041038D" w:rsidP="0066061A">
            <w:pPr>
              <w:spacing w:after="120"/>
              <w:rPr>
                <w:rFonts w:ascii="Arial" w:hAnsi="Arial" w:cs="Arial"/>
                <w:sz w:val="20"/>
                <w:szCs w:val="20"/>
              </w:rPr>
            </w:pPr>
            <w:r>
              <w:rPr>
                <w:rFonts w:ascii="Arial" w:hAnsi="Arial" w:cs="Arial"/>
                <w:sz w:val="20"/>
                <w:szCs w:val="20"/>
              </w:rPr>
              <w:t>x</w:t>
            </w:r>
          </w:p>
        </w:tc>
        <w:tc>
          <w:tcPr>
            <w:tcW w:w="365" w:type="pct"/>
            <w:vAlign w:val="center"/>
          </w:tcPr>
          <w:p w14:paraId="29DD0D6D" w14:textId="7ED594D2" w:rsidR="00C94345" w:rsidRPr="007103E4" w:rsidRDefault="0041038D" w:rsidP="0066061A">
            <w:pPr>
              <w:spacing w:after="120"/>
              <w:rPr>
                <w:rFonts w:ascii="Arial" w:hAnsi="Arial" w:cs="Arial"/>
                <w:sz w:val="20"/>
                <w:szCs w:val="20"/>
              </w:rPr>
            </w:pPr>
            <w:r>
              <w:rPr>
                <w:rFonts w:ascii="Arial" w:hAnsi="Arial" w:cs="Arial"/>
                <w:sz w:val="20"/>
                <w:szCs w:val="20"/>
              </w:rPr>
              <w:t>x</w:t>
            </w:r>
          </w:p>
        </w:tc>
        <w:tc>
          <w:tcPr>
            <w:tcW w:w="365" w:type="pct"/>
            <w:vAlign w:val="center"/>
          </w:tcPr>
          <w:p w14:paraId="2058E97D" w14:textId="1F908987" w:rsidR="00C94345" w:rsidRPr="007103E4" w:rsidRDefault="0041038D" w:rsidP="0066061A">
            <w:pPr>
              <w:spacing w:after="120"/>
              <w:rPr>
                <w:rFonts w:ascii="Arial" w:hAnsi="Arial" w:cs="Arial"/>
                <w:sz w:val="20"/>
                <w:szCs w:val="20"/>
              </w:rPr>
            </w:pPr>
            <w:r>
              <w:rPr>
                <w:rFonts w:ascii="Arial" w:hAnsi="Arial" w:cs="Arial"/>
                <w:sz w:val="20"/>
                <w:szCs w:val="20"/>
              </w:rPr>
              <w:t>x</w:t>
            </w:r>
          </w:p>
        </w:tc>
        <w:tc>
          <w:tcPr>
            <w:tcW w:w="365" w:type="pct"/>
            <w:vAlign w:val="center"/>
          </w:tcPr>
          <w:p w14:paraId="0E02208D" w14:textId="2FB05A83" w:rsidR="00C94345" w:rsidRPr="007103E4" w:rsidRDefault="0041038D" w:rsidP="0066061A">
            <w:pPr>
              <w:spacing w:after="120"/>
              <w:rPr>
                <w:rFonts w:ascii="Arial" w:hAnsi="Arial" w:cs="Arial"/>
                <w:sz w:val="20"/>
                <w:szCs w:val="20"/>
              </w:rPr>
            </w:pPr>
            <w:r>
              <w:rPr>
                <w:rFonts w:ascii="Arial" w:hAnsi="Arial" w:cs="Arial"/>
                <w:sz w:val="20"/>
                <w:szCs w:val="20"/>
              </w:rPr>
              <w:t>x</w:t>
            </w:r>
          </w:p>
        </w:tc>
        <w:tc>
          <w:tcPr>
            <w:tcW w:w="365" w:type="pct"/>
            <w:vAlign w:val="center"/>
          </w:tcPr>
          <w:p w14:paraId="02A78749" w14:textId="3897B77E" w:rsidR="00C94345" w:rsidRPr="007103E4" w:rsidRDefault="0041038D" w:rsidP="0066061A">
            <w:pPr>
              <w:spacing w:after="120"/>
              <w:rPr>
                <w:rFonts w:ascii="Arial" w:hAnsi="Arial" w:cs="Arial"/>
                <w:sz w:val="20"/>
                <w:szCs w:val="20"/>
              </w:rPr>
            </w:pPr>
            <w:r>
              <w:rPr>
                <w:rFonts w:ascii="Arial" w:hAnsi="Arial" w:cs="Arial"/>
                <w:sz w:val="20"/>
                <w:szCs w:val="20"/>
              </w:rPr>
              <w:t>x</w:t>
            </w:r>
          </w:p>
        </w:tc>
        <w:tc>
          <w:tcPr>
            <w:tcW w:w="365" w:type="pct"/>
            <w:vAlign w:val="center"/>
          </w:tcPr>
          <w:p w14:paraId="6FFDA8A0" w14:textId="199EF1BC" w:rsidR="00C94345" w:rsidRPr="007103E4" w:rsidRDefault="0041038D" w:rsidP="0066061A">
            <w:pPr>
              <w:spacing w:after="120"/>
              <w:rPr>
                <w:rFonts w:ascii="Arial" w:hAnsi="Arial" w:cs="Arial"/>
                <w:sz w:val="20"/>
                <w:szCs w:val="20"/>
              </w:rPr>
            </w:pPr>
            <w:r>
              <w:rPr>
                <w:rFonts w:ascii="Arial" w:hAnsi="Arial" w:cs="Arial"/>
                <w:sz w:val="20"/>
                <w:szCs w:val="20"/>
              </w:rPr>
              <w:t>x</w:t>
            </w:r>
          </w:p>
        </w:tc>
      </w:tr>
    </w:tbl>
    <w:p w14:paraId="76F34AEE" w14:textId="77777777" w:rsidR="007A6245" w:rsidRPr="00373ACB" w:rsidRDefault="007A6245" w:rsidP="0066061A">
      <w:pPr>
        <w:spacing w:after="120" w:line="240" w:lineRule="auto"/>
        <w:ind w:left="426" w:right="260"/>
        <w:rPr>
          <w:rFonts w:ascii="Arial" w:hAnsi="Arial" w:cs="Arial"/>
          <w:b/>
          <w:iCs/>
          <w:sz w:val="20"/>
          <w:szCs w:val="20"/>
        </w:rPr>
      </w:pPr>
    </w:p>
    <w:p w14:paraId="6E8E7E59" w14:textId="77777777" w:rsidR="00DF2132" w:rsidRPr="00C94345" w:rsidRDefault="00DF2132" w:rsidP="00DF2132">
      <w:pPr>
        <w:numPr>
          <w:ilvl w:val="0"/>
          <w:numId w:val="1"/>
        </w:numPr>
        <w:spacing w:after="120" w:line="240" w:lineRule="auto"/>
        <w:ind w:left="426" w:right="260" w:hanging="426"/>
        <w:rPr>
          <w:rFonts w:ascii="Arial" w:hAnsi="Arial" w:cs="Arial"/>
          <w:sz w:val="20"/>
          <w:szCs w:val="20"/>
        </w:rPr>
      </w:pPr>
      <w:r w:rsidRPr="00C94345">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C94345">
        <w:rPr>
          <w:rFonts w:ascii="Arial" w:hAnsi="Arial" w:cs="Arial"/>
          <w:sz w:val="20"/>
          <w:szCs w:val="20"/>
        </w:rPr>
        <w:br/>
      </w:r>
    </w:p>
    <w:p w14:paraId="6B922021" w14:textId="77777777" w:rsidR="00DF2132" w:rsidRPr="00C94345" w:rsidRDefault="00DF2132" w:rsidP="00DF2132">
      <w:pPr>
        <w:spacing w:after="120" w:line="240" w:lineRule="auto"/>
        <w:ind w:left="426" w:right="260"/>
        <w:rPr>
          <w:rFonts w:ascii="Arial" w:hAnsi="Arial" w:cs="Arial"/>
          <w:sz w:val="20"/>
          <w:szCs w:val="20"/>
        </w:rPr>
      </w:pPr>
      <w:r w:rsidRPr="00C94345">
        <w:rPr>
          <w:rFonts w:ascii="Arial" w:hAnsi="Arial" w:cs="Arial"/>
          <w:sz w:val="20"/>
          <w:szCs w:val="20"/>
        </w:rPr>
        <w:t>The inclusive practices in the guidance (see Annex B Appendix A) have been considered in order to support all students in the following areas:</w:t>
      </w:r>
    </w:p>
    <w:p w14:paraId="5FE77F4F" w14:textId="77777777" w:rsidR="00DF2132" w:rsidRPr="00C94345" w:rsidRDefault="00DF2132" w:rsidP="00DF2132">
      <w:pPr>
        <w:spacing w:after="120" w:line="240" w:lineRule="auto"/>
        <w:ind w:left="426" w:right="260"/>
        <w:rPr>
          <w:rFonts w:ascii="Arial" w:hAnsi="Arial" w:cs="Arial"/>
          <w:b/>
          <w:sz w:val="20"/>
          <w:szCs w:val="20"/>
        </w:rPr>
      </w:pPr>
      <w:r w:rsidRPr="00C94345">
        <w:rPr>
          <w:rFonts w:ascii="Arial" w:hAnsi="Arial" w:cs="Arial"/>
          <w:sz w:val="20"/>
          <w:szCs w:val="20"/>
        </w:rPr>
        <w:br/>
      </w:r>
      <w:r w:rsidRPr="00C94345">
        <w:rPr>
          <w:rFonts w:ascii="Arial" w:hAnsi="Arial" w:cs="Arial"/>
          <w:b/>
          <w:sz w:val="20"/>
          <w:szCs w:val="20"/>
        </w:rPr>
        <w:t>a) Accessible resources and curriculum</w:t>
      </w:r>
    </w:p>
    <w:p w14:paraId="4F0BD423" w14:textId="77777777" w:rsidR="00971465" w:rsidRPr="00C94345" w:rsidRDefault="00971465" w:rsidP="00971465">
      <w:pPr>
        <w:pStyle w:val="ListParagraph"/>
        <w:numPr>
          <w:ilvl w:val="0"/>
          <w:numId w:val="13"/>
        </w:numPr>
        <w:spacing w:after="120" w:line="240" w:lineRule="auto"/>
        <w:ind w:right="260"/>
        <w:rPr>
          <w:rFonts w:ascii="Arial" w:hAnsi="Arial" w:cs="Arial"/>
          <w:sz w:val="20"/>
          <w:szCs w:val="20"/>
        </w:rPr>
      </w:pPr>
      <w:r w:rsidRPr="00C94345">
        <w:rPr>
          <w:rFonts w:ascii="Arial" w:hAnsi="Arial" w:cs="Arial"/>
          <w:sz w:val="20"/>
          <w:szCs w:val="20"/>
        </w:rPr>
        <w:t>Preference will be given to electronic resources that meet minimum accessibility standards and support the use of assistive technologies.</w:t>
      </w:r>
    </w:p>
    <w:p w14:paraId="13D625C6" w14:textId="77777777" w:rsidR="00971465" w:rsidRPr="00C94345" w:rsidRDefault="00971465" w:rsidP="00971465">
      <w:pPr>
        <w:pStyle w:val="ListParagraph"/>
        <w:numPr>
          <w:ilvl w:val="0"/>
          <w:numId w:val="13"/>
        </w:numPr>
        <w:spacing w:after="120" w:line="240" w:lineRule="auto"/>
        <w:ind w:right="260"/>
        <w:rPr>
          <w:rFonts w:ascii="Arial" w:hAnsi="Arial" w:cs="Arial"/>
          <w:sz w:val="20"/>
          <w:szCs w:val="20"/>
        </w:rPr>
      </w:pPr>
      <w:r w:rsidRPr="00C94345">
        <w:rPr>
          <w:rFonts w:ascii="Arial" w:hAnsi="Arial" w:cs="Arial"/>
          <w:sz w:val="20"/>
          <w:szCs w:val="20"/>
        </w:rPr>
        <w:t xml:space="preserve">Module outlines will be made accessible at least four weeks before the module starts. </w:t>
      </w:r>
    </w:p>
    <w:p w14:paraId="1973D55A" w14:textId="77777777" w:rsidR="00971465" w:rsidRPr="00C94345" w:rsidRDefault="00971465" w:rsidP="00971465">
      <w:pPr>
        <w:pStyle w:val="ListParagraph"/>
        <w:numPr>
          <w:ilvl w:val="0"/>
          <w:numId w:val="13"/>
        </w:numPr>
        <w:spacing w:after="120" w:line="240" w:lineRule="auto"/>
        <w:ind w:right="260"/>
        <w:rPr>
          <w:rFonts w:ascii="Arial" w:hAnsi="Arial" w:cs="Arial"/>
          <w:sz w:val="20"/>
          <w:szCs w:val="20"/>
        </w:rPr>
      </w:pPr>
      <w:r w:rsidRPr="00C94345">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BCCAEEC" w14:textId="77777777" w:rsidR="00971465" w:rsidRPr="00C94345" w:rsidRDefault="00971465" w:rsidP="00971465">
      <w:pPr>
        <w:pStyle w:val="ListParagraph"/>
        <w:numPr>
          <w:ilvl w:val="0"/>
          <w:numId w:val="13"/>
        </w:numPr>
        <w:spacing w:after="120" w:line="240" w:lineRule="auto"/>
        <w:ind w:right="260"/>
        <w:rPr>
          <w:rFonts w:ascii="Arial" w:hAnsi="Arial" w:cs="Arial"/>
          <w:sz w:val="20"/>
          <w:szCs w:val="20"/>
        </w:rPr>
      </w:pPr>
      <w:r w:rsidRPr="00C94345">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465F4350" w14:textId="4D1F29CD" w:rsidR="00DF2132" w:rsidRPr="00C94345" w:rsidRDefault="00C94345" w:rsidP="00971465">
      <w:pPr>
        <w:pStyle w:val="ListParagraph"/>
        <w:numPr>
          <w:ilvl w:val="0"/>
          <w:numId w:val="13"/>
        </w:numPr>
        <w:spacing w:after="120" w:line="240" w:lineRule="auto"/>
        <w:ind w:right="260"/>
        <w:rPr>
          <w:rFonts w:ascii="Arial" w:hAnsi="Arial" w:cs="Arial"/>
          <w:sz w:val="20"/>
          <w:szCs w:val="20"/>
        </w:rPr>
      </w:pPr>
      <w:r w:rsidRPr="00C94345">
        <w:rPr>
          <w:rFonts w:ascii="Arial" w:hAnsi="Arial" w:cs="Arial"/>
          <w:sz w:val="20"/>
          <w:szCs w:val="20"/>
        </w:rPr>
        <w:t xml:space="preserve">Since there are no lectures, the KLS lecture recording policy does not apply. </w:t>
      </w:r>
      <w:r w:rsidR="00A7491F" w:rsidRPr="00C94345">
        <w:rPr>
          <w:rFonts w:ascii="Arial" w:hAnsi="Arial" w:cs="Arial"/>
          <w:sz w:val="20"/>
          <w:szCs w:val="20"/>
        </w:rPr>
        <w:br/>
      </w:r>
    </w:p>
    <w:p w14:paraId="4FA63B03" w14:textId="77777777" w:rsidR="009A2D37" w:rsidRPr="00C94345" w:rsidRDefault="00DF2132" w:rsidP="00DF2132">
      <w:pPr>
        <w:spacing w:after="120" w:line="240" w:lineRule="auto"/>
        <w:ind w:left="426" w:right="260"/>
        <w:rPr>
          <w:rFonts w:ascii="Arial" w:hAnsi="Arial" w:cs="Arial"/>
          <w:b/>
          <w:sz w:val="20"/>
          <w:szCs w:val="20"/>
        </w:rPr>
      </w:pPr>
      <w:r w:rsidRPr="00C94345">
        <w:rPr>
          <w:rFonts w:ascii="Arial" w:hAnsi="Arial" w:cs="Arial"/>
          <w:b/>
          <w:sz w:val="20"/>
          <w:szCs w:val="20"/>
        </w:rPr>
        <w:t>b) Learning, teaching and assessment methods</w:t>
      </w:r>
    </w:p>
    <w:p w14:paraId="3732D1F5" w14:textId="4C5392AB" w:rsidR="009A2D37" w:rsidRPr="00373ACB" w:rsidRDefault="00971465" w:rsidP="006978AD">
      <w:pPr>
        <w:spacing w:after="120" w:line="240" w:lineRule="auto"/>
        <w:ind w:left="426" w:right="260"/>
        <w:rPr>
          <w:rFonts w:ascii="Arial" w:hAnsi="Arial" w:cs="Arial"/>
          <w:iCs/>
          <w:sz w:val="20"/>
          <w:szCs w:val="20"/>
        </w:rPr>
      </w:pPr>
      <w:r w:rsidRPr="00C94345">
        <w:rPr>
          <w:rFonts w:ascii="Arial" w:hAnsi="Arial" w:cs="Arial"/>
          <w:iCs/>
          <w:sz w:val="20"/>
          <w:szCs w:val="20"/>
        </w:rPr>
        <w:t>The inclusive practices in the guidance (Annex B Appendix A, section b</w:t>
      </w:r>
      <w:r w:rsidR="00947BE7">
        <w:rPr>
          <w:rFonts w:ascii="Arial" w:hAnsi="Arial" w:cs="Arial"/>
          <w:iCs/>
          <w:sz w:val="20"/>
          <w:szCs w:val="20"/>
        </w:rPr>
        <w:t xml:space="preserve"> </w:t>
      </w:r>
      <w:r w:rsidRPr="00C94345">
        <w:rPr>
          <w:rFonts w:ascii="Arial" w:hAnsi="Arial" w:cs="Arial"/>
          <w:iCs/>
          <w:sz w:val="20"/>
          <w:szCs w:val="20"/>
        </w:rPr>
        <w:t>(1) and (2)) have all been considered in order to support all students in their assessments on this module.</w:t>
      </w:r>
      <w:r w:rsidR="00A7491F" w:rsidRPr="00C94345">
        <w:rPr>
          <w:rFonts w:ascii="Arial" w:hAnsi="Arial" w:cs="Arial"/>
          <w:iCs/>
          <w:sz w:val="20"/>
          <w:szCs w:val="20"/>
        </w:rPr>
        <w:br/>
      </w:r>
    </w:p>
    <w:p w14:paraId="33AD851D"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22D86C99" w14:textId="64EE6339"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63CAF2DC" w14:textId="77777777" w:rsidR="00DF2132" w:rsidRDefault="00DF2132" w:rsidP="0066061A">
      <w:pPr>
        <w:spacing w:after="120" w:line="240" w:lineRule="auto"/>
        <w:ind w:left="426" w:right="260"/>
        <w:rPr>
          <w:rFonts w:ascii="Arial" w:hAnsi="Arial" w:cs="Arial"/>
          <w:iCs/>
          <w:sz w:val="20"/>
          <w:szCs w:val="20"/>
        </w:rPr>
      </w:pPr>
    </w:p>
    <w:p w14:paraId="7BD3D47C" w14:textId="77777777" w:rsidR="00DF2132" w:rsidRPr="00DF2132" w:rsidRDefault="00DF2132" w:rsidP="00DF213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6CF36FE5" w14:textId="0C242A7B" w:rsidR="00DF2132" w:rsidRPr="00373ACB" w:rsidRDefault="00947BE7" w:rsidP="0066061A">
      <w:pPr>
        <w:spacing w:after="120" w:line="240" w:lineRule="auto"/>
        <w:ind w:left="426" w:right="260"/>
        <w:rPr>
          <w:rFonts w:ascii="Arial" w:hAnsi="Arial" w:cs="Arial"/>
          <w:iCs/>
          <w:sz w:val="20"/>
          <w:szCs w:val="20"/>
        </w:rPr>
      </w:pPr>
      <w:r>
        <w:rPr>
          <w:rFonts w:ascii="Arial" w:hAnsi="Arial" w:cs="Arial"/>
          <w:sz w:val="20"/>
          <w:szCs w:val="20"/>
        </w:rPr>
        <w:t xml:space="preserve">Internationalisation will be dependent on whether the problem scenario provided to the mooters has scope for international consideration. </w:t>
      </w:r>
      <w:r w:rsidR="00276028">
        <w:rPr>
          <w:rFonts w:ascii="Arial" w:hAnsi="Arial" w:cs="Arial"/>
          <w:sz w:val="20"/>
          <w:szCs w:val="20"/>
        </w:rPr>
        <w:t xml:space="preserve">For example, a moot scenario may invite consideration of case law from other </w:t>
      </w:r>
      <w:r w:rsidR="00276028">
        <w:rPr>
          <w:rFonts w:ascii="Arial" w:hAnsi="Arial" w:cs="Arial"/>
          <w:sz w:val="20"/>
          <w:szCs w:val="20"/>
        </w:rPr>
        <w:lastRenderedPageBreak/>
        <w:t>jurisdictions, particularly Commonwealth jurisdictions</w:t>
      </w:r>
      <w:r w:rsidR="00A35EE9">
        <w:rPr>
          <w:rFonts w:ascii="Arial" w:hAnsi="Arial" w:cs="Arial"/>
          <w:sz w:val="20"/>
          <w:szCs w:val="20"/>
        </w:rPr>
        <w:t xml:space="preserve"> dealing with the points of law under appeal</w:t>
      </w:r>
      <w:r w:rsidR="00276028">
        <w:rPr>
          <w:rFonts w:ascii="Arial" w:hAnsi="Arial" w:cs="Arial"/>
          <w:sz w:val="20"/>
          <w:szCs w:val="20"/>
        </w:rPr>
        <w:t>. Two mooting competitions (one internal and one external) are specifically dedicated to Canadian Law.</w:t>
      </w:r>
    </w:p>
    <w:p w14:paraId="15F1ADD1" w14:textId="5BAACCF5" w:rsidR="00441E76" w:rsidRPr="00373ACB" w:rsidRDefault="00002762" w:rsidP="00B87A41">
      <w:pPr>
        <w:spacing w:line="240" w:lineRule="auto"/>
        <w:rPr>
          <w:rFonts w:ascii="Arial" w:hAnsi="Arial" w:cs="Arial"/>
          <w:b/>
          <w:sz w:val="20"/>
          <w:szCs w:val="20"/>
        </w:rPr>
      </w:pPr>
      <w:r>
        <w:rPr>
          <w:rFonts w:ascii="Arial" w:hAnsi="Arial" w:cs="Arial"/>
          <w:sz w:val="20"/>
          <w:szCs w:val="20"/>
        </w:rPr>
        <w:br w:type="page"/>
      </w:r>
      <w:r w:rsidR="00422B69" w:rsidRPr="00373ACB">
        <w:rPr>
          <w:rFonts w:ascii="Arial" w:hAnsi="Arial" w:cs="Arial"/>
          <w:b/>
          <w:sz w:val="20"/>
          <w:szCs w:val="20"/>
        </w:rPr>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73A5FB65"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41AA550A"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108" w:type="dxa"/>
        <w:tblLook w:val="04A0" w:firstRow="1" w:lastRow="0" w:firstColumn="1" w:lastColumn="0" w:noHBand="0" w:noVBand="1"/>
      </w:tblPr>
      <w:tblGrid>
        <w:gridCol w:w="1560"/>
        <w:gridCol w:w="1417"/>
        <w:gridCol w:w="2342"/>
        <w:gridCol w:w="2658"/>
        <w:gridCol w:w="2513"/>
      </w:tblGrid>
      <w:tr w:rsidR="00302082" w:rsidRPr="00373ACB" w14:paraId="79C5E100" w14:textId="77777777" w:rsidTr="00002762">
        <w:trPr>
          <w:trHeight w:val="317"/>
        </w:trPr>
        <w:tc>
          <w:tcPr>
            <w:tcW w:w="1560" w:type="dxa"/>
          </w:tcPr>
          <w:p w14:paraId="3E8D4A82"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4D7029F4"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63064F7A"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0423F35C"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513" w:type="dxa"/>
          </w:tcPr>
          <w:p w14:paraId="723BC372"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141AD6E3" w14:textId="77777777" w:rsidTr="00002762">
        <w:trPr>
          <w:trHeight w:val="305"/>
        </w:trPr>
        <w:tc>
          <w:tcPr>
            <w:tcW w:w="1560" w:type="dxa"/>
          </w:tcPr>
          <w:p w14:paraId="3755AF1E" w14:textId="77777777" w:rsidR="00422B69" w:rsidRPr="00373ACB" w:rsidRDefault="00422B69" w:rsidP="0066061A">
            <w:pPr>
              <w:spacing w:after="120"/>
              <w:ind w:right="-330"/>
              <w:rPr>
                <w:rFonts w:ascii="Arial" w:hAnsi="Arial" w:cs="Arial"/>
                <w:sz w:val="20"/>
                <w:szCs w:val="20"/>
              </w:rPr>
            </w:pPr>
          </w:p>
        </w:tc>
        <w:tc>
          <w:tcPr>
            <w:tcW w:w="1417" w:type="dxa"/>
          </w:tcPr>
          <w:p w14:paraId="6D2BDDF3" w14:textId="77777777" w:rsidR="00422B69" w:rsidRPr="00373ACB" w:rsidRDefault="00422B69" w:rsidP="0066061A">
            <w:pPr>
              <w:spacing w:after="120"/>
              <w:ind w:right="-330"/>
              <w:rPr>
                <w:rFonts w:ascii="Arial" w:hAnsi="Arial" w:cs="Arial"/>
                <w:sz w:val="20"/>
                <w:szCs w:val="20"/>
              </w:rPr>
            </w:pPr>
          </w:p>
        </w:tc>
        <w:tc>
          <w:tcPr>
            <w:tcW w:w="2342" w:type="dxa"/>
          </w:tcPr>
          <w:p w14:paraId="46EE9B21" w14:textId="77777777" w:rsidR="00422B69" w:rsidRPr="00373ACB" w:rsidRDefault="00422B69" w:rsidP="0066061A">
            <w:pPr>
              <w:spacing w:after="120"/>
              <w:ind w:right="-330"/>
              <w:rPr>
                <w:rFonts w:ascii="Arial" w:hAnsi="Arial" w:cs="Arial"/>
                <w:sz w:val="20"/>
                <w:szCs w:val="20"/>
              </w:rPr>
            </w:pPr>
          </w:p>
        </w:tc>
        <w:tc>
          <w:tcPr>
            <w:tcW w:w="2658" w:type="dxa"/>
          </w:tcPr>
          <w:p w14:paraId="4AC21189" w14:textId="77777777" w:rsidR="00422B69" w:rsidRPr="00373ACB" w:rsidRDefault="00422B69" w:rsidP="0066061A">
            <w:pPr>
              <w:spacing w:after="120"/>
              <w:ind w:right="-330"/>
              <w:rPr>
                <w:rFonts w:ascii="Arial" w:hAnsi="Arial" w:cs="Arial"/>
                <w:sz w:val="20"/>
                <w:szCs w:val="20"/>
              </w:rPr>
            </w:pPr>
          </w:p>
        </w:tc>
        <w:tc>
          <w:tcPr>
            <w:tcW w:w="2513" w:type="dxa"/>
          </w:tcPr>
          <w:p w14:paraId="122798BA" w14:textId="77777777" w:rsidR="00422B69" w:rsidRPr="00373ACB" w:rsidRDefault="00422B69" w:rsidP="0066061A">
            <w:pPr>
              <w:spacing w:after="120"/>
              <w:ind w:right="-330"/>
              <w:rPr>
                <w:rFonts w:ascii="Arial" w:hAnsi="Arial" w:cs="Arial"/>
                <w:sz w:val="20"/>
                <w:szCs w:val="20"/>
              </w:rPr>
            </w:pPr>
          </w:p>
        </w:tc>
      </w:tr>
      <w:tr w:rsidR="00302082" w:rsidRPr="00373ACB" w14:paraId="6B7534D2" w14:textId="77777777" w:rsidTr="00002762">
        <w:trPr>
          <w:trHeight w:val="305"/>
        </w:trPr>
        <w:tc>
          <w:tcPr>
            <w:tcW w:w="1560" w:type="dxa"/>
          </w:tcPr>
          <w:p w14:paraId="64B28899" w14:textId="77777777" w:rsidR="00422B69" w:rsidRPr="00373ACB" w:rsidRDefault="00422B69" w:rsidP="0066061A">
            <w:pPr>
              <w:spacing w:after="120"/>
              <w:ind w:right="-330"/>
              <w:rPr>
                <w:rFonts w:ascii="Arial" w:hAnsi="Arial" w:cs="Arial"/>
                <w:sz w:val="20"/>
                <w:szCs w:val="20"/>
              </w:rPr>
            </w:pPr>
          </w:p>
        </w:tc>
        <w:tc>
          <w:tcPr>
            <w:tcW w:w="1417" w:type="dxa"/>
          </w:tcPr>
          <w:p w14:paraId="302F3006" w14:textId="77777777" w:rsidR="00422B69" w:rsidRPr="00373ACB" w:rsidRDefault="00422B69" w:rsidP="0066061A">
            <w:pPr>
              <w:spacing w:after="120"/>
              <w:ind w:right="-330"/>
              <w:rPr>
                <w:rFonts w:ascii="Arial" w:hAnsi="Arial" w:cs="Arial"/>
                <w:sz w:val="20"/>
                <w:szCs w:val="20"/>
              </w:rPr>
            </w:pPr>
          </w:p>
        </w:tc>
        <w:tc>
          <w:tcPr>
            <w:tcW w:w="2342" w:type="dxa"/>
          </w:tcPr>
          <w:p w14:paraId="1D5212E0" w14:textId="77777777" w:rsidR="00422B69" w:rsidRPr="00373ACB" w:rsidRDefault="00422B69" w:rsidP="0066061A">
            <w:pPr>
              <w:spacing w:after="120"/>
              <w:ind w:right="-330"/>
              <w:rPr>
                <w:rFonts w:ascii="Arial" w:hAnsi="Arial" w:cs="Arial"/>
                <w:sz w:val="20"/>
                <w:szCs w:val="20"/>
              </w:rPr>
            </w:pPr>
          </w:p>
        </w:tc>
        <w:tc>
          <w:tcPr>
            <w:tcW w:w="2658" w:type="dxa"/>
          </w:tcPr>
          <w:p w14:paraId="70AAD3CB" w14:textId="77777777" w:rsidR="00422B69" w:rsidRPr="00373ACB" w:rsidRDefault="00422B69" w:rsidP="0066061A">
            <w:pPr>
              <w:spacing w:after="120"/>
              <w:ind w:right="-330"/>
              <w:rPr>
                <w:rFonts w:ascii="Arial" w:hAnsi="Arial" w:cs="Arial"/>
                <w:sz w:val="20"/>
                <w:szCs w:val="20"/>
              </w:rPr>
            </w:pPr>
          </w:p>
        </w:tc>
        <w:tc>
          <w:tcPr>
            <w:tcW w:w="2513" w:type="dxa"/>
          </w:tcPr>
          <w:p w14:paraId="648C0A54" w14:textId="77777777" w:rsidR="00422B69" w:rsidRPr="00373ACB" w:rsidRDefault="00422B69" w:rsidP="0066061A">
            <w:pPr>
              <w:spacing w:after="120"/>
              <w:ind w:right="-330"/>
              <w:rPr>
                <w:rFonts w:ascii="Arial" w:hAnsi="Arial" w:cs="Arial"/>
                <w:sz w:val="20"/>
                <w:szCs w:val="20"/>
              </w:rPr>
            </w:pPr>
          </w:p>
        </w:tc>
      </w:tr>
    </w:tbl>
    <w:p w14:paraId="0A78433F"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B8C3AF" w16cid:durableId="1E15C3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57778" w14:textId="77777777" w:rsidR="00B46CD3" w:rsidRDefault="00B46CD3" w:rsidP="009A2D37">
      <w:pPr>
        <w:spacing w:after="0" w:line="240" w:lineRule="auto"/>
      </w:pPr>
      <w:r>
        <w:separator/>
      </w:r>
    </w:p>
  </w:endnote>
  <w:endnote w:type="continuationSeparator" w:id="0">
    <w:p w14:paraId="4776F41B" w14:textId="77777777" w:rsidR="00B46CD3" w:rsidRDefault="00B46CD3" w:rsidP="009A2D37">
      <w:pPr>
        <w:spacing w:after="0" w:line="240" w:lineRule="auto"/>
      </w:pPr>
      <w:r>
        <w:continuationSeparator/>
      </w:r>
    </w:p>
  </w:endnote>
  <w:endnote w:type="continuationNotice" w:id="1">
    <w:p w14:paraId="6C85BA56" w14:textId="77777777" w:rsidR="00B46CD3" w:rsidRDefault="00B46C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698693"/>
      <w:docPartObj>
        <w:docPartGallery w:val="Page Numbers (Bottom of Page)"/>
        <w:docPartUnique/>
      </w:docPartObj>
    </w:sdtPr>
    <w:sdtEndPr/>
    <w:sdtContent>
      <w:p w14:paraId="6733DC01" w14:textId="3BAA2A16" w:rsidR="008B2543" w:rsidRDefault="0019787E" w:rsidP="009A2D37">
        <w:pPr>
          <w:pStyle w:val="Footer"/>
          <w:jc w:val="center"/>
        </w:pPr>
        <w:r>
          <w:fldChar w:fldCharType="begin"/>
        </w:r>
        <w:r>
          <w:instrText xml:space="preserve"> PAGE   \* MERGEFORMAT </w:instrText>
        </w:r>
        <w:r>
          <w:fldChar w:fldCharType="separate"/>
        </w:r>
        <w:r w:rsidR="00274D3C">
          <w:rPr>
            <w:noProof/>
          </w:rPr>
          <w:t>2</w:t>
        </w:r>
        <w:r>
          <w:rPr>
            <w:noProof/>
          </w:rPr>
          <w:fldChar w:fldCharType="end"/>
        </w:r>
      </w:p>
    </w:sdtContent>
  </w:sdt>
  <w:p w14:paraId="4B8C0D18" w14:textId="3E37A5FF" w:rsidR="008B2543" w:rsidRPr="007B7724" w:rsidRDefault="009F59B0" w:rsidP="00971465">
    <w:pPr>
      <w:pStyle w:val="Footer"/>
      <w:spacing w:after="120"/>
      <w:ind w:right="-330"/>
      <w:jc w:val="center"/>
      <w:rPr>
        <w:rFonts w:ascii="Arial" w:hAnsi="Arial"/>
        <w:sz w:val="18"/>
      </w:rPr>
    </w:pPr>
    <w:r>
      <w:rPr>
        <w:rFonts w:ascii="Arial" w:hAnsi="Arial"/>
        <w:sz w:val="18"/>
      </w:rPr>
      <w:t>Mooting</w:t>
    </w:r>
    <w:r w:rsidR="00971465">
      <w:rPr>
        <w:rFonts w:ascii="Arial" w:hAnsi="Arial"/>
        <w:sz w:val="18"/>
      </w:rPr>
      <w:t xml:space="preserve"> (LW</w:t>
    </w:r>
    <w:r>
      <w:rPr>
        <w:rFonts w:ascii="Arial" w:hAnsi="Arial"/>
        <w:sz w:val="18"/>
      </w:rPr>
      <w:t>638</w:t>
    </w:r>
    <w:r w:rsidR="00971465">
      <w:rPr>
        <w:rFonts w:ascii="Arial" w:hAnsi="Arial"/>
        <w:sz w:val="18"/>
      </w:rPr>
      <w:t xml:space="preserve">) - </w:t>
    </w:r>
    <w:r w:rsidR="008B2543">
      <w:rPr>
        <w:rFonts w:ascii="Arial" w:hAnsi="Arial"/>
        <w:sz w:val="18"/>
      </w:rPr>
      <w:t>(</w:t>
    </w:r>
    <w:r w:rsidR="00971465">
      <w:rPr>
        <w:rFonts w:ascii="Arial" w:hAnsi="Arial"/>
        <w:sz w:val="18"/>
      </w:rPr>
      <w:t>Sept. 201</w:t>
    </w:r>
    <w:r>
      <w:rPr>
        <w:rFonts w:ascii="Arial" w:hAnsi="Arial"/>
        <w:sz w:val="18"/>
      </w:rPr>
      <w:t>8</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C82F4" w14:textId="77777777" w:rsidR="00B46CD3" w:rsidRDefault="00B46CD3" w:rsidP="009A2D37">
      <w:pPr>
        <w:spacing w:after="0" w:line="240" w:lineRule="auto"/>
      </w:pPr>
      <w:r>
        <w:separator/>
      </w:r>
    </w:p>
  </w:footnote>
  <w:footnote w:type="continuationSeparator" w:id="0">
    <w:p w14:paraId="14E0CA03" w14:textId="77777777" w:rsidR="00B46CD3" w:rsidRDefault="00B46CD3" w:rsidP="009A2D37">
      <w:pPr>
        <w:spacing w:after="0" w:line="240" w:lineRule="auto"/>
      </w:pPr>
      <w:r>
        <w:continuationSeparator/>
      </w:r>
    </w:p>
  </w:footnote>
  <w:footnote w:type="continuationNotice" w:id="1">
    <w:p w14:paraId="74729A39" w14:textId="77777777" w:rsidR="00B46CD3" w:rsidRDefault="00B46C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5C4E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400DD34" wp14:editId="603302DC">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17ED8FB" w14:textId="77777777" w:rsidR="008B2543" w:rsidRPr="008C00F8" w:rsidRDefault="008B2543" w:rsidP="005E6D38">
    <w:pPr>
      <w:pStyle w:val="Heading1"/>
      <w:spacing w:before="60" w:after="60"/>
      <w:rPr>
        <w:rFonts w:ascii="Arial" w:hAnsi="Arial" w:cs="Arial"/>
      </w:rPr>
    </w:pPr>
  </w:p>
  <w:p w14:paraId="5A570EF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EFBB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0018C36" wp14:editId="766CC8BC">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72B01A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0"/>
  </w:num>
  <w:num w:numId="6">
    <w:abstractNumId w:val="8"/>
  </w:num>
  <w:num w:numId="7">
    <w:abstractNumId w:val="12"/>
  </w:num>
  <w:num w:numId="8">
    <w:abstractNumId w:val="9"/>
  </w:num>
  <w:num w:numId="9">
    <w:abstractNumId w:val="11"/>
  </w:num>
  <w:num w:numId="10">
    <w:abstractNumId w:val="7"/>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trackedChange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CE"/>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D78E1"/>
    <w:rsid w:val="001E1F45"/>
    <w:rsid w:val="001E62C1"/>
    <w:rsid w:val="001F0779"/>
    <w:rsid w:val="001F3C3E"/>
    <w:rsid w:val="0020243A"/>
    <w:rsid w:val="0021578E"/>
    <w:rsid w:val="00220C37"/>
    <w:rsid w:val="00227582"/>
    <w:rsid w:val="002308BE"/>
    <w:rsid w:val="002407C0"/>
    <w:rsid w:val="002461AF"/>
    <w:rsid w:val="002465A1"/>
    <w:rsid w:val="00264576"/>
    <w:rsid w:val="002653FE"/>
    <w:rsid w:val="0026585A"/>
    <w:rsid w:val="00266735"/>
    <w:rsid w:val="00273CF0"/>
    <w:rsid w:val="002748D4"/>
    <w:rsid w:val="00274D3C"/>
    <w:rsid w:val="00274ED7"/>
    <w:rsid w:val="00276028"/>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2FA2"/>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038D"/>
    <w:rsid w:val="004114F8"/>
    <w:rsid w:val="00422B69"/>
    <w:rsid w:val="00423D86"/>
    <w:rsid w:val="00424C90"/>
    <w:rsid w:val="004346CE"/>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5595A"/>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4373"/>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1757B"/>
    <w:rsid w:val="00720270"/>
    <w:rsid w:val="00724362"/>
    <w:rsid w:val="00727780"/>
    <w:rsid w:val="0073792C"/>
    <w:rsid w:val="00754069"/>
    <w:rsid w:val="00763508"/>
    <w:rsid w:val="007667DF"/>
    <w:rsid w:val="0077080B"/>
    <w:rsid w:val="00787070"/>
    <w:rsid w:val="007906FD"/>
    <w:rsid w:val="00796421"/>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8E3686"/>
    <w:rsid w:val="00903DF6"/>
    <w:rsid w:val="00921CF6"/>
    <w:rsid w:val="009246F0"/>
    <w:rsid w:val="00924EF0"/>
    <w:rsid w:val="00934D7B"/>
    <w:rsid w:val="00947180"/>
    <w:rsid w:val="00947BE7"/>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59B0"/>
    <w:rsid w:val="009F731F"/>
    <w:rsid w:val="00A021FE"/>
    <w:rsid w:val="00A1270E"/>
    <w:rsid w:val="00A15342"/>
    <w:rsid w:val="00A3007E"/>
    <w:rsid w:val="00A32048"/>
    <w:rsid w:val="00A35EE9"/>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46CD3"/>
    <w:rsid w:val="00B52FF5"/>
    <w:rsid w:val="00B57219"/>
    <w:rsid w:val="00B658A3"/>
    <w:rsid w:val="00B746A8"/>
    <w:rsid w:val="00B7664D"/>
    <w:rsid w:val="00B80989"/>
    <w:rsid w:val="00B847EA"/>
    <w:rsid w:val="00B87A41"/>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55618"/>
    <w:rsid w:val="00C612A8"/>
    <w:rsid w:val="00C67631"/>
    <w:rsid w:val="00C729D7"/>
    <w:rsid w:val="00C83354"/>
    <w:rsid w:val="00C84004"/>
    <w:rsid w:val="00C843F6"/>
    <w:rsid w:val="00C84507"/>
    <w:rsid w:val="00C862C7"/>
    <w:rsid w:val="00C94345"/>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5EB1"/>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B60EA"/>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E82FB4"/>
  <w15:docId w15:val="{751DEC65-B9C4-42DC-9B72-CF8CF15B9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Learning_and_teaching\Module%20&amp;%20Programme%20approvals%20&amp;%20changes\Active\8.%20Changes%20for%2018-19\1.%20Module%20Specification%20Template%20%5bBlank%5d%20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BD77D5-2B6B-4216-A14D-CEB7546984BF}">
  <ds:schemaRefs>
    <ds:schemaRef ds:uri="http://schemas.openxmlformats.org/officeDocument/2006/bibliography"/>
  </ds:schemaRefs>
</ds:datastoreItem>
</file>

<file path=customXml/itemProps2.xml><?xml version="1.0" encoding="utf-8"?>
<ds:datastoreItem xmlns:ds="http://schemas.openxmlformats.org/officeDocument/2006/customXml" ds:itemID="{E922C764-DCE2-43E5-B64F-69E48061E1F6}"/>
</file>

<file path=customXml/itemProps3.xml><?xml version="1.0" encoding="utf-8"?>
<ds:datastoreItem xmlns:ds="http://schemas.openxmlformats.org/officeDocument/2006/customXml" ds:itemID="{FD01C822-C68A-4BF8-98B5-A5B1BFF283E8}"/>
</file>

<file path=customXml/itemProps4.xml><?xml version="1.0" encoding="utf-8"?>
<ds:datastoreItem xmlns:ds="http://schemas.openxmlformats.org/officeDocument/2006/customXml" ds:itemID="{A4FF8152-B333-4211-9FF1-16434C203AD3}"/>
</file>

<file path=docProps/app.xml><?xml version="1.0" encoding="utf-8"?>
<Properties xmlns="http://schemas.openxmlformats.org/officeDocument/2006/extended-properties" xmlns:vt="http://schemas.openxmlformats.org/officeDocument/2006/docPropsVTypes">
  <Template>1. Module Specification Template [Blank] 2017-18</Template>
  <TotalTime>0</TotalTime>
  <Pages>4</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Rosalind Rowe</cp:lastModifiedBy>
  <cp:revision>2</cp:revision>
  <cp:lastPrinted>2015-09-24T14:18:00Z</cp:lastPrinted>
  <dcterms:created xsi:type="dcterms:W3CDTF">2019-03-01T10:13:00Z</dcterms:created>
  <dcterms:modified xsi:type="dcterms:W3CDTF">2019-03-01T10:13:00Z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