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BA6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B47C353" w14:textId="08606643" w:rsidR="009A2D37" w:rsidRPr="00D83537" w:rsidRDefault="00037803" w:rsidP="00D83537">
      <w:pPr>
        <w:spacing w:after="120" w:line="240" w:lineRule="auto"/>
        <w:ind w:left="426" w:right="260"/>
        <w:rPr>
          <w:rFonts w:ascii="Arial" w:hAnsi="Arial" w:cs="Arial"/>
          <w:sz w:val="20"/>
          <w:szCs w:val="20"/>
        </w:rPr>
      </w:pPr>
      <w:r>
        <w:rPr>
          <w:rFonts w:ascii="Arial" w:hAnsi="Arial" w:cs="Arial"/>
          <w:sz w:val="20"/>
          <w:szCs w:val="20"/>
        </w:rPr>
        <w:t>LAWS6260</w:t>
      </w:r>
      <w:r w:rsidRPr="00D83537">
        <w:rPr>
          <w:rFonts w:ascii="Arial" w:hAnsi="Arial" w:cs="Arial"/>
          <w:sz w:val="20"/>
          <w:szCs w:val="20"/>
        </w:rPr>
        <w:t xml:space="preserve"> (LW626)</w:t>
      </w:r>
      <w:r>
        <w:rPr>
          <w:rFonts w:ascii="Arial" w:hAnsi="Arial" w:cs="Arial"/>
          <w:sz w:val="20"/>
          <w:szCs w:val="20"/>
        </w:rPr>
        <w:t xml:space="preserve">: </w:t>
      </w:r>
      <w:r w:rsidR="00D83537" w:rsidRPr="00D83537">
        <w:rPr>
          <w:rFonts w:ascii="Arial" w:hAnsi="Arial" w:cs="Arial"/>
          <w:sz w:val="20"/>
          <w:szCs w:val="20"/>
        </w:rPr>
        <w:t>A</w:t>
      </w:r>
      <w:r w:rsidR="00995BD2">
        <w:rPr>
          <w:rFonts w:ascii="Arial" w:hAnsi="Arial" w:cs="Arial"/>
          <w:sz w:val="20"/>
          <w:szCs w:val="20"/>
        </w:rPr>
        <w:t>ppropriate</w:t>
      </w:r>
      <w:r w:rsidR="00D83537" w:rsidRPr="00D83537">
        <w:rPr>
          <w:rFonts w:ascii="Arial" w:hAnsi="Arial" w:cs="Arial"/>
          <w:sz w:val="20"/>
          <w:szCs w:val="20"/>
        </w:rPr>
        <w:t xml:space="preserve"> Dispute Resolution: Theory and Practice</w:t>
      </w:r>
    </w:p>
    <w:p w14:paraId="3B1D27CF" w14:textId="77777777" w:rsidR="00C07A56" w:rsidRPr="00373ACB" w:rsidRDefault="00C07A56" w:rsidP="0066061A">
      <w:pPr>
        <w:spacing w:after="120" w:line="240" w:lineRule="auto"/>
        <w:ind w:left="426" w:right="260"/>
        <w:jc w:val="both"/>
        <w:rPr>
          <w:rFonts w:ascii="Arial" w:hAnsi="Arial" w:cs="Arial"/>
          <w:sz w:val="20"/>
          <w:szCs w:val="20"/>
        </w:rPr>
      </w:pPr>
    </w:p>
    <w:p w14:paraId="688D16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79E5E19"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618CA6CB" w14:textId="77777777" w:rsidR="00C07A56" w:rsidRPr="00373ACB" w:rsidRDefault="00C07A56" w:rsidP="0066061A">
      <w:pPr>
        <w:spacing w:after="120" w:line="240" w:lineRule="auto"/>
        <w:ind w:left="426" w:right="260"/>
        <w:rPr>
          <w:rFonts w:ascii="Arial" w:hAnsi="Arial" w:cs="Arial"/>
          <w:iCs/>
          <w:sz w:val="20"/>
          <w:szCs w:val="20"/>
        </w:rPr>
      </w:pPr>
    </w:p>
    <w:p w14:paraId="6BE79F0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FCD7F61" w14:textId="77777777" w:rsidR="009A2D37" w:rsidRPr="00373ACB" w:rsidRDefault="00D835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99C74FE" w14:textId="77777777" w:rsidR="00C07A56" w:rsidRPr="00373ACB" w:rsidRDefault="00C07A56" w:rsidP="0066061A">
      <w:pPr>
        <w:spacing w:after="120" w:line="240" w:lineRule="auto"/>
        <w:ind w:left="426" w:right="260"/>
        <w:rPr>
          <w:rFonts w:ascii="Arial" w:hAnsi="Arial" w:cs="Arial"/>
          <w:iCs/>
          <w:sz w:val="20"/>
          <w:szCs w:val="20"/>
        </w:rPr>
      </w:pPr>
    </w:p>
    <w:p w14:paraId="02411C6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6EC47A9"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D83537">
        <w:rPr>
          <w:rFonts w:ascii="Arial" w:hAnsi="Arial" w:cs="Arial"/>
          <w:sz w:val="20"/>
          <w:szCs w:val="20"/>
        </w:rPr>
        <w:t xml:space="preserve"> credits (</w:t>
      </w:r>
      <w:r>
        <w:rPr>
          <w:rFonts w:ascii="Arial" w:hAnsi="Arial" w:cs="Arial"/>
          <w:sz w:val="20"/>
          <w:szCs w:val="20"/>
        </w:rPr>
        <w:t>7.5</w:t>
      </w:r>
      <w:r w:rsidR="00D83537">
        <w:rPr>
          <w:rFonts w:ascii="Arial" w:hAnsi="Arial" w:cs="Arial"/>
          <w:sz w:val="20"/>
          <w:szCs w:val="20"/>
        </w:rPr>
        <w:t xml:space="preserve"> </w:t>
      </w:r>
      <w:r>
        <w:rPr>
          <w:rFonts w:ascii="Arial" w:hAnsi="Arial" w:cs="Arial"/>
          <w:sz w:val="20"/>
          <w:szCs w:val="20"/>
        </w:rPr>
        <w:t>ECTS Credits)</w:t>
      </w:r>
    </w:p>
    <w:p w14:paraId="0185CB82" w14:textId="77777777" w:rsidR="00C07A56" w:rsidRPr="00373ACB" w:rsidRDefault="00C07A56" w:rsidP="005E3FA7">
      <w:pPr>
        <w:spacing w:after="120" w:line="240" w:lineRule="auto"/>
        <w:ind w:left="426" w:right="260"/>
        <w:rPr>
          <w:rFonts w:ascii="Arial" w:hAnsi="Arial" w:cs="Arial"/>
          <w:sz w:val="20"/>
          <w:szCs w:val="20"/>
        </w:rPr>
      </w:pPr>
    </w:p>
    <w:p w14:paraId="04DCEB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A4A478F" w14:textId="069CA00C" w:rsidR="00BC1D37" w:rsidRPr="00380EAE" w:rsidRDefault="008F5F62" w:rsidP="0066061A">
      <w:pPr>
        <w:spacing w:line="240" w:lineRule="auto"/>
        <w:ind w:left="426"/>
        <w:rPr>
          <w:rFonts w:ascii="Arial" w:hAnsi="Arial" w:cs="Arial"/>
          <w:sz w:val="20"/>
          <w:szCs w:val="20"/>
        </w:rPr>
      </w:pPr>
      <w:r>
        <w:rPr>
          <w:rFonts w:ascii="Arial" w:hAnsi="Arial" w:cs="Arial"/>
          <w:sz w:val="20"/>
          <w:szCs w:val="20"/>
        </w:rPr>
        <w:t xml:space="preserve">Autumn </w:t>
      </w:r>
      <w:r w:rsidR="00995BD2">
        <w:rPr>
          <w:rFonts w:ascii="Arial" w:hAnsi="Arial" w:cs="Arial"/>
          <w:sz w:val="20"/>
          <w:szCs w:val="20"/>
        </w:rPr>
        <w:t>or Spring</w:t>
      </w:r>
    </w:p>
    <w:p w14:paraId="7EA7F3A6" w14:textId="77777777" w:rsidR="00C07A56" w:rsidRPr="00373ACB" w:rsidRDefault="00C07A56" w:rsidP="005E3FA7">
      <w:pPr>
        <w:spacing w:line="240" w:lineRule="auto"/>
        <w:ind w:left="426"/>
        <w:rPr>
          <w:rFonts w:ascii="Arial" w:hAnsi="Arial" w:cs="Arial"/>
          <w:b/>
          <w:sz w:val="20"/>
          <w:szCs w:val="20"/>
        </w:rPr>
      </w:pPr>
    </w:p>
    <w:p w14:paraId="0C3B18C9"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232A16C" w14:textId="77777777" w:rsidR="005E3FA7" w:rsidRDefault="00D83537"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7B67943B" w14:textId="77777777" w:rsidR="005E3FA7" w:rsidRPr="005E3FA7" w:rsidRDefault="005E3FA7" w:rsidP="005E3FA7">
      <w:pPr>
        <w:spacing w:after="120" w:line="240" w:lineRule="auto"/>
        <w:ind w:left="426" w:right="260"/>
        <w:rPr>
          <w:rFonts w:ascii="Arial" w:hAnsi="Arial" w:cs="Arial"/>
          <w:b/>
          <w:sz w:val="20"/>
          <w:szCs w:val="20"/>
        </w:rPr>
      </w:pPr>
    </w:p>
    <w:p w14:paraId="4FAEA02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9420633" w14:textId="77777777" w:rsidR="009A2D37" w:rsidRPr="00373ACB" w:rsidRDefault="00D83537" w:rsidP="0066061A">
      <w:pPr>
        <w:spacing w:after="120" w:line="240" w:lineRule="auto"/>
        <w:ind w:left="426" w:right="260"/>
        <w:rPr>
          <w:rFonts w:ascii="Arial" w:hAnsi="Arial" w:cs="Arial"/>
          <w:iCs/>
          <w:sz w:val="20"/>
          <w:szCs w:val="20"/>
        </w:rPr>
      </w:pPr>
      <w:r>
        <w:rPr>
          <w:rFonts w:ascii="Arial" w:hAnsi="Arial" w:cs="Arial"/>
          <w:iCs/>
          <w:sz w:val="20"/>
          <w:szCs w:val="20"/>
        </w:rPr>
        <w:t>All undergraduate law programmes</w:t>
      </w:r>
    </w:p>
    <w:p w14:paraId="74F4C829" w14:textId="77777777" w:rsidR="00C07A56" w:rsidRPr="00373ACB" w:rsidRDefault="00C07A56" w:rsidP="0066061A">
      <w:pPr>
        <w:spacing w:after="120" w:line="240" w:lineRule="auto"/>
        <w:ind w:left="426" w:right="260"/>
        <w:rPr>
          <w:rFonts w:ascii="Arial" w:hAnsi="Arial" w:cs="Arial"/>
          <w:iCs/>
          <w:sz w:val="20"/>
          <w:szCs w:val="20"/>
        </w:rPr>
      </w:pPr>
    </w:p>
    <w:p w14:paraId="6DAFD3FD"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D647DEF" w14:textId="77777777" w:rsidR="00380EAE" w:rsidRPr="00373ACB" w:rsidRDefault="00380EAE" w:rsidP="0066061A">
      <w:pPr>
        <w:spacing w:after="120" w:line="240" w:lineRule="auto"/>
        <w:ind w:left="426" w:right="260"/>
        <w:rPr>
          <w:rFonts w:ascii="Arial" w:hAnsi="Arial" w:cs="Arial"/>
          <w:b/>
          <w:sz w:val="20"/>
          <w:szCs w:val="20"/>
        </w:rPr>
      </w:pPr>
    </w:p>
    <w:p w14:paraId="633FF863" w14:textId="02B53076" w:rsidR="00D83537" w:rsidRPr="00D83537" w:rsidRDefault="00D83537"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Pr="00D83537">
        <w:rPr>
          <w:rFonts w:ascii="Arial" w:hAnsi="Arial" w:cs="Arial"/>
          <w:sz w:val="20"/>
          <w:szCs w:val="20"/>
        </w:rPr>
        <w:t xml:space="preserve">emonstrate a detailed understanding of the legal and regulatory issues surrounding dispute resolution processes, including arbitration, mediation and conciliation. </w:t>
      </w:r>
    </w:p>
    <w:p w14:paraId="435FEF26" w14:textId="2425EA70" w:rsidR="00D83537" w:rsidRPr="00D83537" w:rsidRDefault="00D83537"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Apply</w:t>
      </w:r>
      <w:r w:rsidRPr="00D83537">
        <w:rPr>
          <w:rFonts w:ascii="Arial" w:hAnsi="Arial" w:cs="Arial"/>
          <w:sz w:val="20"/>
          <w:szCs w:val="20"/>
        </w:rPr>
        <w:t xml:space="preserve"> their knowledge</w:t>
      </w:r>
      <w:r>
        <w:rPr>
          <w:rFonts w:ascii="Arial" w:hAnsi="Arial" w:cs="Arial"/>
          <w:sz w:val="20"/>
          <w:szCs w:val="20"/>
        </w:rPr>
        <w:t xml:space="preserve"> to the</w:t>
      </w:r>
      <w:r w:rsidRPr="00D83537">
        <w:rPr>
          <w:rFonts w:ascii="Arial" w:hAnsi="Arial" w:cs="Arial"/>
          <w:sz w:val="20"/>
          <w:szCs w:val="20"/>
        </w:rPr>
        <w:t xml:space="preserve"> analysis</w:t>
      </w:r>
      <w:r>
        <w:rPr>
          <w:rFonts w:ascii="Arial" w:hAnsi="Arial" w:cs="Arial"/>
          <w:sz w:val="20"/>
          <w:szCs w:val="20"/>
        </w:rPr>
        <w:t xml:space="preserve"> and evaluation</w:t>
      </w:r>
      <w:r w:rsidRPr="00D83537">
        <w:rPr>
          <w:rFonts w:ascii="Arial" w:hAnsi="Arial" w:cs="Arial"/>
          <w:sz w:val="20"/>
          <w:szCs w:val="20"/>
        </w:rPr>
        <w:t xml:space="preserve"> of</w:t>
      </w:r>
      <w:r>
        <w:rPr>
          <w:rFonts w:ascii="Arial" w:hAnsi="Arial" w:cs="Arial"/>
          <w:sz w:val="20"/>
          <w:szCs w:val="20"/>
        </w:rPr>
        <w:t xml:space="preserve"> a</w:t>
      </w:r>
      <w:r w:rsidRPr="00D83537">
        <w:rPr>
          <w:rFonts w:ascii="Arial" w:hAnsi="Arial" w:cs="Arial"/>
          <w:sz w:val="20"/>
          <w:szCs w:val="20"/>
        </w:rPr>
        <w:t xml:space="preserve"> </w:t>
      </w:r>
      <w:r>
        <w:rPr>
          <w:rFonts w:ascii="Arial" w:hAnsi="Arial" w:cs="Arial"/>
          <w:sz w:val="20"/>
          <w:szCs w:val="20"/>
        </w:rPr>
        <w:t xml:space="preserve">complex </w:t>
      </w:r>
      <w:r w:rsidRPr="00D83537">
        <w:rPr>
          <w:rFonts w:ascii="Arial" w:hAnsi="Arial" w:cs="Arial"/>
          <w:sz w:val="20"/>
          <w:szCs w:val="20"/>
        </w:rPr>
        <w:t>dispute scenario</w:t>
      </w:r>
      <w:r>
        <w:rPr>
          <w:rFonts w:ascii="Arial" w:hAnsi="Arial" w:cs="Arial"/>
          <w:sz w:val="20"/>
          <w:szCs w:val="20"/>
        </w:rPr>
        <w:t>,</w:t>
      </w:r>
      <w:r w:rsidRPr="00D83537">
        <w:rPr>
          <w:rFonts w:ascii="Arial" w:hAnsi="Arial" w:cs="Arial"/>
          <w:sz w:val="20"/>
          <w:szCs w:val="20"/>
        </w:rPr>
        <w:t xml:space="preserve"> identify relevant strategies, principles, </w:t>
      </w:r>
      <w:r>
        <w:rPr>
          <w:rFonts w:ascii="Arial" w:hAnsi="Arial" w:cs="Arial"/>
          <w:sz w:val="20"/>
          <w:szCs w:val="20"/>
        </w:rPr>
        <w:t xml:space="preserve">and case law, and </w:t>
      </w:r>
      <w:r w:rsidRPr="00D83537">
        <w:rPr>
          <w:rFonts w:ascii="Arial" w:hAnsi="Arial" w:cs="Arial"/>
          <w:sz w:val="20"/>
          <w:szCs w:val="20"/>
        </w:rPr>
        <w:t xml:space="preserve">participate in critical debate on the issues raised. </w:t>
      </w:r>
    </w:p>
    <w:p w14:paraId="5266641D" w14:textId="4E163C22" w:rsidR="00D83537" w:rsidRPr="00D83537" w:rsidRDefault="001976E0"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 detailed</w:t>
      </w:r>
      <w:r w:rsidR="00D83537" w:rsidRPr="00D83537">
        <w:rPr>
          <w:rFonts w:ascii="Arial" w:hAnsi="Arial" w:cs="Arial"/>
          <w:sz w:val="20"/>
          <w:szCs w:val="20"/>
        </w:rPr>
        <w:t xml:space="preserve"> understanding of the concepts and principles that govern the choice of the most common dispute resolution processes</w:t>
      </w:r>
      <w:r>
        <w:rPr>
          <w:rFonts w:ascii="Arial" w:hAnsi="Arial" w:cs="Arial"/>
          <w:sz w:val="20"/>
          <w:szCs w:val="20"/>
        </w:rPr>
        <w:t>,</w:t>
      </w:r>
      <w:r w:rsidR="00D83537" w:rsidRPr="00D83537">
        <w:rPr>
          <w:rFonts w:ascii="Arial" w:hAnsi="Arial" w:cs="Arial"/>
          <w:sz w:val="20"/>
          <w:szCs w:val="20"/>
        </w:rPr>
        <w:t xml:space="preserve"> and of less usual options, including early neutral evaluation and online dispute resolution. </w:t>
      </w:r>
    </w:p>
    <w:p w14:paraId="3D1B882C" w14:textId="460DB50D" w:rsidR="00D83537" w:rsidRPr="00D83537" w:rsidRDefault="001976E0"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Critically evaluate</w:t>
      </w:r>
      <w:r w:rsidR="00D83537" w:rsidRPr="00D83537">
        <w:rPr>
          <w:rFonts w:ascii="Arial" w:hAnsi="Arial" w:cs="Arial"/>
          <w:sz w:val="20"/>
          <w:szCs w:val="20"/>
        </w:rPr>
        <w:t xml:space="preserve"> the role of the lawyer in the area of civil disputing. </w:t>
      </w:r>
    </w:p>
    <w:p w14:paraId="1ADFDBA1" w14:textId="6146B80E" w:rsidR="00D83537" w:rsidRPr="00D83537" w:rsidRDefault="001976E0"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w:t>
      </w:r>
      <w:r w:rsidR="00D83537" w:rsidRPr="00D83537">
        <w:rPr>
          <w:rFonts w:ascii="Arial" w:hAnsi="Arial" w:cs="Arial"/>
          <w:sz w:val="20"/>
          <w:szCs w:val="20"/>
        </w:rPr>
        <w:t>ritical</w:t>
      </w:r>
      <w:r>
        <w:rPr>
          <w:rFonts w:ascii="Arial" w:hAnsi="Arial" w:cs="Arial"/>
          <w:sz w:val="20"/>
          <w:szCs w:val="20"/>
        </w:rPr>
        <w:t>ly</w:t>
      </w:r>
      <w:r w:rsidR="00D83537" w:rsidRPr="00D83537">
        <w:rPr>
          <w:rFonts w:ascii="Arial" w:hAnsi="Arial" w:cs="Arial"/>
          <w:sz w:val="20"/>
          <w:szCs w:val="20"/>
        </w:rPr>
        <w:t xml:space="preserve"> analys</w:t>
      </w:r>
      <w:r>
        <w:rPr>
          <w:rFonts w:ascii="Arial" w:hAnsi="Arial" w:cs="Arial"/>
          <w:sz w:val="20"/>
          <w:szCs w:val="20"/>
        </w:rPr>
        <w:t>e</w:t>
      </w:r>
      <w:r w:rsidR="00D83537" w:rsidRPr="00D83537">
        <w:rPr>
          <w:rFonts w:ascii="Arial" w:hAnsi="Arial" w:cs="Arial"/>
          <w:sz w:val="20"/>
          <w:szCs w:val="20"/>
        </w:rPr>
        <w:t xml:space="preserve"> and evaluat</w:t>
      </w:r>
      <w:r>
        <w:rPr>
          <w:rFonts w:ascii="Arial" w:hAnsi="Arial" w:cs="Arial"/>
          <w:sz w:val="20"/>
          <w:szCs w:val="20"/>
        </w:rPr>
        <w:t>e</w:t>
      </w:r>
      <w:r w:rsidR="00D83537" w:rsidRPr="00D83537">
        <w:rPr>
          <w:rFonts w:ascii="Arial" w:hAnsi="Arial" w:cs="Arial"/>
          <w:sz w:val="20"/>
          <w:szCs w:val="20"/>
        </w:rPr>
        <w:t xml:space="preserve"> the relationship between conventional forms of adjudication and engagement with ADR processes, and how this impacts on the legal system.</w:t>
      </w:r>
    </w:p>
    <w:p w14:paraId="18F96058" w14:textId="22CE36AA" w:rsidR="00D83537" w:rsidRPr="00D83537" w:rsidRDefault="001976E0"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w:t>
      </w:r>
      <w:r w:rsidRPr="00D83537">
        <w:rPr>
          <w:rFonts w:ascii="Arial" w:hAnsi="Arial" w:cs="Arial"/>
          <w:sz w:val="20"/>
          <w:szCs w:val="20"/>
        </w:rPr>
        <w:t xml:space="preserve"> </w:t>
      </w:r>
      <w:r w:rsidR="00607497">
        <w:rPr>
          <w:rFonts w:ascii="Arial" w:hAnsi="Arial" w:cs="Arial"/>
          <w:sz w:val="20"/>
          <w:szCs w:val="20"/>
        </w:rPr>
        <w:t xml:space="preserve">a detailed understanding of the skills and attributes necessary to effectively </w:t>
      </w:r>
      <w:r w:rsidR="00607497" w:rsidRPr="00D83537">
        <w:rPr>
          <w:rFonts w:ascii="Arial" w:hAnsi="Arial" w:cs="Arial"/>
          <w:sz w:val="20"/>
          <w:szCs w:val="20"/>
        </w:rPr>
        <w:t>advis</w:t>
      </w:r>
      <w:r w:rsidR="00607497">
        <w:rPr>
          <w:rFonts w:ascii="Arial" w:hAnsi="Arial" w:cs="Arial"/>
          <w:sz w:val="20"/>
          <w:szCs w:val="20"/>
        </w:rPr>
        <w:t>e</w:t>
      </w:r>
      <w:r w:rsidR="00607497" w:rsidRPr="00D83537">
        <w:rPr>
          <w:rFonts w:ascii="Arial" w:hAnsi="Arial" w:cs="Arial"/>
          <w:sz w:val="20"/>
          <w:szCs w:val="20"/>
        </w:rPr>
        <w:t xml:space="preserve"> </w:t>
      </w:r>
      <w:r w:rsidR="00D83537" w:rsidRPr="00D83537">
        <w:rPr>
          <w:rFonts w:ascii="Arial" w:hAnsi="Arial" w:cs="Arial"/>
          <w:sz w:val="20"/>
          <w:szCs w:val="20"/>
        </w:rPr>
        <w:t>and represent clients in the ADR process.</w:t>
      </w:r>
    </w:p>
    <w:p w14:paraId="255C21A3" w14:textId="13AADE23" w:rsidR="00D83537" w:rsidRPr="00D83537" w:rsidRDefault="001976E0"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Identify</w:t>
      </w:r>
      <w:r w:rsidR="00D83537" w:rsidRPr="00D83537">
        <w:rPr>
          <w:rFonts w:ascii="Arial" w:hAnsi="Arial" w:cs="Arial"/>
          <w:sz w:val="20"/>
          <w:szCs w:val="20"/>
        </w:rPr>
        <w:t xml:space="preserve"> broader social, economic and political issues underlying the developments taking place in the context of conflict resolution.</w:t>
      </w:r>
    </w:p>
    <w:p w14:paraId="5A832B54" w14:textId="1D188E27" w:rsidR="00D83537" w:rsidRPr="00D83537" w:rsidRDefault="001976E0"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I</w:t>
      </w:r>
      <w:r w:rsidR="00D83537" w:rsidRPr="00D83537">
        <w:rPr>
          <w:rFonts w:ascii="Arial" w:hAnsi="Arial" w:cs="Arial"/>
          <w:sz w:val="20"/>
          <w:szCs w:val="20"/>
        </w:rPr>
        <w:t xml:space="preserve">dentify and justify the use of different methods of conflict resolution in a variety of situations. </w:t>
      </w:r>
    </w:p>
    <w:p w14:paraId="35D0D1F3"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7131D0A"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34DC03B" w14:textId="77777777" w:rsidR="00380EAE" w:rsidRPr="00380EAE" w:rsidRDefault="00380EAE" w:rsidP="0066061A">
      <w:pPr>
        <w:spacing w:after="120" w:line="240" w:lineRule="auto"/>
        <w:ind w:left="426" w:right="260"/>
        <w:rPr>
          <w:rFonts w:ascii="Arial" w:hAnsi="Arial" w:cs="Arial"/>
          <w:b/>
          <w:sz w:val="20"/>
          <w:szCs w:val="20"/>
        </w:rPr>
      </w:pPr>
    </w:p>
    <w:p w14:paraId="78D468BA" w14:textId="0A4028FF" w:rsidR="00D83537" w:rsidRPr="00D83537" w:rsidRDefault="00F928E9"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00D83537" w:rsidRPr="00D83537">
        <w:rPr>
          <w:rFonts w:ascii="Arial" w:hAnsi="Arial" w:cs="Arial"/>
          <w:sz w:val="20"/>
          <w:szCs w:val="20"/>
        </w:rPr>
        <w:t>ndertake appropriate independent research</w:t>
      </w:r>
      <w:r w:rsidRPr="00F928E9">
        <w:rPr>
          <w:rFonts w:ascii="Arial" w:hAnsi="Arial" w:cs="Arial"/>
          <w:sz w:val="20"/>
          <w:szCs w:val="20"/>
        </w:rPr>
        <w:t xml:space="preserve"> </w:t>
      </w:r>
      <w:r>
        <w:rPr>
          <w:rFonts w:ascii="Arial" w:hAnsi="Arial" w:cs="Arial"/>
          <w:sz w:val="20"/>
          <w:szCs w:val="20"/>
        </w:rPr>
        <w:t xml:space="preserve">and </w:t>
      </w:r>
      <w:r w:rsidRPr="00D83537">
        <w:rPr>
          <w:rFonts w:ascii="Arial" w:hAnsi="Arial" w:cs="Arial"/>
          <w:sz w:val="20"/>
          <w:szCs w:val="20"/>
        </w:rPr>
        <w:t>retriev</w:t>
      </w:r>
      <w:r>
        <w:rPr>
          <w:rFonts w:ascii="Arial" w:hAnsi="Arial" w:cs="Arial"/>
          <w:sz w:val="20"/>
          <w:szCs w:val="20"/>
        </w:rPr>
        <w:t>e</w:t>
      </w:r>
      <w:r w:rsidRPr="00D83537">
        <w:rPr>
          <w:rFonts w:ascii="Arial" w:hAnsi="Arial" w:cs="Arial"/>
          <w:sz w:val="20"/>
          <w:szCs w:val="20"/>
        </w:rPr>
        <w:t xml:space="preserve"> up to date information, using </w:t>
      </w:r>
      <w:r>
        <w:rPr>
          <w:rFonts w:ascii="Arial" w:hAnsi="Arial" w:cs="Arial"/>
          <w:sz w:val="20"/>
          <w:szCs w:val="20"/>
        </w:rPr>
        <w:t xml:space="preserve">both </w:t>
      </w:r>
      <w:r w:rsidRPr="00D83537">
        <w:rPr>
          <w:rFonts w:ascii="Arial" w:hAnsi="Arial" w:cs="Arial"/>
          <w:sz w:val="20"/>
          <w:szCs w:val="20"/>
        </w:rPr>
        <w:t>paper and electronic sources</w:t>
      </w:r>
      <w:r w:rsidR="00D83537" w:rsidRPr="00D83537">
        <w:rPr>
          <w:rFonts w:ascii="Arial" w:hAnsi="Arial" w:cs="Arial"/>
          <w:sz w:val="20"/>
          <w:szCs w:val="20"/>
        </w:rPr>
        <w:t>.</w:t>
      </w:r>
    </w:p>
    <w:p w14:paraId="5221034C" w14:textId="1C20728A" w:rsidR="00D83537" w:rsidRPr="00D83537" w:rsidRDefault="00F928E9" w:rsidP="00F928E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P</w:t>
      </w:r>
      <w:r w:rsidR="00D83537" w:rsidRPr="00D83537">
        <w:rPr>
          <w:rFonts w:ascii="Arial" w:hAnsi="Arial" w:cs="Arial"/>
          <w:sz w:val="20"/>
          <w:szCs w:val="20"/>
        </w:rPr>
        <w:t xml:space="preserve">resent </w:t>
      </w:r>
      <w:r>
        <w:rPr>
          <w:rFonts w:ascii="Arial" w:hAnsi="Arial" w:cs="Arial"/>
          <w:sz w:val="20"/>
          <w:szCs w:val="20"/>
        </w:rPr>
        <w:t xml:space="preserve">a complex </w:t>
      </w:r>
      <w:r w:rsidR="00D83537" w:rsidRPr="00D83537">
        <w:rPr>
          <w:rFonts w:ascii="Arial" w:hAnsi="Arial" w:cs="Arial"/>
          <w:sz w:val="20"/>
          <w:szCs w:val="20"/>
        </w:rPr>
        <w:t>argument</w:t>
      </w:r>
      <w:r>
        <w:rPr>
          <w:rFonts w:ascii="Arial" w:hAnsi="Arial" w:cs="Arial"/>
          <w:sz w:val="20"/>
          <w:szCs w:val="20"/>
        </w:rPr>
        <w:t>.</w:t>
      </w:r>
      <w:r w:rsidR="00D83537" w:rsidRPr="00D83537">
        <w:rPr>
          <w:rFonts w:ascii="Arial" w:hAnsi="Arial" w:cs="Arial"/>
          <w:sz w:val="20"/>
          <w:szCs w:val="20"/>
        </w:rPr>
        <w:t xml:space="preserve"> </w:t>
      </w:r>
    </w:p>
    <w:p w14:paraId="57886ADA" w14:textId="23D6C970" w:rsidR="001976E0" w:rsidRDefault="00F928E9" w:rsidP="00D8353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00D83537" w:rsidRPr="00D83537">
        <w:rPr>
          <w:rFonts w:ascii="Arial" w:hAnsi="Arial" w:cs="Arial"/>
          <w:sz w:val="20"/>
          <w:szCs w:val="20"/>
        </w:rPr>
        <w:t>se relevant and appropriate terminology with care, accuracy and confidence.</w:t>
      </w:r>
    </w:p>
    <w:p w14:paraId="43426F7A" w14:textId="2683BD9F" w:rsidR="00373ACB" w:rsidRPr="00602EC0" w:rsidRDefault="00F928E9" w:rsidP="0066061A">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S</w:t>
      </w:r>
      <w:r w:rsidR="001976E0" w:rsidRPr="00D83537">
        <w:rPr>
          <w:rFonts w:ascii="Arial" w:hAnsi="Arial" w:cs="Arial"/>
          <w:sz w:val="20"/>
          <w:szCs w:val="20"/>
        </w:rPr>
        <w:t>ummaris</w:t>
      </w:r>
      <w:r>
        <w:rPr>
          <w:rFonts w:ascii="Arial" w:hAnsi="Arial" w:cs="Arial"/>
          <w:sz w:val="20"/>
          <w:szCs w:val="20"/>
        </w:rPr>
        <w:t>e</w:t>
      </w:r>
      <w:r w:rsidR="001976E0" w:rsidRPr="00D83537">
        <w:rPr>
          <w:rFonts w:ascii="Arial" w:hAnsi="Arial" w:cs="Arial"/>
          <w:sz w:val="20"/>
          <w:szCs w:val="20"/>
        </w:rPr>
        <w:t xml:space="preserve">, develop and sustain </w:t>
      </w:r>
      <w:r>
        <w:rPr>
          <w:rFonts w:ascii="Arial" w:hAnsi="Arial" w:cs="Arial"/>
          <w:sz w:val="20"/>
          <w:szCs w:val="20"/>
        </w:rPr>
        <w:t xml:space="preserve">an </w:t>
      </w:r>
      <w:r w:rsidR="001976E0" w:rsidRPr="00D83537">
        <w:rPr>
          <w:rFonts w:ascii="Arial" w:hAnsi="Arial" w:cs="Arial"/>
          <w:sz w:val="20"/>
          <w:szCs w:val="20"/>
        </w:rPr>
        <w:t>argument through the</w:t>
      </w:r>
      <w:r w:rsidR="001976E0">
        <w:rPr>
          <w:rFonts w:ascii="Arial" w:hAnsi="Arial" w:cs="Arial"/>
          <w:sz w:val="20"/>
          <w:szCs w:val="20"/>
        </w:rPr>
        <w:t xml:space="preserve"> analysis of </w:t>
      </w:r>
      <w:r>
        <w:rPr>
          <w:rFonts w:ascii="Arial" w:hAnsi="Arial" w:cs="Arial"/>
          <w:sz w:val="20"/>
          <w:szCs w:val="20"/>
        </w:rPr>
        <w:t>a factual</w:t>
      </w:r>
      <w:r w:rsidR="001976E0">
        <w:rPr>
          <w:rFonts w:ascii="Arial" w:hAnsi="Arial" w:cs="Arial"/>
          <w:sz w:val="20"/>
          <w:szCs w:val="20"/>
        </w:rPr>
        <w:t xml:space="preserve"> scenario.</w:t>
      </w:r>
    </w:p>
    <w:p w14:paraId="66BB66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3E5710EA" w14:textId="1123C657" w:rsidR="009A2D37" w:rsidRDefault="00F928E9" w:rsidP="008F5F62">
      <w:pPr>
        <w:spacing w:after="120" w:line="240" w:lineRule="auto"/>
        <w:ind w:left="426" w:right="260"/>
        <w:rPr>
          <w:rFonts w:ascii="Arial" w:hAnsi="Arial" w:cs="Arial"/>
          <w:iCs/>
          <w:sz w:val="20"/>
          <w:szCs w:val="20"/>
        </w:rPr>
      </w:pPr>
      <w:r w:rsidRPr="00F928E9">
        <w:rPr>
          <w:rFonts w:ascii="Arial" w:hAnsi="Arial" w:cs="Arial"/>
          <w:iCs/>
          <w:sz w:val="20"/>
          <w:szCs w:val="20"/>
        </w:rPr>
        <w:t xml:space="preserve">In recent times, ‘alternative’ forms of dispute resolution (ADR) have been widely recognised as possessing the potential to limit some of the damage caused by civil disputes. Therefore, a lawyer’s skill-set ideally should include a well-developed ability to analyse, manage and resolve disputes both within </w:t>
      </w:r>
      <w:r w:rsidRPr="000B2678">
        <w:rPr>
          <w:rFonts w:ascii="Arial" w:hAnsi="Arial" w:cs="Arial"/>
          <w:b/>
          <w:iCs/>
          <w:sz w:val="20"/>
          <w:szCs w:val="20"/>
        </w:rPr>
        <w:t>and</w:t>
      </w:r>
      <w:r w:rsidRPr="00F928E9">
        <w:rPr>
          <w:rFonts w:ascii="Arial" w:hAnsi="Arial" w:cs="Arial"/>
          <w:iCs/>
          <w:sz w:val="20"/>
          <w:szCs w:val="20"/>
        </w:rPr>
        <w:t xml:space="preserve"> outside the usual setting of the courtroom. Thus, the module’s primary aim is to introduce students to the legal and regulatory issues surrounding methods of dispute resolution aside from litigation. Specifically, the module focuses on the practical factors relevant to selecting appropriate dispute resolution in distinct circumstances, including, for example, the employment and fam</w:t>
      </w:r>
      <w:r>
        <w:rPr>
          <w:rFonts w:ascii="Arial" w:hAnsi="Arial" w:cs="Arial"/>
          <w:iCs/>
          <w:sz w:val="20"/>
          <w:szCs w:val="20"/>
        </w:rPr>
        <w:t>ily law arenas.</w:t>
      </w:r>
      <w:r>
        <w:rPr>
          <w:rFonts w:ascii="Arial" w:hAnsi="Arial" w:cs="Arial"/>
          <w:iCs/>
          <w:sz w:val="20"/>
          <w:szCs w:val="20"/>
        </w:rPr>
        <w:br/>
      </w:r>
      <w:r>
        <w:rPr>
          <w:rFonts w:ascii="Arial" w:hAnsi="Arial" w:cs="Arial"/>
          <w:iCs/>
          <w:sz w:val="20"/>
          <w:szCs w:val="20"/>
        </w:rPr>
        <w:br/>
      </w:r>
      <w:r w:rsidRPr="00F928E9">
        <w:rPr>
          <w:rFonts w:ascii="Arial" w:hAnsi="Arial" w:cs="Arial"/>
          <w:iCs/>
          <w:sz w:val="20"/>
          <w:szCs w:val="20"/>
        </w:rPr>
        <w:t xml:space="preserve">Students will be provided with the resources to acquire a detailed theoretical and practical understanding of the contextual constraints associated with the use of different forms of dispute resolution and will be encouraged to develop their ability to evaluate the effectiveness of particular interventions, especially when used as an adjunct to court proceedings. The module tracks historic and current developments in relation to the use of ADR, highlighting how government policy and courts appear, increasingly, to sanction failure to use ADR. This may well enhance students’ opportunities to hone career-advancing expertise in the field.  </w:t>
      </w:r>
    </w:p>
    <w:p w14:paraId="2D30BC7F" w14:textId="77777777" w:rsidR="00373ACB" w:rsidRPr="00373ACB" w:rsidRDefault="00373ACB" w:rsidP="0066061A">
      <w:pPr>
        <w:spacing w:after="120" w:line="240" w:lineRule="auto"/>
        <w:ind w:left="426" w:right="260"/>
        <w:rPr>
          <w:rFonts w:ascii="Arial" w:hAnsi="Arial" w:cs="Arial"/>
          <w:iCs/>
          <w:sz w:val="20"/>
          <w:szCs w:val="20"/>
        </w:rPr>
      </w:pPr>
    </w:p>
    <w:p w14:paraId="41BC25A9"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9FD8FD8" w14:textId="77777777" w:rsidR="000B2678" w:rsidRPr="008F5F62" w:rsidRDefault="000B2678" w:rsidP="000B2678">
      <w:pPr>
        <w:pStyle w:val="ListParagraph"/>
        <w:numPr>
          <w:ilvl w:val="0"/>
          <w:numId w:val="14"/>
        </w:numPr>
        <w:spacing w:after="120" w:line="240" w:lineRule="auto"/>
        <w:ind w:right="260"/>
        <w:rPr>
          <w:rFonts w:ascii="Arial" w:hAnsi="Arial" w:cs="Arial"/>
          <w:sz w:val="20"/>
          <w:szCs w:val="20"/>
        </w:rPr>
      </w:pPr>
      <w:r w:rsidRPr="008F5F62">
        <w:rPr>
          <w:rFonts w:ascii="Arial" w:hAnsi="Arial" w:cs="Arial"/>
          <w:sz w:val="20"/>
          <w:szCs w:val="20"/>
        </w:rPr>
        <w:t>A Practical Approach to Alternative Dispute Resolution: Susan Blake, Julie Browne &amp; Stuart Sime, 4th ed. (Oxford University Press: 2016)</w:t>
      </w:r>
    </w:p>
    <w:p w14:paraId="3F844E4D" w14:textId="77777777" w:rsidR="000B2678" w:rsidRPr="008F5F62" w:rsidRDefault="000B2678" w:rsidP="000B2678">
      <w:pPr>
        <w:pStyle w:val="ListParagraph"/>
        <w:numPr>
          <w:ilvl w:val="0"/>
          <w:numId w:val="14"/>
        </w:numPr>
        <w:spacing w:after="120" w:line="240" w:lineRule="auto"/>
        <w:ind w:right="260"/>
        <w:rPr>
          <w:rFonts w:ascii="Arial" w:hAnsi="Arial" w:cs="Arial"/>
          <w:sz w:val="20"/>
          <w:szCs w:val="20"/>
        </w:rPr>
      </w:pPr>
      <w:r w:rsidRPr="008F5F62">
        <w:rPr>
          <w:rFonts w:ascii="Arial" w:hAnsi="Arial" w:cs="Arial"/>
          <w:sz w:val="20"/>
          <w:szCs w:val="20"/>
        </w:rPr>
        <w:t>The Jackson ADR Handbook: Susan Blake, Julie Browne &amp; Stuart Sime (OUP, 2016)</w:t>
      </w:r>
    </w:p>
    <w:p w14:paraId="51BCAAFA" w14:textId="77777777" w:rsidR="000B2678" w:rsidRPr="008F5F62" w:rsidRDefault="000B2678" w:rsidP="000B2678">
      <w:pPr>
        <w:pStyle w:val="ListParagraph"/>
        <w:numPr>
          <w:ilvl w:val="0"/>
          <w:numId w:val="14"/>
        </w:numPr>
        <w:spacing w:after="120" w:line="240" w:lineRule="auto"/>
        <w:ind w:right="260"/>
        <w:rPr>
          <w:rFonts w:ascii="Arial" w:hAnsi="Arial" w:cs="Arial"/>
          <w:sz w:val="20"/>
          <w:szCs w:val="20"/>
        </w:rPr>
      </w:pPr>
      <w:r w:rsidRPr="008F5F62">
        <w:rPr>
          <w:rFonts w:ascii="Arial" w:hAnsi="Arial" w:cs="Arial"/>
          <w:sz w:val="20"/>
          <w:szCs w:val="20"/>
        </w:rPr>
        <w:t xml:space="preserve">Dispute Processes: ADR and the Primary Forms of Decision-Making: Simon Roberts &amp; Michael Palmer (Cambridge Online Books, </w:t>
      </w:r>
      <w:hyperlink r:id="rId8" w:history="1">
        <w:r w:rsidRPr="008F5F62">
          <w:rPr>
            <w:rStyle w:val="Hyperlink"/>
            <w:rFonts w:ascii="Arial" w:hAnsi="Arial" w:cs="Arial"/>
            <w:sz w:val="20"/>
            <w:szCs w:val="20"/>
          </w:rPr>
          <w:t>http://dx.doi.org/10.1017/CBO9780511805295</w:t>
        </w:r>
      </w:hyperlink>
      <w:r>
        <w:rPr>
          <w:rFonts w:ascii="Arial" w:hAnsi="Arial" w:cs="Arial"/>
          <w:sz w:val="20"/>
          <w:szCs w:val="20"/>
        </w:rPr>
        <w:t>)</w:t>
      </w:r>
      <w:r w:rsidRPr="008F5F62">
        <w:rPr>
          <w:rFonts w:ascii="Arial" w:hAnsi="Arial" w:cs="Arial"/>
          <w:sz w:val="20"/>
          <w:szCs w:val="20"/>
        </w:rPr>
        <w:t>.</w:t>
      </w:r>
    </w:p>
    <w:p w14:paraId="4DF80BD7" w14:textId="77777777" w:rsidR="000B2678" w:rsidRPr="008F5F62" w:rsidRDefault="000B2678" w:rsidP="000B2678">
      <w:pPr>
        <w:pStyle w:val="ListParagraph"/>
        <w:numPr>
          <w:ilvl w:val="0"/>
          <w:numId w:val="14"/>
        </w:numPr>
        <w:spacing w:after="120" w:line="240" w:lineRule="auto"/>
        <w:ind w:right="260"/>
        <w:rPr>
          <w:rFonts w:ascii="Arial" w:hAnsi="Arial" w:cs="Arial"/>
          <w:sz w:val="20"/>
          <w:szCs w:val="20"/>
        </w:rPr>
      </w:pPr>
      <w:r w:rsidRPr="008F5F62">
        <w:rPr>
          <w:rFonts w:ascii="Arial" w:hAnsi="Arial" w:cs="Arial"/>
          <w:sz w:val="20"/>
          <w:szCs w:val="20"/>
        </w:rPr>
        <w:t>ADR, Arbitration and Mediation: A Collection of Essays: ed. Julio Cesar Betancourt, Jason A. Crook (Chartered Institute of Arbitrators, 2014).</w:t>
      </w:r>
    </w:p>
    <w:p w14:paraId="3FEB1AD6" w14:textId="77777777" w:rsidR="00373ACB" w:rsidRPr="008F5F62" w:rsidRDefault="000B2678" w:rsidP="000B2678">
      <w:pPr>
        <w:pStyle w:val="ListParagraph"/>
        <w:numPr>
          <w:ilvl w:val="0"/>
          <w:numId w:val="14"/>
        </w:numPr>
        <w:spacing w:after="120" w:line="240" w:lineRule="auto"/>
        <w:ind w:right="260"/>
        <w:rPr>
          <w:rFonts w:ascii="Arial" w:hAnsi="Arial" w:cs="Arial"/>
          <w:sz w:val="20"/>
          <w:szCs w:val="20"/>
        </w:rPr>
      </w:pPr>
      <w:r w:rsidRPr="008F5F62">
        <w:rPr>
          <w:rFonts w:ascii="Arial" w:hAnsi="Arial" w:cs="Arial"/>
          <w:sz w:val="20"/>
          <w:szCs w:val="20"/>
        </w:rPr>
        <w:t>Regulating Dispute Resolution: ADR and Access to Justice at the Crossroads: Felix Steffek (Editor), Hannes Unberath (Editor), Hazel Genn (Editor) (Hart Publishing, 2013)</w:t>
      </w:r>
      <w:r w:rsidR="008F5F62">
        <w:rPr>
          <w:rFonts w:ascii="Arial" w:hAnsi="Arial" w:cs="Arial"/>
          <w:sz w:val="20"/>
          <w:szCs w:val="20"/>
        </w:rPr>
        <w:br/>
      </w:r>
    </w:p>
    <w:p w14:paraId="3DD0FB18"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89ED349" w14:textId="15A6DDD1" w:rsidR="002448AF" w:rsidRDefault="002448AF" w:rsidP="008F5F62">
      <w:pPr>
        <w:spacing w:after="120" w:line="240" w:lineRule="auto"/>
        <w:ind w:left="426" w:right="260"/>
        <w:rPr>
          <w:rFonts w:ascii="Arial" w:hAnsi="Arial" w:cs="Arial"/>
          <w:iCs/>
          <w:sz w:val="20"/>
          <w:szCs w:val="20"/>
        </w:rPr>
      </w:pPr>
      <w:r>
        <w:rPr>
          <w:rFonts w:ascii="Arial" w:hAnsi="Arial" w:cs="Arial"/>
          <w:iCs/>
          <w:sz w:val="20"/>
          <w:szCs w:val="20"/>
        </w:rPr>
        <w:t>Total study hours:</w:t>
      </w:r>
      <w:r w:rsidR="00F928E9" w:rsidRPr="00F928E9">
        <w:rPr>
          <w:rFonts w:ascii="Arial" w:hAnsi="Arial" w:cs="Arial"/>
          <w:iCs/>
          <w:sz w:val="20"/>
          <w:szCs w:val="20"/>
        </w:rPr>
        <w:t xml:space="preserve"> 150</w:t>
      </w:r>
    </w:p>
    <w:p w14:paraId="4AFF7EAE" w14:textId="01869AF3" w:rsidR="002448AF" w:rsidRDefault="002448AF" w:rsidP="008F5F62">
      <w:pPr>
        <w:spacing w:after="120" w:line="240" w:lineRule="auto"/>
        <w:ind w:left="426" w:right="260"/>
        <w:rPr>
          <w:rFonts w:ascii="Arial" w:hAnsi="Arial" w:cs="Arial"/>
          <w:iCs/>
          <w:sz w:val="20"/>
          <w:szCs w:val="20"/>
        </w:rPr>
      </w:pPr>
      <w:r>
        <w:rPr>
          <w:rFonts w:ascii="Arial" w:hAnsi="Arial" w:cs="Arial"/>
          <w:iCs/>
          <w:sz w:val="20"/>
          <w:szCs w:val="20"/>
        </w:rPr>
        <w:t>Contact hours: 20</w:t>
      </w:r>
    </w:p>
    <w:p w14:paraId="153D8EFA" w14:textId="12AE3D78" w:rsidR="00F928E9" w:rsidRDefault="002448AF" w:rsidP="008F5F62">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75A2DCB1" w14:textId="77777777" w:rsidR="00373ACB" w:rsidRPr="00373ACB" w:rsidRDefault="00373ACB" w:rsidP="0066061A">
      <w:pPr>
        <w:spacing w:after="120" w:line="240" w:lineRule="auto"/>
        <w:ind w:left="426" w:right="260"/>
        <w:rPr>
          <w:rFonts w:ascii="Arial" w:hAnsi="Arial" w:cs="Arial"/>
          <w:i/>
          <w:iCs/>
          <w:sz w:val="20"/>
          <w:szCs w:val="20"/>
        </w:rPr>
      </w:pPr>
    </w:p>
    <w:p w14:paraId="03F96445" w14:textId="256B642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ECAB36D" w14:textId="77777777" w:rsidR="00AB0936" w:rsidRPr="00AB0936" w:rsidRDefault="00AB0936" w:rsidP="00AB0936">
      <w:pPr>
        <w:spacing w:after="120" w:line="240" w:lineRule="auto"/>
        <w:ind w:right="260" w:firstLine="426"/>
        <w:rPr>
          <w:rFonts w:ascii="Arial" w:hAnsi="Arial" w:cs="Arial"/>
          <w:iCs/>
          <w:sz w:val="20"/>
          <w:szCs w:val="20"/>
          <w:u w:val="single"/>
        </w:rPr>
      </w:pPr>
      <w:r w:rsidRPr="00AB0936">
        <w:rPr>
          <w:rFonts w:ascii="Arial" w:hAnsi="Arial" w:cs="Arial"/>
          <w:iCs/>
          <w:sz w:val="20"/>
          <w:szCs w:val="20"/>
          <w:u w:val="single"/>
        </w:rPr>
        <w:t>13.1 Main assessment methods</w:t>
      </w:r>
    </w:p>
    <w:p w14:paraId="23EDE797" w14:textId="77777777" w:rsidR="00AB0936" w:rsidRDefault="00AB0936" w:rsidP="00AB0936">
      <w:pPr>
        <w:spacing w:after="120" w:line="240" w:lineRule="auto"/>
        <w:ind w:left="426" w:right="260"/>
        <w:rPr>
          <w:rFonts w:ascii="Arial" w:hAnsi="Arial" w:cs="Arial"/>
          <w:b/>
          <w:i/>
          <w:iCs/>
          <w:sz w:val="20"/>
          <w:szCs w:val="20"/>
        </w:rPr>
      </w:pPr>
    </w:p>
    <w:p w14:paraId="7D91CD2F" w14:textId="4B1F2B92" w:rsidR="002448AF" w:rsidRDefault="000B2678">
      <w:pPr>
        <w:spacing w:after="120" w:line="240" w:lineRule="auto"/>
        <w:ind w:left="426" w:right="260"/>
        <w:rPr>
          <w:rFonts w:ascii="Arial" w:hAnsi="Arial" w:cs="Arial"/>
          <w:iCs/>
          <w:sz w:val="20"/>
          <w:szCs w:val="20"/>
        </w:rPr>
      </w:pPr>
      <w:r w:rsidRPr="000B2678">
        <w:rPr>
          <w:rFonts w:ascii="Arial" w:hAnsi="Arial" w:cs="Arial"/>
          <w:iCs/>
          <w:sz w:val="20"/>
          <w:szCs w:val="20"/>
        </w:rPr>
        <w:t xml:space="preserve">The </w:t>
      </w:r>
      <w:r w:rsidR="002448AF">
        <w:rPr>
          <w:rFonts w:ascii="Arial" w:hAnsi="Arial" w:cs="Arial"/>
          <w:iCs/>
          <w:sz w:val="20"/>
          <w:szCs w:val="20"/>
        </w:rPr>
        <w:t>module will be assessed by 100%, comprising two essays:</w:t>
      </w:r>
    </w:p>
    <w:p w14:paraId="07896EBA" w14:textId="77777777" w:rsidR="002448AF" w:rsidRDefault="002448AF">
      <w:pPr>
        <w:spacing w:after="120" w:line="240" w:lineRule="auto"/>
        <w:ind w:left="426" w:right="260"/>
        <w:rPr>
          <w:rFonts w:ascii="Arial" w:hAnsi="Arial" w:cs="Arial"/>
          <w:iCs/>
          <w:sz w:val="20"/>
          <w:szCs w:val="20"/>
        </w:rPr>
      </w:pPr>
      <w:r>
        <w:rPr>
          <w:rFonts w:ascii="Arial" w:hAnsi="Arial" w:cs="Arial"/>
          <w:iCs/>
          <w:sz w:val="20"/>
          <w:szCs w:val="20"/>
        </w:rPr>
        <w:t>Essay 1, 2,000 words (50%)</w:t>
      </w:r>
    </w:p>
    <w:p w14:paraId="1ACAE194" w14:textId="43C91ED0" w:rsidR="008F5F62" w:rsidRDefault="002448AF">
      <w:pPr>
        <w:spacing w:after="120" w:line="240" w:lineRule="auto"/>
        <w:ind w:left="426" w:right="260"/>
        <w:rPr>
          <w:rFonts w:ascii="Arial" w:hAnsi="Arial" w:cs="Arial"/>
          <w:b/>
          <w:i/>
          <w:iCs/>
          <w:sz w:val="20"/>
          <w:szCs w:val="20"/>
        </w:rPr>
      </w:pPr>
      <w:r>
        <w:rPr>
          <w:rFonts w:ascii="Arial" w:hAnsi="Arial" w:cs="Arial"/>
          <w:iCs/>
          <w:sz w:val="20"/>
          <w:szCs w:val="20"/>
        </w:rPr>
        <w:t xml:space="preserve">Essay 2, </w:t>
      </w:r>
      <w:r w:rsidRPr="000825AE">
        <w:rPr>
          <w:rFonts w:ascii="Arial" w:hAnsi="Arial" w:cs="Arial"/>
          <w:iCs/>
          <w:sz w:val="20"/>
          <w:szCs w:val="20"/>
        </w:rPr>
        <w:t>2,000</w:t>
      </w:r>
      <w:r>
        <w:rPr>
          <w:rFonts w:ascii="Arial" w:hAnsi="Arial" w:cs="Arial"/>
          <w:iCs/>
          <w:sz w:val="20"/>
          <w:szCs w:val="20"/>
        </w:rPr>
        <w:t xml:space="preserve"> words (50%)</w:t>
      </w:r>
      <w:r w:rsidDel="000B2678">
        <w:rPr>
          <w:rFonts w:ascii="Arial" w:hAnsi="Arial" w:cs="Arial"/>
        </w:rPr>
        <w:t xml:space="preserve"> </w:t>
      </w:r>
    </w:p>
    <w:p w14:paraId="2F18B58B" w14:textId="77777777" w:rsidR="00AB0936" w:rsidRDefault="00AB0936" w:rsidP="00AB0936">
      <w:pPr>
        <w:spacing w:after="120" w:line="240" w:lineRule="auto"/>
        <w:ind w:left="426" w:right="260"/>
        <w:rPr>
          <w:rFonts w:ascii="Arial" w:hAnsi="Arial" w:cs="Arial"/>
          <w:iCs/>
          <w:sz w:val="20"/>
          <w:szCs w:val="20"/>
          <w:u w:val="single"/>
        </w:rPr>
      </w:pPr>
    </w:p>
    <w:p w14:paraId="3E83B9BC" w14:textId="044A3D27" w:rsidR="00AB0936" w:rsidRDefault="00AB0936" w:rsidP="00AB0936">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E7933A4" w14:textId="77777777" w:rsidR="00AB0936" w:rsidRDefault="00AB0936" w:rsidP="00AB0936">
      <w:pPr>
        <w:spacing w:after="120" w:line="240" w:lineRule="auto"/>
        <w:ind w:left="426" w:right="260"/>
        <w:rPr>
          <w:rFonts w:ascii="Arial" w:hAnsi="Arial" w:cs="Arial"/>
          <w:iCs/>
          <w:sz w:val="20"/>
          <w:szCs w:val="20"/>
          <w:u w:val="single"/>
        </w:rPr>
      </w:pPr>
    </w:p>
    <w:p w14:paraId="6ABF0C51" w14:textId="17DB4C1F" w:rsidR="00AB0936" w:rsidRPr="006F3F43" w:rsidRDefault="00AB0936" w:rsidP="00AB0936">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2448AF">
        <w:rPr>
          <w:rFonts w:ascii="Arial" w:hAnsi="Arial" w:cs="Arial"/>
          <w:iCs/>
          <w:sz w:val="20"/>
          <w:szCs w:val="20"/>
        </w:rPr>
        <w:t>a reassessment instrument (i.e. 100% coursework)</w:t>
      </w:r>
      <w:r>
        <w:rPr>
          <w:rFonts w:ascii="Arial" w:hAnsi="Arial" w:cs="Arial"/>
          <w:iCs/>
          <w:sz w:val="20"/>
          <w:szCs w:val="20"/>
        </w:rPr>
        <w:t xml:space="preserve">. The reassessment will </w:t>
      </w:r>
      <w:r w:rsidR="002448AF">
        <w:rPr>
          <w:rFonts w:ascii="Arial" w:hAnsi="Arial" w:cs="Arial"/>
          <w:iCs/>
          <w:sz w:val="20"/>
          <w:szCs w:val="20"/>
        </w:rPr>
        <w:t>re-</w:t>
      </w:r>
      <w:r>
        <w:rPr>
          <w:rFonts w:ascii="Arial" w:hAnsi="Arial" w:cs="Arial"/>
          <w:iCs/>
          <w:sz w:val="20"/>
          <w:szCs w:val="20"/>
        </w:rPr>
        <w:t xml:space="preserve">test </w:t>
      </w:r>
      <w:r w:rsidR="002448AF">
        <w:rPr>
          <w:rFonts w:ascii="Arial" w:hAnsi="Arial" w:cs="Arial"/>
          <w:iCs/>
          <w:sz w:val="20"/>
          <w:szCs w:val="20"/>
        </w:rPr>
        <w:t xml:space="preserve">all of </w:t>
      </w:r>
      <w:r>
        <w:rPr>
          <w:rFonts w:ascii="Arial" w:hAnsi="Arial" w:cs="Arial"/>
          <w:iCs/>
          <w:sz w:val="20"/>
          <w:szCs w:val="20"/>
        </w:rPr>
        <w:t xml:space="preserve">the </w:t>
      </w:r>
      <w:r w:rsidR="002448AF">
        <w:rPr>
          <w:rFonts w:ascii="Arial" w:hAnsi="Arial" w:cs="Arial"/>
          <w:iCs/>
          <w:sz w:val="20"/>
          <w:szCs w:val="20"/>
        </w:rPr>
        <w:t xml:space="preserve">module </w:t>
      </w:r>
      <w:r>
        <w:rPr>
          <w:rFonts w:ascii="Arial" w:hAnsi="Arial" w:cs="Arial"/>
          <w:iCs/>
          <w:sz w:val="20"/>
          <w:szCs w:val="20"/>
        </w:rPr>
        <w:t xml:space="preserve">learning outcomes. </w:t>
      </w:r>
    </w:p>
    <w:p w14:paraId="3E48754A" w14:textId="77777777" w:rsidR="00AB0936" w:rsidRPr="00373ACB" w:rsidRDefault="00AB0936" w:rsidP="00AB0936">
      <w:pPr>
        <w:spacing w:after="120" w:line="240" w:lineRule="auto"/>
        <w:ind w:left="426" w:right="260"/>
        <w:rPr>
          <w:rFonts w:ascii="Arial" w:hAnsi="Arial" w:cs="Arial"/>
          <w:b/>
          <w:i/>
          <w:iCs/>
          <w:sz w:val="20"/>
          <w:szCs w:val="20"/>
        </w:rPr>
      </w:pPr>
    </w:p>
    <w:p w14:paraId="743CAC7A" w14:textId="77777777" w:rsidR="008F5F62" w:rsidRPr="00373ACB" w:rsidRDefault="008F5F62" w:rsidP="0066061A">
      <w:pPr>
        <w:spacing w:after="120" w:line="240" w:lineRule="auto"/>
        <w:ind w:left="426" w:right="260"/>
        <w:rPr>
          <w:rFonts w:ascii="Arial" w:hAnsi="Arial" w:cs="Arial"/>
          <w:b/>
          <w:i/>
          <w:iCs/>
          <w:sz w:val="20"/>
          <w:szCs w:val="20"/>
        </w:rPr>
      </w:pPr>
    </w:p>
    <w:p w14:paraId="56B1A99F"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lastRenderedPageBreak/>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78C528C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tblLayout w:type="fixed"/>
        <w:tblLook w:val="04A0" w:firstRow="1" w:lastRow="0" w:firstColumn="1" w:lastColumn="0" w:noHBand="0" w:noVBand="1"/>
      </w:tblPr>
      <w:tblGrid>
        <w:gridCol w:w="1325"/>
        <w:gridCol w:w="1785"/>
        <w:gridCol w:w="612"/>
        <w:gridCol w:w="613"/>
        <w:gridCol w:w="613"/>
        <w:gridCol w:w="613"/>
        <w:gridCol w:w="613"/>
        <w:gridCol w:w="613"/>
        <w:gridCol w:w="613"/>
        <w:gridCol w:w="613"/>
        <w:gridCol w:w="613"/>
        <w:gridCol w:w="613"/>
        <w:gridCol w:w="613"/>
        <w:gridCol w:w="604"/>
      </w:tblGrid>
      <w:tr w:rsidR="00C959EB" w:rsidRPr="00373ACB" w14:paraId="4248F6B0" w14:textId="77777777" w:rsidTr="00C959EB">
        <w:trPr>
          <w:trHeight w:val="397"/>
        </w:trPr>
        <w:tc>
          <w:tcPr>
            <w:tcW w:w="1487" w:type="pct"/>
            <w:gridSpan w:val="2"/>
            <w:shd w:val="clear" w:color="auto" w:fill="D9D9D9" w:themeFill="background1" w:themeFillShade="D9"/>
            <w:vAlign w:val="center"/>
          </w:tcPr>
          <w:p w14:paraId="3EBA4956" w14:textId="77777777" w:rsidR="00C959EB" w:rsidRPr="00373ACB" w:rsidRDefault="00C959EB" w:rsidP="0066061A">
            <w:pPr>
              <w:spacing w:after="120"/>
              <w:rPr>
                <w:rFonts w:ascii="Arial" w:hAnsi="Arial" w:cs="Arial"/>
                <w:i/>
                <w:sz w:val="20"/>
                <w:szCs w:val="20"/>
              </w:rPr>
            </w:pPr>
            <w:r w:rsidRPr="00373ACB">
              <w:rPr>
                <w:rFonts w:ascii="Arial" w:hAnsi="Arial" w:cs="Arial"/>
                <w:b/>
                <w:sz w:val="20"/>
                <w:szCs w:val="20"/>
              </w:rPr>
              <w:t>Module learning outcome</w:t>
            </w:r>
          </w:p>
        </w:tc>
        <w:tc>
          <w:tcPr>
            <w:tcW w:w="293" w:type="pct"/>
            <w:vAlign w:val="center"/>
          </w:tcPr>
          <w:p w14:paraId="0B9C4994" w14:textId="77777777" w:rsidR="00C959EB" w:rsidRPr="007103E4" w:rsidRDefault="00C959EB" w:rsidP="0066061A">
            <w:pPr>
              <w:spacing w:after="120"/>
              <w:rPr>
                <w:rFonts w:ascii="Arial" w:hAnsi="Arial" w:cs="Arial"/>
                <w:sz w:val="20"/>
                <w:szCs w:val="20"/>
              </w:rPr>
            </w:pPr>
            <w:r>
              <w:rPr>
                <w:rFonts w:ascii="Arial" w:hAnsi="Arial" w:cs="Arial"/>
                <w:sz w:val="20"/>
                <w:szCs w:val="20"/>
              </w:rPr>
              <w:t>8.1</w:t>
            </w:r>
          </w:p>
        </w:tc>
        <w:tc>
          <w:tcPr>
            <w:tcW w:w="293" w:type="pct"/>
            <w:vAlign w:val="center"/>
          </w:tcPr>
          <w:p w14:paraId="05BF645F" w14:textId="77777777" w:rsidR="00C959EB" w:rsidRPr="007103E4" w:rsidRDefault="00C959EB" w:rsidP="0066061A">
            <w:pPr>
              <w:spacing w:after="120"/>
              <w:rPr>
                <w:rFonts w:ascii="Arial" w:hAnsi="Arial" w:cs="Arial"/>
                <w:sz w:val="20"/>
                <w:szCs w:val="20"/>
              </w:rPr>
            </w:pPr>
            <w:r>
              <w:rPr>
                <w:rFonts w:ascii="Arial" w:hAnsi="Arial" w:cs="Arial"/>
                <w:sz w:val="20"/>
                <w:szCs w:val="20"/>
              </w:rPr>
              <w:t>8.2</w:t>
            </w:r>
          </w:p>
        </w:tc>
        <w:tc>
          <w:tcPr>
            <w:tcW w:w="293" w:type="pct"/>
            <w:vAlign w:val="center"/>
          </w:tcPr>
          <w:p w14:paraId="1A7A4D6E" w14:textId="77777777" w:rsidR="00C959EB" w:rsidRPr="007103E4" w:rsidRDefault="00C959EB" w:rsidP="0066061A">
            <w:pPr>
              <w:spacing w:after="120"/>
              <w:rPr>
                <w:rFonts w:ascii="Arial" w:hAnsi="Arial" w:cs="Arial"/>
                <w:sz w:val="20"/>
                <w:szCs w:val="20"/>
              </w:rPr>
            </w:pPr>
            <w:r>
              <w:rPr>
                <w:rFonts w:ascii="Arial" w:hAnsi="Arial" w:cs="Arial"/>
                <w:sz w:val="20"/>
                <w:szCs w:val="20"/>
              </w:rPr>
              <w:t>8.3</w:t>
            </w:r>
          </w:p>
        </w:tc>
        <w:tc>
          <w:tcPr>
            <w:tcW w:w="293" w:type="pct"/>
            <w:vAlign w:val="center"/>
          </w:tcPr>
          <w:p w14:paraId="60F94249" w14:textId="7639E11C" w:rsidR="00C959EB" w:rsidRPr="007103E4" w:rsidRDefault="00C959EB" w:rsidP="0066061A">
            <w:pPr>
              <w:spacing w:after="120"/>
              <w:rPr>
                <w:rFonts w:ascii="Arial" w:hAnsi="Arial" w:cs="Arial"/>
                <w:sz w:val="20"/>
                <w:szCs w:val="20"/>
              </w:rPr>
            </w:pPr>
            <w:r>
              <w:rPr>
                <w:rFonts w:ascii="Arial" w:hAnsi="Arial" w:cs="Arial"/>
                <w:sz w:val="20"/>
                <w:szCs w:val="20"/>
              </w:rPr>
              <w:t>8.4</w:t>
            </w:r>
          </w:p>
        </w:tc>
        <w:tc>
          <w:tcPr>
            <w:tcW w:w="293" w:type="pct"/>
            <w:vAlign w:val="center"/>
          </w:tcPr>
          <w:p w14:paraId="5570D5BE" w14:textId="46DCEAED" w:rsidR="00C959EB" w:rsidRPr="007103E4" w:rsidRDefault="00C959EB" w:rsidP="0066061A">
            <w:pPr>
              <w:spacing w:after="120"/>
              <w:rPr>
                <w:rFonts w:ascii="Arial" w:hAnsi="Arial" w:cs="Arial"/>
                <w:sz w:val="20"/>
                <w:szCs w:val="20"/>
              </w:rPr>
            </w:pPr>
            <w:r>
              <w:rPr>
                <w:rFonts w:ascii="Arial" w:hAnsi="Arial" w:cs="Arial"/>
                <w:sz w:val="20"/>
                <w:szCs w:val="20"/>
              </w:rPr>
              <w:t>8.5</w:t>
            </w:r>
          </w:p>
        </w:tc>
        <w:tc>
          <w:tcPr>
            <w:tcW w:w="293" w:type="pct"/>
            <w:vAlign w:val="center"/>
          </w:tcPr>
          <w:p w14:paraId="64C4B117" w14:textId="0B31BCF7" w:rsidR="00C959EB" w:rsidRPr="007103E4" w:rsidRDefault="00C959EB" w:rsidP="0066061A">
            <w:pPr>
              <w:spacing w:after="120"/>
              <w:rPr>
                <w:rFonts w:ascii="Arial" w:hAnsi="Arial" w:cs="Arial"/>
                <w:sz w:val="20"/>
                <w:szCs w:val="20"/>
              </w:rPr>
            </w:pPr>
            <w:r>
              <w:rPr>
                <w:rFonts w:ascii="Arial" w:hAnsi="Arial" w:cs="Arial"/>
                <w:sz w:val="20"/>
                <w:szCs w:val="20"/>
              </w:rPr>
              <w:t>8.6</w:t>
            </w:r>
          </w:p>
        </w:tc>
        <w:tc>
          <w:tcPr>
            <w:tcW w:w="293" w:type="pct"/>
            <w:vAlign w:val="center"/>
          </w:tcPr>
          <w:p w14:paraId="68CA9BBD" w14:textId="0FCD63B1" w:rsidR="00C959EB" w:rsidRPr="007103E4" w:rsidRDefault="006C3C68" w:rsidP="0066061A">
            <w:pPr>
              <w:spacing w:after="120"/>
              <w:rPr>
                <w:rFonts w:ascii="Arial" w:hAnsi="Arial" w:cs="Arial"/>
                <w:sz w:val="20"/>
                <w:szCs w:val="20"/>
              </w:rPr>
            </w:pPr>
            <w:r>
              <w:rPr>
                <w:rFonts w:ascii="Arial" w:hAnsi="Arial" w:cs="Arial"/>
                <w:sz w:val="20"/>
                <w:szCs w:val="20"/>
              </w:rPr>
              <w:t>8.7</w:t>
            </w:r>
          </w:p>
        </w:tc>
        <w:tc>
          <w:tcPr>
            <w:tcW w:w="293" w:type="pct"/>
            <w:vAlign w:val="center"/>
          </w:tcPr>
          <w:p w14:paraId="3FC5A070" w14:textId="75B67502" w:rsidR="00C959EB" w:rsidRPr="007103E4" w:rsidRDefault="00C959EB" w:rsidP="0066061A">
            <w:pPr>
              <w:spacing w:after="120"/>
              <w:rPr>
                <w:rFonts w:ascii="Arial" w:hAnsi="Arial" w:cs="Arial"/>
                <w:sz w:val="20"/>
                <w:szCs w:val="20"/>
              </w:rPr>
            </w:pPr>
            <w:r>
              <w:rPr>
                <w:rFonts w:ascii="Arial" w:hAnsi="Arial" w:cs="Arial"/>
                <w:sz w:val="20"/>
                <w:szCs w:val="20"/>
              </w:rPr>
              <w:t>8.8</w:t>
            </w:r>
          </w:p>
        </w:tc>
        <w:tc>
          <w:tcPr>
            <w:tcW w:w="293" w:type="pct"/>
            <w:vAlign w:val="center"/>
          </w:tcPr>
          <w:p w14:paraId="1BA8CF6B" w14:textId="7DE9FD84" w:rsidR="00C959EB" w:rsidRPr="007103E4" w:rsidRDefault="00C959EB" w:rsidP="0066061A">
            <w:pPr>
              <w:spacing w:after="120"/>
              <w:rPr>
                <w:rFonts w:ascii="Arial" w:hAnsi="Arial" w:cs="Arial"/>
                <w:sz w:val="20"/>
                <w:szCs w:val="20"/>
              </w:rPr>
            </w:pPr>
            <w:r>
              <w:rPr>
                <w:rFonts w:ascii="Arial" w:hAnsi="Arial" w:cs="Arial"/>
                <w:sz w:val="20"/>
                <w:szCs w:val="20"/>
              </w:rPr>
              <w:t>9.1</w:t>
            </w:r>
          </w:p>
        </w:tc>
        <w:tc>
          <w:tcPr>
            <w:tcW w:w="293" w:type="pct"/>
            <w:vAlign w:val="center"/>
          </w:tcPr>
          <w:p w14:paraId="3629F079" w14:textId="0510EE9D" w:rsidR="00C959EB" w:rsidRPr="007103E4" w:rsidRDefault="00C959EB" w:rsidP="0066061A">
            <w:pPr>
              <w:spacing w:after="120"/>
              <w:rPr>
                <w:rFonts w:ascii="Arial" w:hAnsi="Arial" w:cs="Arial"/>
                <w:sz w:val="20"/>
                <w:szCs w:val="20"/>
              </w:rPr>
            </w:pPr>
            <w:r>
              <w:rPr>
                <w:rFonts w:ascii="Arial" w:hAnsi="Arial" w:cs="Arial"/>
                <w:sz w:val="20"/>
                <w:szCs w:val="20"/>
              </w:rPr>
              <w:t>9.2</w:t>
            </w:r>
          </w:p>
        </w:tc>
        <w:tc>
          <w:tcPr>
            <w:tcW w:w="293" w:type="pct"/>
            <w:vAlign w:val="center"/>
          </w:tcPr>
          <w:p w14:paraId="01FB1911" w14:textId="1F0C022B" w:rsidR="00C959EB" w:rsidRPr="007103E4" w:rsidRDefault="00C959EB" w:rsidP="0066061A">
            <w:pPr>
              <w:spacing w:after="120"/>
              <w:rPr>
                <w:rFonts w:ascii="Arial" w:hAnsi="Arial" w:cs="Arial"/>
                <w:sz w:val="20"/>
                <w:szCs w:val="20"/>
              </w:rPr>
            </w:pPr>
            <w:r>
              <w:rPr>
                <w:rFonts w:ascii="Arial" w:hAnsi="Arial" w:cs="Arial"/>
                <w:sz w:val="20"/>
                <w:szCs w:val="20"/>
              </w:rPr>
              <w:t>9.3</w:t>
            </w:r>
          </w:p>
        </w:tc>
        <w:tc>
          <w:tcPr>
            <w:tcW w:w="289" w:type="pct"/>
            <w:vAlign w:val="center"/>
          </w:tcPr>
          <w:p w14:paraId="18FD631E" w14:textId="33F7EB24" w:rsidR="00C959EB" w:rsidRPr="007103E4" w:rsidRDefault="00C959EB" w:rsidP="0066061A">
            <w:pPr>
              <w:spacing w:after="120"/>
              <w:rPr>
                <w:rFonts w:ascii="Arial" w:hAnsi="Arial" w:cs="Arial"/>
                <w:sz w:val="20"/>
                <w:szCs w:val="20"/>
              </w:rPr>
            </w:pPr>
            <w:r>
              <w:rPr>
                <w:rFonts w:ascii="Arial" w:hAnsi="Arial" w:cs="Arial"/>
                <w:sz w:val="20"/>
                <w:szCs w:val="20"/>
              </w:rPr>
              <w:t>9.4</w:t>
            </w:r>
          </w:p>
        </w:tc>
      </w:tr>
      <w:tr w:rsidR="00C959EB" w:rsidRPr="00373ACB" w14:paraId="183FF1D1" w14:textId="77777777" w:rsidTr="00C959EB">
        <w:trPr>
          <w:trHeight w:val="397"/>
        </w:trPr>
        <w:tc>
          <w:tcPr>
            <w:tcW w:w="634" w:type="pct"/>
            <w:shd w:val="clear" w:color="auto" w:fill="D9D9D9" w:themeFill="background1" w:themeFillShade="D9"/>
            <w:vAlign w:val="center"/>
          </w:tcPr>
          <w:p w14:paraId="042C96CE" w14:textId="77777777" w:rsidR="00C959EB" w:rsidRPr="00373ACB" w:rsidRDefault="00C959E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854" w:type="pct"/>
            <w:shd w:val="clear" w:color="auto" w:fill="D9D9D9" w:themeFill="background1" w:themeFillShade="D9"/>
            <w:vAlign w:val="center"/>
          </w:tcPr>
          <w:p w14:paraId="3DA220A6" w14:textId="5303F3EA" w:rsidR="00C959EB" w:rsidRPr="00373ACB" w:rsidRDefault="00C959EB" w:rsidP="0066061A">
            <w:pPr>
              <w:spacing w:after="120"/>
              <w:rPr>
                <w:rFonts w:ascii="Arial" w:hAnsi="Arial" w:cs="Arial"/>
                <w:b/>
                <w:sz w:val="20"/>
                <w:szCs w:val="20"/>
              </w:rPr>
            </w:pPr>
          </w:p>
        </w:tc>
        <w:tc>
          <w:tcPr>
            <w:tcW w:w="293" w:type="pct"/>
            <w:vAlign w:val="center"/>
          </w:tcPr>
          <w:p w14:paraId="0FCB428B" w14:textId="77777777" w:rsidR="00C959EB" w:rsidRPr="007103E4" w:rsidRDefault="00C959EB" w:rsidP="0066061A">
            <w:pPr>
              <w:spacing w:after="120"/>
              <w:rPr>
                <w:rFonts w:ascii="Arial" w:hAnsi="Arial" w:cs="Arial"/>
                <w:b/>
                <w:sz w:val="20"/>
                <w:szCs w:val="20"/>
              </w:rPr>
            </w:pPr>
          </w:p>
        </w:tc>
        <w:tc>
          <w:tcPr>
            <w:tcW w:w="293" w:type="pct"/>
            <w:vAlign w:val="center"/>
          </w:tcPr>
          <w:p w14:paraId="03C497DB" w14:textId="77777777" w:rsidR="00C959EB" w:rsidRPr="007103E4" w:rsidRDefault="00C959EB" w:rsidP="0066061A">
            <w:pPr>
              <w:spacing w:after="120"/>
              <w:rPr>
                <w:rFonts w:ascii="Arial" w:hAnsi="Arial" w:cs="Arial"/>
                <w:b/>
                <w:sz w:val="20"/>
                <w:szCs w:val="20"/>
              </w:rPr>
            </w:pPr>
          </w:p>
        </w:tc>
        <w:tc>
          <w:tcPr>
            <w:tcW w:w="293" w:type="pct"/>
            <w:vAlign w:val="center"/>
          </w:tcPr>
          <w:p w14:paraId="2802595E" w14:textId="77777777" w:rsidR="00C959EB" w:rsidRPr="007103E4" w:rsidRDefault="00C959EB" w:rsidP="0066061A">
            <w:pPr>
              <w:spacing w:after="120"/>
              <w:rPr>
                <w:rFonts w:ascii="Arial" w:hAnsi="Arial" w:cs="Arial"/>
                <w:b/>
                <w:sz w:val="20"/>
                <w:szCs w:val="20"/>
              </w:rPr>
            </w:pPr>
          </w:p>
        </w:tc>
        <w:tc>
          <w:tcPr>
            <w:tcW w:w="293" w:type="pct"/>
            <w:vAlign w:val="center"/>
          </w:tcPr>
          <w:p w14:paraId="7D2B3673" w14:textId="77777777" w:rsidR="00C959EB" w:rsidRPr="007103E4" w:rsidRDefault="00C959EB" w:rsidP="0066061A">
            <w:pPr>
              <w:spacing w:after="120"/>
              <w:rPr>
                <w:rFonts w:ascii="Arial" w:hAnsi="Arial" w:cs="Arial"/>
                <w:b/>
                <w:sz w:val="20"/>
                <w:szCs w:val="20"/>
              </w:rPr>
            </w:pPr>
          </w:p>
        </w:tc>
        <w:tc>
          <w:tcPr>
            <w:tcW w:w="293" w:type="pct"/>
            <w:vAlign w:val="center"/>
          </w:tcPr>
          <w:p w14:paraId="7DD4C8AB" w14:textId="77777777" w:rsidR="00C959EB" w:rsidRPr="007103E4" w:rsidRDefault="00C959EB" w:rsidP="0066061A">
            <w:pPr>
              <w:spacing w:after="120"/>
              <w:rPr>
                <w:rFonts w:ascii="Arial" w:hAnsi="Arial" w:cs="Arial"/>
                <w:b/>
                <w:sz w:val="20"/>
                <w:szCs w:val="20"/>
              </w:rPr>
            </w:pPr>
          </w:p>
        </w:tc>
        <w:tc>
          <w:tcPr>
            <w:tcW w:w="293" w:type="pct"/>
            <w:vAlign w:val="center"/>
          </w:tcPr>
          <w:p w14:paraId="672341BA" w14:textId="77777777" w:rsidR="00C959EB" w:rsidRPr="007103E4" w:rsidRDefault="00C959EB" w:rsidP="0066061A">
            <w:pPr>
              <w:spacing w:after="120"/>
              <w:rPr>
                <w:rFonts w:ascii="Arial" w:hAnsi="Arial" w:cs="Arial"/>
                <w:b/>
                <w:sz w:val="20"/>
                <w:szCs w:val="20"/>
              </w:rPr>
            </w:pPr>
          </w:p>
        </w:tc>
        <w:tc>
          <w:tcPr>
            <w:tcW w:w="293" w:type="pct"/>
            <w:vAlign w:val="center"/>
          </w:tcPr>
          <w:p w14:paraId="4E9D7547" w14:textId="77777777" w:rsidR="00C959EB" w:rsidRPr="007103E4" w:rsidRDefault="00C959EB" w:rsidP="0066061A">
            <w:pPr>
              <w:spacing w:after="120"/>
              <w:rPr>
                <w:rFonts w:ascii="Arial" w:hAnsi="Arial" w:cs="Arial"/>
                <w:b/>
                <w:sz w:val="20"/>
                <w:szCs w:val="20"/>
              </w:rPr>
            </w:pPr>
          </w:p>
        </w:tc>
        <w:tc>
          <w:tcPr>
            <w:tcW w:w="293" w:type="pct"/>
            <w:vAlign w:val="center"/>
          </w:tcPr>
          <w:p w14:paraId="09A9168A" w14:textId="77777777" w:rsidR="00C959EB" w:rsidRPr="007103E4" w:rsidRDefault="00C959EB" w:rsidP="0066061A">
            <w:pPr>
              <w:spacing w:after="120"/>
              <w:rPr>
                <w:rFonts w:ascii="Arial" w:hAnsi="Arial" w:cs="Arial"/>
                <w:b/>
                <w:sz w:val="20"/>
                <w:szCs w:val="20"/>
              </w:rPr>
            </w:pPr>
          </w:p>
        </w:tc>
        <w:tc>
          <w:tcPr>
            <w:tcW w:w="293" w:type="pct"/>
            <w:vAlign w:val="center"/>
          </w:tcPr>
          <w:p w14:paraId="36D25545" w14:textId="77777777" w:rsidR="00C959EB" w:rsidRPr="007103E4" w:rsidRDefault="00C959EB" w:rsidP="0066061A">
            <w:pPr>
              <w:spacing w:after="120"/>
              <w:rPr>
                <w:rFonts w:ascii="Arial" w:hAnsi="Arial" w:cs="Arial"/>
                <w:b/>
                <w:sz w:val="20"/>
                <w:szCs w:val="20"/>
              </w:rPr>
            </w:pPr>
          </w:p>
        </w:tc>
        <w:tc>
          <w:tcPr>
            <w:tcW w:w="293" w:type="pct"/>
            <w:vAlign w:val="center"/>
          </w:tcPr>
          <w:p w14:paraId="3E1E0731" w14:textId="77777777" w:rsidR="00C959EB" w:rsidRPr="007103E4" w:rsidRDefault="00C959EB" w:rsidP="0066061A">
            <w:pPr>
              <w:spacing w:after="120"/>
              <w:rPr>
                <w:rFonts w:ascii="Arial" w:hAnsi="Arial" w:cs="Arial"/>
                <w:b/>
                <w:sz w:val="20"/>
                <w:szCs w:val="20"/>
              </w:rPr>
            </w:pPr>
          </w:p>
        </w:tc>
        <w:tc>
          <w:tcPr>
            <w:tcW w:w="293" w:type="pct"/>
            <w:vAlign w:val="center"/>
          </w:tcPr>
          <w:p w14:paraId="2106B573" w14:textId="77777777" w:rsidR="00C959EB" w:rsidRPr="007103E4" w:rsidRDefault="00C959EB" w:rsidP="0066061A">
            <w:pPr>
              <w:spacing w:after="120"/>
              <w:rPr>
                <w:rFonts w:ascii="Arial" w:hAnsi="Arial" w:cs="Arial"/>
                <w:b/>
                <w:sz w:val="20"/>
                <w:szCs w:val="20"/>
              </w:rPr>
            </w:pPr>
          </w:p>
        </w:tc>
        <w:tc>
          <w:tcPr>
            <w:tcW w:w="289" w:type="pct"/>
            <w:vAlign w:val="center"/>
          </w:tcPr>
          <w:p w14:paraId="196BBDAB" w14:textId="77777777" w:rsidR="00C959EB" w:rsidRPr="007103E4" w:rsidRDefault="00C959EB" w:rsidP="0066061A">
            <w:pPr>
              <w:spacing w:after="120"/>
              <w:rPr>
                <w:rFonts w:ascii="Arial" w:hAnsi="Arial" w:cs="Arial"/>
                <w:b/>
                <w:sz w:val="20"/>
                <w:szCs w:val="20"/>
              </w:rPr>
            </w:pPr>
          </w:p>
        </w:tc>
      </w:tr>
      <w:tr w:rsidR="00C959EB" w:rsidRPr="00373ACB" w14:paraId="7ED5AF97" w14:textId="77777777" w:rsidTr="00C959EB">
        <w:trPr>
          <w:trHeight w:val="397"/>
        </w:trPr>
        <w:tc>
          <w:tcPr>
            <w:tcW w:w="634" w:type="pct"/>
            <w:vAlign w:val="center"/>
          </w:tcPr>
          <w:p w14:paraId="682CA56E" w14:textId="2FF5281A" w:rsidR="00C959EB" w:rsidRPr="007103E4" w:rsidRDefault="00C959EB" w:rsidP="00C959EB">
            <w:pPr>
              <w:spacing w:after="120"/>
              <w:rPr>
                <w:rFonts w:ascii="Arial" w:hAnsi="Arial" w:cs="Arial"/>
                <w:sz w:val="20"/>
                <w:szCs w:val="20"/>
              </w:rPr>
            </w:pPr>
            <w:r w:rsidRPr="007103E4">
              <w:rPr>
                <w:rFonts w:ascii="Arial" w:hAnsi="Arial" w:cs="Arial"/>
                <w:sz w:val="20"/>
                <w:szCs w:val="20"/>
              </w:rPr>
              <w:t>Lectures</w:t>
            </w:r>
          </w:p>
        </w:tc>
        <w:tc>
          <w:tcPr>
            <w:tcW w:w="854" w:type="pct"/>
            <w:vAlign w:val="center"/>
          </w:tcPr>
          <w:p w14:paraId="13D36A3E" w14:textId="26AF4508" w:rsidR="00C959EB" w:rsidRPr="007103E4" w:rsidRDefault="00C959EB" w:rsidP="00C959EB">
            <w:pPr>
              <w:spacing w:after="120"/>
              <w:rPr>
                <w:rFonts w:ascii="Arial" w:hAnsi="Arial" w:cs="Arial"/>
                <w:sz w:val="20"/>
                <w:szCs w:val="20"/>
              </w:rPr>
            </w:pPr>
          </w:p>
        </w:tc>
        <w:tc>
          <w:tcPr>
            <w:tcW w:w="293" w:type="pct"/>
            <w:vAlign w:val="center"/>
          </w:tcPr>
          <w:p w14:paraId="309F9AFA" w14:textId="63603FA7"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7609231D" w14:textId="094A2938"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794F583" w14:textId="1959C2F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89B84AD" w14:textId="517E8B1B"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13D8B68" w14:textId="4F3FFCF8"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4119F537" w14:textId="663E8788"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BE1100E" w14:textId="348248C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431B118" w14:textId="776E7AD2"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163AE8D" w14:textId="3C61FA7A"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82C1FFB" w14:textId="439BDED8"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FD3A1F9" w14:textId="6FDF50A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89" w:type="pct"/>
            <w:vAlign w:val="center"/>
          </w:tcPr>
          <w:p w14:paraId="14F9935E" w14:textId="7D678E95" w:rsidR="00C959EB" w:rsidRPr="007103E4" w:rsidRDefault="005A1DD5" w:rsidP="00C959EB">
            <w:pPr>
              <w:spacing w:after="120"/>
              <w:rPr>
                <w:rFonts w:ascii="Arial" w:hAnsi="Arial" w:cs="Arial"/>
                <w:sz w:val="20"/>
                <w:szCs w:val="20"/>
              </w:rPr>
            </w:pPr>
            <w:r>
              <w:rPr>
                <w:rFonts w:ascii="Arial" w:hAnsi="Arial" w:cs="Arial"/>
                <w:sz w:val="20"/>
                <w:szCs w:val="20"/>
              </w:rPr>
              <w:t>X</w:t>
            </w:r>
          </w:p>
        </w:tc>
      </w:tr>
      <w:tr w:rsidR="00C959EB" w:rsidRPr="00373ACB" w14:paraId="3609AF67" w14:textId="77777777" w:rsidTr="00C959EB">
        <w:trPr>
          <w:trHeight w:val="397"/>
        </w:trPr>
        <w:tc>
          <w:tcPr>
            <w:tcW w:w="634" w:type="pct"/>
            <w:vAlign w:val="center"/>
          </w:tcPr>
          <w:p w14:paraId="66BE2140" w14:textId="6AFBA825" w:rsidR="00C959EB" w:rsidRPr="007103E4" w:rsidRDefault="00C959EB" w:rsidP="00C959EB">
            <w:pPr>
              <w:spacing w:after="120"/>
              <w:rPr>
                <w:rFonts w:ascii="Arial" w:hAnsi="Arial" w:cs="Arial"/>
                <w:sz w:val="20"/>
                <w:szCs w:val="20"/>
              </w:rPr>
            </w:pPr>
            <w:r w:rsidRPr="007103E4">
              <w:rPr>
                <w:rFonts w:ascii="Arial" w:hAnsi="Arial" w:cs="Arial"/>
                <w:sz w:val="20"/>
                <w:szCs w:val="20"/>
              </w:rPr>
              <w:t>Seminars</w:t>
            </w:r>
          </w:p>
        </w:tc>
        <w:tc>
          <w:tcPr>
            <w:tcW w:w="854" w:type="pct"/>
            <w:vAlign w:val="center"/>
          </w:tcPr>
          <w:p w14:paraId="270E7595" w14:textId="2CF80E89" w:rsidR="00C959EB" w:rsidRPr="007103E4" w:rsidRDefault="00C959EB" w:rsidP="00C959EB">
            <w:pPr>
              <w:spacing w:after="120"/>
              <w:rPr>
                <w:rFonts w:ascii="Arial" w:hAnsi="Arial" w:cs="Arial"/>
                <w:sz w:val="20"/>
                <w:szCs w:val="20"/>
              </w:rPr>
            </w:pPr>
          </w:p>
        </w:tc>
        <w:tc>
          <w:tcPr>
            <w:tcW w:w="293" w:type="pct"/>
            <w:vAlign w:val="center"/>
          </w:tcPr>
          <w:p w14:paraId="70C1AD18" w14:textId="446D7732"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11A54FF" w14:textId="30452BE9"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7A3BAE66" w14:textId="0B4AC6C8"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E9E713E" w14:textId="1C26844F"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7F6B50D4" w14:textId="626522F7"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308D824" w14:textId="59CF242A"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558B220" w14:textId="1DD3876B"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6B62F53" w14:textId="3755B752"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6423163" w14:textId="2884DF15"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46D5938" w14:textId="2395DEB0"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720459EF" w14:textId="43374544"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89" w:type="pct"/>
            <w:vAlign w:val="center"/>
          </w:tcPr>
          <w:p w14:paraId="2BFB268D" w14:textId="4B944FE3" w:rsidR="00C959EB" w:rsidRPr="007103E4" w:rsidRDefault="005A1DD5" w:rsidP="00C959EB">
            <w:pPr>
              <w:spacing w:after="120"/>
              <w:rPr>
                <w:rFonts w:ascii="Arial" w:hAnsi="Arial" w:cs="Arial"/>
                <w:sz w:val="20"/>
                <w:szCs w:val="20"/>
              </w:rPr>
            </w:pPr>
            <w:r>
              <w:rPr>
                <w:rFonts w:ascii="Arial" w:hAnsi="Arial" w:cs="Arial"/>
                <w:sz w:val="20"/>
                <w:szCs w:val="20"/>
              </w:rPr>
              <w:t>X</w:t>
            </w:r>
          </w:p>
        </w:tc>
      </w:tr>
      <w:tr w:rsidR="00C959EB" w:rsidRPr="00373ACB" w14:paraId="6F2C9771" w14:textId="77777777" w:rsidTr="00C959EB">
        <w:trPr>
          <w:trHeight w:val="397"/>
        </w:trPr>
        <w:tc>
          <w:tcPr>
            <w:tcW w:w="634" w:type="pct"/>
            <w:vAlign w:val="center"/>
          </w:tcPr>
          <w:p w14:paraId="2C9AD092" w14:textId="52FDBFE1" w:rsidR="00C959EB" w:rsidRPr="007103E4" w:rsidRDefault="00C959EB" w:rsidP="00C959EB">
            <w:pPr>
              <w:spacing w:after="120"/>
              <w:rPr>
                <w:rFonts w:ascii="Arial" w:hAnsi="Arial" w:cs="Arial"/>
                <w:sz w:val="20"/>
                <w:szCs w:val="20"/>
              </w:rPr>
            </w:pPr>
            <w:r>
              <w:rPr>
                <w:rFonts w:ascii="Arial" w:hAnsi="Arial" w:cs="Arial"/>
                <w:sz w:val="20"/>
                <w:szCs w:val="20"/>
              </w:rPr>
              <w:t>Private Study</w:t>
            </w:r>
          </w:p>
        </w:tc>
        <w:tc>
          <w:tcPr>
            <w:tcW w:w="854" w:type="pct"/>
            <w:vAlign w:val="center"/>
          </w:tcPr>
          <w:p w14:paraId="4A4035D3" w14:textId="43527450" w:rsidR="00C959EB" w:rsidRPr="007103E4" w:rsidRDefault="00C959EB" w:rsidP="00C959EB">
            <w:pPr>
              <w:spacing w:after="120"/>
              <w:rPr>
                <w:rFonts w:ascii="Arial" w:hAnsi="Arial" w:cs="Arial"/>
                <w:sz w:val="20"/>
                <w:szCs w:val="20"/>
              </w:rPr>
            </w:pPr>
          </w:p>
        </w:tc>
        <w:tc>
          <w:tcPr>
            <w:tcW w:w="293" w:type="pct"/>
            <w:vAlign w:val="center"/>
          </w:tcPr>
          <w:p w14:paraId="1C5DAFC1" w14:textId="3D0ACC3D"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12C3942" w14:textId="5322E95F"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89D7105" w14:textId="09C078AF"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3B0590B4" w14:textId="0BB2C1D0"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F8D1298" w14:textId="3500D1A9"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420F3CD1" w14:textId="7840AE84"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5D9CF178" w14:textId="15BCC25A"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68E876BC" w14:textId="4D6F05A9"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39200AF3" w14:textId="11AAFC52"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D50E166" w14:textId="1B6E9C53"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42E3C6B8" w14:textId="336EAE45"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89" w:type="pct"/>
            <w:vAlign w:val="center"/>
          </w:tcPr>
          <w:p w14:paraId="374B5151" w14:textId="42EB154C" w:rsidR="00C959EB" w:rsidRPr="007103E4" w:rsidRDefault="005A1DD5" w:rsidP="00C959EB">
            <w:pPr>
              <w:spacing w:after="120"/>
              <w:rPr>
                <w:rFonts w:ascii="Arial" w:hAnsi="Arial" w:cs="Arial"/>
                <w:sz w:val="20"/>
                <w:szCs w:val="20"/>
              </w:rPr>
            </w:pPr>
            <w:r>
              <w:rPr>
                <w:rFonts w:ascii="Arial" w:hAnsi="Arial" w:cs="Arial"/>
                <w:sz w:val="20"/>
                <w:szCs w:val="20"/>
              </w:rPr>
              <w:t>X</w:t>
            </w:r>
          </w:p>
        </w:tc>
      </w:tr>
      <w:tr w:rsidR="00C959EB" w:rsidRPr="00373ACB" w14:paraId="55DEE782" w14:textId="77777777" w:rsidTr="00C959EB">
        <w:trPr>
          <w:trHeight w:val="397"/>
        </w:trPr>
        <w:tc>
          <w:tcPr>
            <w:tcW w:w="634" w:type="pct"/>
            <w:shd w:val="clear" w:color="auto" w:fill="D9D9D9" w:themeFill="background1" w:themeFillShade="D9"/>
            <w:vAlign w:val="center"/>
          </w:tcPr>
          <w:p w14:paraId="1CBAC1B7" w14:textId="77777777" w:rsidR="00C959EB" w:rsidRPr="00373ACB" w:rsidRDefault="00C959EB" w:rsidP="00C959EB">
            <w:pPr>
              <w:spacing w:after="120"/>
              <w:rPr>
                <w:rFonts w:ascii="Arial" w:hAnsi="Arial" w:cs="Arial"/>
                <w:b/>
                <w:sz w:val="20"/>
                <w:szCs w:val="20"/>
              </w:rPr>
            </w:pPr>
            <w:r w:rsidRPr="00373ACB">
              <w:rPr>
                <w:rFonts w:ascii="Arial" w:hAnsi="Arial" w:cs="Arial"/>
                <w:b/>
                <w:sz w:val="20"/>
                <w:szCs w:val="20"/>
              </w:rPr>
              <w:t>Assessment method</w:t>
            </w:r>
          </w:p>
        </w:tc>
        <w:tc>
          <w:tcPr>
            <w:tcW w:w="854" w:type="pct"/>
            <w:shd w:val="clear" w:color="auto" w:fill="D9D9D9" w:themeFill="background1" w:themeFillShade="D9"/>
            <w:vAlign w:val="center"/>
          </w:tcPr>
          <w:p w14:paraId="43A6401A" w14:textId="77777777" w:rsidR="00C959EB" w:rsidRPr="007103E4" w:rsidRDefault="00C959EB" w:rsidP="00C959EB">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93" w:type="pct"/>
            <w:vAlign w:val="center"/>
          </w:tcPr>
          <w:p w14:paraId="5BF60F3E" w14:textId="77777777" w:rsidR="00C959EB" w:rsidRPr="007103E4" w:rsidRDefault="00C959EB" w:rsidP="00C959EB">
            <w:pPr>
              <w:spacing w:after="120"/>
              <w:rPr>
                <w:rFonts w:ascii="Arial" w:hAnsi="Arial" w:cs="Arial"/>
                <w:b/>
                <w:sz w:val="20"/>
                <w:szCs w:val="20"/>
              </w:rPr>
            </w:pPr>
          </w:p>
        </w:tc>
        <w:tc>
          <w:tcPr>
            <w:tcW w:w="293" w:type="pct"/>
            <w:vAlign w:val="center"/>
          </w:tcPr>
          <w:p w14:paraId="09B3A9A6" w14:textId="77777777" w:rsidR="00C959EB" w:rsidRPr="007103E4" w:rsidRDefault="00C959EB" w:rsidP="00C959EB">
            <w:pPr>
              <w:spacing w:after="120"/>
              <w:rPr>
                <w:rFonts w:ascii="Arial" w:hAnsi="Arial" w:cs="Arial"/>
                <w:b/>
                <w:sz w:val="20"/>
                <w:szCs w:val="20"/>
              </w:rPr>
            </w:pPr>
          </w:p>
        </w:tc>
        <w:tc>
          <w:tcPr>
            <w:tcW w:w="293" w:type="pct"/>
            <w:vAlign w:val="center"/>
          </w:tcPr>
          <w:p w14:paraId="4C7FFCE7" w14:textId="77777777" w:rsidR="00C959EB" w:rsidRPr="007103E4" w:rsidRDefault="00C959EB" w:rsidP="00C959EB">
            <w:pPr>
              <w:spacing w:after="120"/>
              <w:rPr>
                <w:rFonts w:ascii="Arial" w:hAnsi="Arial" w:cs="Arial"/>
                <w:b/>
                <w:sz w:val="20"/>
                <w:szCs w:val="20"/>
              </w:rPr>
            </w:pPr>
          </w:p>
        </w:tc>
        <w:tc>
          <w:tcPr>
            <w:tcW w:w="293" w:type="pct"/>
            <w:vAlign w:val="center"/>
          </w:tcPr>
          <w:p w14:paraId="6515FB37" w14:textId="77777777" w:rsidR="00C959EB" w:rsidRPr="007103E4" w:rsidRDefault="00C959EB" w:rsidP="00C959EB">
            <w:pPr>
              <w:spacing w:after="120"/>
              <w:rPr>
                <w:rFonts w:ascii="Arial" w:hAnsi="Arial" w:cs="Arial"/>
                <w:b/>
                <w:sz w:val="20"/>
                <w:szCs w:val="20"/>
              </w:rPr>
            </w:pPr>
          </w:p>
        </w:tc>
        <w:tc>
          <w:tcPr>
            <w:tcW w:w="293" w:type="pct"/>
            <w:vAlign w:val="center"/>
          </w:tcPr>
          <w:p w14:paraId="175349E5" w14:textId="77777777" w:rsidR="00C959EB" w:rsidRPr="007103E4" w:rsidRDefault="00C959EB" w:rsidP="00C959EB">
            <w:pPr>
              <w:spacing w:after="120"/>
              <w:rPr>
                <w:rFonts w:ascii="Arial" w:hAnsi="Arial" w:cs="Arial"/>
                <w:b/>
                <w:sz w:val="20"/>
                <w:szCs w:val="20"/>
              </w:rPr>
            </w:pPr>
          </w:p>
        </w:tc>
        <w:tc>
          <w:tcPr>
            <w:tcW w:w="293" w:type="pct"/>
            <w:vAlign w:val="center"/>
          </w:tcPr>
          <w:p w14:paraId="714692A8" w14:textId="77777777" w:rsidR="00C959EB" w:rsidRPr="007103E4" w:rsidRDefault="00C959EB" w:rsidP="00C959EB">
            <w:pPr>
              <w:spacing w:after="120"/>
              <w:rPr>
                <w:rFonts w:ascii="Arial" w:hAnsi="Arial" w:cs="Arial"/>
                <w:b/>
                <w:sz w:val="20"/>
                <w:szCs w:val="20"/>
              </w:rPr>
            </w:pPr>
          </w:p>
        </w:tc>
        <w:tc>
          <w:tcPr>
            <w:tcW w:w="293" w:type="pct"/>
            <w:vAlign w:val="center"/>
          </w:tcPr>
          <w:p w14:paraId="3B752746" w14:textId="77777777" w:rsidR="00C959EB" w:rsidRPr="007103E4" w:rsidRDefault="00C959EB" w:rsidP="00C959EB">
            <w:pPr>
              <w:spacing w:after="120"/>
              <w:rPr>
                <w:rFonts w:ascii="Arial" w:hAnsi="Arial" w:cs="Arial"/>
                <w:b/>
                <w:sz w:val="20"/>
                <w:szCs w:val="20"/>
              </w:rPr>
            </w:pPr>
          </w:p>
        </w:tc>
        <w:tc>
          <w:tcPr>
            <w:tcW w:w="293" w:type="pct"/>
            <w:vAlign w:val="center"/>
          </w:tcPr>
          <w:p w14:paraId="1870862B" w14:textId="77777777" w:rsidR="00C959EB" w:rsidRPr="007103E4" w:rsidRDefault="00C959EB" w:rsidP="00C959EB">
            <w:pPr>
              <w:spacing w:after="120"/>
              <w:rPr>
                <w:rFonts w:ascii="Arial" w:hAnsi="Arial" w:cs="Arial"/>
                <w:b/>
                <w:sz w:val="20"/>
                <w:szCs w:val="20"/>
              </w:rPr>
            </w:pPr>
          </w:p>
        </w:tc>
        <w:tc>
          <w:tcPr>
            <w:tcW w:w="293" w:type="pct"/>
            <w:vAlign w:val="center"/>
          </w:tcPr>
          <w:p w14:paraId="2FD7DC04" w14:textId="77777777" w:rsidR="00C959EB" w:rsidRPr="007103E4" w:rsidRDefault="00C959EB" w:rsidP="00C959EB">
            <w:pPr>
              <w:spacing w:after="120"/>
              <w:rPr>
                <w:rFonts w:ascii="Arial" w:hAnsi="Arial" w:cs="Arial"/>
                <w:b/>
                <w:sz w:val="20"/>
                <w:szCs w:val="20"/>
              </w:rPr>
            </w:pPr>
          </w:p>
        </w:tc>
        <w:tc>
          <w:tcPr>
            <w:tcW w:w="293" w:type="pct"/>
            <w:vAlign w:val="center"/>
          </w:tcPr>
          <w:p w14:paraId="0720485E" w14:textId="77777777" w:rsidR="00C959EB" w:rsidRPr="007103E4" w:rsidRDefault="00C959EB" w:rsidP="00C959EB">
            <w:pPr>
              <w:spacing w:after="120"/>
              <w:rPr>
                <w:rFonts w:ascii="Arial" w:hAnsi="Arial" w:cs="Arial"/>
                <w:b/>
                <w:sz w:val="20"/>
                <w:szCs w:val="20"/>
              </w:rPr>
            </w:pPr>
          </w:p>
        </w:tc>
        <w:tc>
          <w:tcPr>
            <w:tcW w:w="293" w:type="pct"/>
            <w:vAlign w:val="center"/>
          </w:tcPr>
          <w:p w14:paraId="7C84F97D" w14:textId="77777777" w:rsidR="00C959EB" w:rsidRPr="007103E4" w:rsidRDefault="00C959EB" w:rsidP="00C959EB">
            <w:pPr>
              <w:spacing w:after="120"/>
              <w:rPr>
                <w:rFonts w:ascii="Arial" w:hAnsi="Arial" w:cs="Arial"/>
                <w:b/>
                <w:sz w:val="20"/>
                <w:szCs w:val="20"/>
              </w:rPr>
            </w:pPr>
          </w:p>
        </w:tc>
        <w:tc>
          <w:tcPr>
            <w:tcW w:w="289" w:type="pct"/>
            <w:vAlign w:val="center"/>
          </w:tcPr>
          <w:p w14:paraId="14642B38" w14:textId="77777777" w:rsidR="00C959EB" w:rsidRPr="007103E4" w:rsidRDefault="00C959EB" w:rsidP="00C959EB">
            <w:pPr>
              <w:spacing w:after="120"/>
              <w:rPr>
                <w:rFonts w:ascii="Arial" w:hAnsi="Arial" w:cs="Arial"/>
                <w:b/>
                <w:sz w:val="20"/>
                <w:szCs w:val="20"/>
              </w:rPr>
            </w:pPr>
          </w:p>
        </w:tc>
      </w:tr>
      <w:tr w:rsidR="00C959EB" w:rsidRPr="00373ACB" w14:paraId="0355C6C4" w14:textId="77777777" w:rsidTr="00C959EB">
        <w:trPr>
          <w:trHeight w:val="397"/>
        </w:trPr>
        <w:tc>
          <w:tcPr>
            <w:tcW w:w="634" w:type="pct"/>
            <w:vAlign w:val="center"/>
          </w:tcPr>
          <w:p w14:paraId="63644875" w14:textId="02A3C9E2" w:rsidR="00C959EB" w:rsidRPr="00D71DF4" w:rsidRDefault="00C959EB" w:rsidP="00C959EB">
            <w:pPr>
              <w:spacing w:after="120"/>
              <w:rPr>
                <w:rFonts w:ascii="Arial" w:hAnsi="Arial" w:cs="Arial"/>
                <w:sz w:val="20"/>
                <w:szCs w:val="20"/>
              </w:rPr>
            </w:pPr>
            <w:r>
              <w:rPr>
                <w:rFonts w:ascii="Arial" w:hAnsi="Arial" w:cs="Arial"/>
                <w:sz w:val="20"/>
                <w:szCs w:val="20"/>
              </w:rPr>
              <w:t>Essay (50%)</w:t>
            </w:r>
          </w:p>
        </w:tc>
        <w:tc>
          <w:tcPr>
            <w:tcW w:w="854" w:type="pct"/>
            <w:vAlign w:val="center"/>
          </w:tcPr>
          <w:p w14:paraId="193C8F5E" w14:textId="1EEC3643" w:rsidR="00C959EB" w:rsidRPr="00D71DF4" w:rsidRDefault="00C959EB" w:rsidP="00C959EB">
            <w:pPr>
              <w:spacing w:after="120"/>
              <w:rPr>
                <w:rFonts w:ascii="Arial" w:hAnsi="Arial" w:cs="Arial"/>
                <w:sz w:val="20"/>
                <w:szCs w:val="20"/>
              </w:rPr>
            </w:pPr>
            <w:r>
              <w:rPr>
                <w:rFonts w:ascii="Arial" w:hAnsi="Arial" w:cs="Arial"/>
                <w:sz w:val="20"/>
                <w:szCs w:val="20"/>
              </w:rPr>
              <w:t>2</w:t>
            </w:r>
            <w:r w:rsidR="009379BE">
              <w:rPr>
                <w:rFonts w:ascii="Arial" w:hAnsi="Arial" w:cs="Arial"/>
                <w:sz w:val="20"/>
                <w:szCs w:val="20"/>
              </w:rPr>
              <w:t>,</w:t>
            </w:r>
            <w:r>
              <w:rPr>
                <w:rFonts w:ascii="Arial" w:hAnsi="Arial" w:cs="Arial"/>
                <w:sz w:val="20"/>
                <w:szCs w:val="20"/>
              </w:rPr>
              <w:t>000 words</w:t>
            </w:r>
          </w:p>
        </w:tc>
        <w:tc>
          <w:tcPr>
            <w:tcW w:w="293" w:type="pct"/>
            <w:vAlign w:val="center"/>
          </w:tcPr>
          <w:p w14:paraId="4354BAFA" w14:textId="163C382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495DAA5" w14:textId="5B8D5616"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3F1ACE8" w14:textId="18E16C9A"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9830645" w14:textId="608888FB"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2942B36" w14:textId="3815F75C"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94A5531" w14:textId="2082A19E"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3B2F07B" w14:textId="75BD85E2"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2C04138" w14:textId="3DAB6E5D"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492C1D0" w14:textId="49A1707E"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D220B8B" w14:textId="6ADB40A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E219D91" w14:textId="79C1D94A"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89" w:type="pct"/>
            <w:vAlign w:val="center"/>
          </w:tcPr>
          <w:p w14:paraId="3AA67923" w14:textId="297929E7" w:rsidR="00C959EB" w:rsidRPr="007103E4" w:rsidRDefault="005A1DD5" w:rsidP="00C959EB">
            <w:pPr>
              <w:spacing w:after="120"/>
              <w:rPr>
                <w:rFonts w:ascii="Arial" w:hAnsi="Arial" w:cs="Arial"/>
                <w:sz w:val="20"/>
                <w:szCs w:val="20"/>
              </w:rPr>
            </w:pPr>
            <w:r>
              <w:rPr>
                <w:rFonts w:ascii="Arial" w:hAnsi="Arial" w:cs="Arial"/>
                <w:sz w:val="20"/>
                <w:szCs w:val="20"/>
              </w:rPr>
              <w:t>X</w:t>
            </w:r>
          </w:p>
        </w:tc>
      </w:tr>
      <w:tr w:rsidR="00C959EB" w:rsidRPr="00373ACB" w14:paraId="69299BB2" w14:textId="77777777" w:rsidTr="00C959EB">
        <w:trPr>
          <w:trHeight w:val="397"/>
        </w:trPr>
        <w:tc>
          <w:tcPr>
            <w:tcW w:w="634" w:type="pct"/>
            <w:vAlign w:val="center"/>
          </w:tcPr>
          <w:p w14:paraId="0CB6FD3C" w14:textId="5B66085C" w:rsidR="00C959EB" w:rsidRPr="00D71DF4" w:rsidRDefault="00C959EB" w:rsidP="00C959EB">
            <w:pPr>
              <w:spacing w:after="120"/>
              <w:rPr>
                <w:rFonts w:ascii="Arial" w:hAnsi="Arial" w:cs="Arial"/>
                <w:sz w:val="20"/>
                <w:szCs w:val="20"/>
              </w:rPr>
            </w:pPr>
            <w:r>
              <w:rPr>
                <w:rFonts w:ascii="Arial" w:hAnsi="Arial" w:cs="Arial"/>
                <w:sz w:val="20"/>
                <w:szCs w:val="20"/>
              </w:rPr>
              <w:t>Essay (50%)</w:t>
            </w:r>
          </w:p>
        </w:tc>
        <w:tc>
          <w:tcPr>
            <w:tcW w:w="854" w:type="pct"/>
            <w:vAlign w:val="center"/>
          </w:tcPr>
          <w:p w14:paraId="631DAAD4" w14:textId="496EB807" w:rsidR="00C959EB" w:rsidRPr="00D71DF4" w:rsidRDefault="00C959EB" w:rsidP="002448AF">
            <w:pPr>
              <w:spacing w:after="120"/>
              <w:rPr>
                <w:rFonts w:ascii="Arial" w:hAnsi="Arial" w:cs="Arial"/>
                <w:sz w:val="20"/>
                <w:szCs w:val="20"/>
              </w:rPr>
            </w:pPr>
            <w:r w:rsidRPr="000825AE">
              <w:rPr>
                <w:rFonts w:ascii="Arial" w:hAnsi="Arial" w:cs="Arial"/>
                <w:sz w:val="20"/>
                <w:szCs w:val="20"/>
              </w:rPr>
              <w:t>2</w:t>
            </w:r>
            <w:r w:rsidR="009379BE" w:rsidRPr="000825AE">
              <w:rPr>
                <w:rFonts w:ascii="Arial" w:hAnsi="Arial" w:cs="Arial"/>
                <w:sz w:val="20"/>
                <w:szCs w:val="20"/>
              </w:rPr>
              <w:t>,</w:t>
            </w:r>
            <w:r w:rsidR="002448AF" w:rsidRPr="000825AE">
              <w:rPr>
                <w:rFonts w:ascii="Arial" w:hAnsi="Arial" w:cs="Arial"/>
                <w:sz w:val="20"/>
                <w:szCs w:val="20"/>
              </w:rPr>
              <w:t>0</w:t>
            </w:r>
            <w:r w:rsidRPr="000825AE">
              <w:rPr>
                <w:rFonts w:ascii="Arial" w:hAnsi="Arial" w:cs="Arial"/>
                <w:sz w:val="20"/>
                <w:szCs w:val="20"/>
              </w:rPr>
              <w:t>00</w:t>
            </w:r>
            <w:r>
              <w:rPr>
                <w:rFonts w:ascii="Arial" w:hAnsi="Arial" w:cs="Arial"/>
                <w:sz w:val="20"/>
                <w:szCs w:val="20"/>
              </w:rPr>
              <w:t xml:space="preserve"> words</w:t>
            </w:r>
          </w:p>
        </w:tc>
        <w:tc>
          <w:tcPr>
            <w:tcW w:w="293" w:type="pct"/>
            <w:vAlign w:val="center"/>
          </w:tcPr>
          <w:p w14:paraId="042F8486" w14:textId="7681C527"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DFBC5AC" w14:textId="7EB372AF"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EDB2BC8" w14:textId="5B2BCAD8"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292B5865" w14:textId="44CDA70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7EEAF221" w14:textId="0696B8F1"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657DB38" w14:textId="3E40E93B"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4381B74E" w14:textId="3C4CF376"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6261FB82" w14:textId="74AB4E5F"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63FA91B3" w14:textId="746CE2D2"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1EB47A50" w14:textId="5A6591BD"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93" w:type="pct"/>
            <w:vAlign w:val="center"/>
          </w:tcPr>
          <w:p w14:paraId="0CC51353" w14:textId="5C61037A" w:rsidR="00C959EB" w:rsidRPr="007103E4" w:rsidRDefault="005A1DD5" w:rsidP="00C959EB">
            <w:pPr>
              <w:spacing w:after="120"/>
              <w:rPr>
                <w:rFonts w:ascii="Arial" w:hAnsi="Arial" w:cs="Arial"/>
                <w:sz w:val="20"/>
                <w:szCs w:val="20"/>
              </w:rPr>
            </w:pPr>
            <w:r>
              <w:rPr>
                <w:rFonts w:ascii="Arial" w:hAnsi="Arial" w:cs="Arial"/>
                <w:sz w:val="20"/>
                <w:szCs w:val="20"/>
              </w:rPr>
              <w:t>X</w:t>
            </w:r>
          </w:p>
        </w:tc>
        <w:tc>
          <w:tcPr>
            <w:tcW w:w="289" w:type="pct"/>
            <w:vAlign w:val="center"/>
          </w:tcPr>
          <w:p w14:paraId="7F831CD5" w14:textId="64FA425E" w:rsidR="00C959EB" w:rsidRPr="007103E4" w:rsidRDefault="005A1DD5" w:rsidP="00C959EB">
            <w:pPr>
              <w:spacing w:after="120"/>
              <w:rPr>
                <w:rFonts w:ascii="Arial" w:hAnsi="Arial" w:cs="Arial"/>
                <w:sz w:val="20"/>
                <w:szCs w:val="20"/>
              </w:rPr>
            </w:pPr>
            <w:r>
              <w:rPr>
                <w:rFonts w:ascii="Arial" w:hAnsi="Arial" w:cs="Arial"/>
                <w:sz w:val="20"/>
                <w:szCs w:val="20"/>
              </w:rPr>
              <w:t>X</w:t>
            </w:r>
          </w:p>
        </w:tc>
      </w:tr>
    </w:tbl>
    <w:p w14:paraId="1E9415A5" w14:textId="77777777" w:rsidR="007A6245" w:rsidRPr="00373ACB" w:rsidRDefault="007A6245" w:rsidP="0066061A">
      <w:pPr>
        <w:spacing w:after="120" w:line="240" w:lineRule="auto"/>
        <w:ind w:left="426" w:right="260"/>
        <w:rPr>
          <w:rFonts w:ascii="Arial" w:hAnsi="Arial" w:cs="Arial"/>
          <w:b/>
          <w:iCs/>
          <w:sz w:val="20"/>
          <w:szCs w:val="20"/>
        </w:rPr>
      </w:pPr>
    </w:p>
    <w:p w14:paraId="320F135B"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07664C09"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7A7FB96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0F90C49"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D5916A0"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DC5C441"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706BA12"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81D10D0" w14:textId="77777777"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3E1AF852"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2BB525D3" w14:textId="14A1C4A3"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AB0936">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5F78E6C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C3ADD1A"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394102BE" w14:textId="77777777" w:rsidR="00DF2132" w:rsidRDefault="00DF2132" w:rsidP="0066061A">
      <w:pPr>
        <w:spacing w:after="120" w:line="240" w:lineRule="auto"/>
        <w:ind w:left="426" w:right="260"/>
        <w:rPr>
          <w:rFonts w:ascii="Arial" w:hAnsi="Arial" w:cs="Arial"/>
          <w:iCs/>
          <w:sz w:val="20"/>
          <w:szCs w:val="20"/>
        </w:rPr>
      </w:pPr>
    </w:p>
    <w:p w14:paraId="0E12F3C4"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81E5749" w14:textId="633DE703" w:rsidR="00DF2132" w:rsidRPr="00DF2132" w:rsidRDefault="008A7978" w:rsidP="00C959EB">
      <w:pPr>
        <w:spacing w:after="120" w:line="240" w:lineRule="auto"/>
        <w:ind w:left="426" w:right="260"/>
        <w:jc w:val="both"/>
        <w:rPr>
          <w:rFonts w:ascii="Arial" w:hAnsi="Arial" w:cs="Arial"/>
          <w:sz w:val="20"/>
          <w:szCs w:val="20"/>
        </w:rPr>
      </w:pPr>
      <w:r>
        <w:rPr>
          <w:rFonts w:ascii="Arial" w:hAnsi="Arial" w:cs="Arial"/>
          <w:sz w:val="20"/>
          <w:szCs w:val="20"/>
        </w:rPr>
        <w:lastRenderedPageBreak/>
        <w:t>Comparative</w:t>
      </w:r>
      <w:r w:rsidR="00607497" w:rsidRPr="00607497">
        <w:rPr>
          <w:rFonts w:ascii="Arial" w:hAnsi="Arial" w:cs="Arial"/>
          <w:sz w:val="20"/>
          <w:szCs w:val="20"/>
        </w:rPr>
        <w:t xml:space="preserve"> explor</w:t>
      </w:r>
      <w:r>
        <w:rPr>
          <w:rFonts w:ascii="Arial" w:hAnsi="Arial" w:cs="Arial"/>
          <w:sz w:val="20"/>
          <w:szCs w:val="20"/>
        </w:rPr>
        <w:t>ation of</w:t>
      </w:r>
      <w:r w:rsidR="00607497" w:rsidRPr="00607497">
        <w:rPr>
          <w:rFonts w:ascii="Arial" w:hAnsi="Arial" w:cs="Arial"/>
          <w:sz w:val="20"/>
          <w:szCs w:val="20"/>
        </w:rPr>
        <w:t xml:space="preserve"> aspects of civil dispute processing is certainly a feature of the module, and its flexible, responsive nature.</w:t>
      </w:r>
      <w:r>
        <w:rPr>
          <w:rFonts w:ascii="Arial" w:hAnsi="Arial" w:cs="Arial"/>
          <w:sz w:val="20"/>
          <w:szCs w:val="20"/>
        </w:rPr>
        <w:t xml:space="preserve"> </w:t>
      </w:r>
      <w:r w:rsidR="006D7DDF">
        <w:rPr>
          <w:rFonts w:ascii="Arial" w:hAnsi="Arial" w:cs="Arial"/>
          <w:sz w:val="20"/>
          <w:szCs w:val="20"/>
        </w:rPr>
        <w:t>As examples, t</w:t>
      </w:r>
      <w:r>
        <w:rPr>
          <w:rFonts w:ascii="Arial" w:hAnsi="Arial" w:cs="Arial"/>
          <w:sz w:val="20"/>
          <w:szCs w:val="20"/>
        </w:rPr>
        <w:t>his exploration can include examination of the development of ‘Online Courts’ such as</w:t>
      </w:r>
      <w:r w:rsidR="00607497" w:rsidRPr="00607497">
        <w:rPr>
          <w:rFonts w:ascii="Arial" w:hAnsi="Arial" w:cs="Arial"/>
          <w:sz w:val="20"/>
          <w:szCs w:val="20"/>
        </w:rPr>
        <w:t xml:space="preserve"> </w:t>
      </w:r>
      <w:r>
        <w:rPr>
          <w:rFonts w:ascii="Arial" w:hAnsi="Arial" w:cs="Arial"/>
          <w:sz w:val="20"/>
          <w:szCs w:val="20"/>
        </w:rPr>
        <w:t>the</w:t>
      </w:r>
      <w:r w:rsidR="00607497" w:rsidRPr="00607497">
        <w:rPr>
          <w:rFonts w:ascii="Arial" w:hAnsi="Arial" w:cs="Arial"/>
          <w:sz w:val="20"/>
          <w:szCs w:val="20"/>
        </w:rPr>
        <w:t xml:space="preserve"> online tribunal service currently embedding in British Columbia, which is the model upon which the Online Court (recommended by the </w:t>
      </w:r>
      <w:r>
        <w:rPr>
          <w:rFonts w:ascii="Arial" w:hAnsi="Arial" w:cs="Arial"/>
          <w:sz w:val="20"/>
          <w:szCs w:val="20"/>
        </w:rPr>
        <w:t xml:space="preserve">Briggs review) is being based. </w:t>
      </w:r>
      <w:r w:rsidR="00607497" w:rsidRPr="00607497">
        <w:rPr>
          <w:rFonts w:ascii="Arial" w:hAnsi="Arial" w:cs="Arial"/>
          <w:sz w:val="20"/>
          <w:szCs w:val="20"/>
        </w:rPr>
        <w:t>Additionally, since the US, Canada and Australia are much more advanced in their application of alternative dispute processing in their res</w:t>
      </w:r>
      <w:r>
        <w:rPr>
          <w:rFonts w:ascii="Arial" w:hAnsi="Arial" w:cs="Arial"/>
          <w:sz w:val="20"/>
          <w:szCs w:val="20"/>
        </w:rPr>
        <w:t xml:space="preserve">pective civil justice systems, comparative exploration is often with </w:t>
      </w:r>
      <w:r w:rsidR="00607497" w:rsidRPr="00607497">
        <w:rPr>
          <w:rFonts w:ascii="Arial" w:hAnsi="Arial" w:cs="Arial"/>
          <w:sz w:val="20"/>
          <w:szCs w:val="20"/>
        </w:rPr>
        <w:t>reference to notable authors from overseas</w:t>
      </w:r>
      <w:r>
        <w:rPr>
          <w:rFonts w:ascii="Arial" w:hAnsi="Arial" w:cs="Arial"/>
          <w:sz w:val="20"/>
          <w:szCs w:val="20"/>
        </w:rPr>
        <w:t xml:space="preserve"> and inclusion</w:t>
      </w:r>
      <w:r w:rsidR="00607497" w:rsidRPr="00607497">
        <w:rPr>
          <w:rFonts w:ascii="Arial" w:hAnsi="Arial" w:cs="Arial"/>
          <w:sz w:val="20"/>
          <w:szCs w:val="20"/>
        </w:rPr>
        <w:t xml:space="preserve"> their work in the module's materials pack (see</w:t>
      </w:r>
      <w:r>
        <w:rPr>
          <w:rFonts w:ascii="Arial" w:hAnsi="Arial" w:cs="Arial"/>
          <w:sz w:val="20"/>
          <w:szCs w:val="20"/>
        </w:rPr>
        <w:t>, for example,</w:t>
      </w:r>
      <w:r w:rsidR="00607497" w:rsidRPr="00607497">
        <w:rPr>
          <w:rFonts w:ascii="Arial" w:hAnsi="Arial" w:cs="Arial"/>
          <w:sz w:val="20"/>
          <w:szCs w:val="20"/>
        </w:rPr>
        <w:t xml:space="preserve"> Reading 1, 2018: 'Living the dream of ADR: reflections on four decades of the quiet revolution in dispute resolution', Thomas Stipanowich, discussing the administration of American justice since the 1976 Pound Conference).</w:t>
      </w:r>
      <w:r w:rsidR="00DF2132" w:rsidRPr="00DF2132">
        <w:rPr>
          <w:rFonts w:ascii="Arial" w:hAnsi="Arial" w:cs="Arial"/>
          <w:sz w:val="20"/>
          <w:szCs w:val="20"/>
        </w:rPr>
        <w:t xml:space="preserve"> </w:t>
      </w:r>
    </w:p>
    <w:p w14:paraId="0F073E06" w14:textId="77777777" w:rsidR="00DF2132" w:rsidRPr="00373ACB" w:rsidRDefault="00DF2132" w:rsidP="0066061A">
      <w:pPr>
        <w:spacing w:after="120" w:line="240" w:lineRule="auto"/>
        <w:ind w:left="426" w:right="260"/>
        <w:rPr>
          <w:rFonts w:ascii="Arial" w:hAnsi="Arial" w:cs="Arial"/>
          <w:iCs/>
          <w:sz w:val="20"/>
          <w:szCs w:val="20"/>
        </w:rPr>
      </w:pPr>
    </w:p>
    <w:p w14:paraId="6DA2DAD0" w14:textId="77777777" w:rsidR="00AB0936" w:rsidRDefault="00AB0936" w:rsidP="00AB0936">
      <w:pPr>
        <w:spacing w:line="240" w:lineRule="auto"/>
        <w:rPr>
          <w:rFonts w:ascii="Arial" w:hAnsi="Arial" w:cs="Arial"/>
          <w:sz w:val="20"/>
          <w:szCs w:val="20"/>
        </w:rPr>
      </w:pPr>
    </w:p>
    <w:p w14:paraId="1C2CE27B" w14:textId="77777777" w:rsidR="00AB0936" w:rsidRDefault="00AB0936" w:rsidP="00AB0936">
      <w:pPr>
        <w:spacing w:line="240" w:lineRule="auto"/>
        <w:rPr>
          <w:rFonts w:ascii="Arial" w:hAnsi="Arial" w:cs="Arial"/>
          <w:sz w:val="20"/>
          <w:szCs w:val="20"/>
        </w:rPr>
      </w:pPr>
    </w:p>
    <w:p w14:paraId="6EDFF7EC" w14:textId="77777777" w:rsidR="00AB0936" w:rsidRDefault="00AB0936" w:rsidP="00AB0936">
      <w:pPr>
        <w:spacing w:line="240" w:lineRule="auto"/>
        <w:rPr>
          <w:rFonts w:ascii="Arial" w:hAnsi="Arial" w:cs="Arial"/>
          <w:sz w:val="20"/>
          <w:szCs w:val="20"/>
        </w:rPr>
      </w:pPr>
    </w:p>
    <w:p w14:paraId="2F452F5B" w14:textId="77777777" w:rsidR="00AB0936" w:rsidRDefault="00AB0936" w:rsidP="00AB0936">
      <w:pPr>
        <w:spacing w:line="240" w:lineRule="auto"/>
        <w:rPr>
          <w:rFonts w:ascii="Arial" w:hAnsi="Arial" w:cs="Arial"/>
          <w:sz w:val="20"/>
          <w:szCs w:val="20"/>
        </w:rPr>
      </w:pPr>
    </w:p>
    <w:p w14:paraId="5DB4E582" w14:textId="2B3305D5" w:rsidR="00441E76" w:rsidRPr="00037803" w:rsidRDefault="00422B69" w:rsidP="00037803">
      <w:pPr>
        <w:rPr>
          <w:rFonts w:ascii="Arial" w:hAnsi="Arial" w:cs="Arial"/>
          <w:b/>
          <w:sz w:val="20"/>
          <w:szCs w:val="20"/>
        </w:rPr>
      </w:pPr>
      <w:bookmarkStart w:id="0" w:name="_GoBack"/>
      <w:bookmarkEnd w:id="0"/>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FD59BF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CC661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3199CF91" w14:textId="77777777" w:rsidTr="00AB06B0">
        <w:trPr>
          <w:trHeight w:val="317"/>
        </w:trPr>
        <w:tc>
          <w:tcPr>
            <w:tcW w:w="744" w:type="pct"/>
          </w:tcPr>
          <w:p w14:paraId="7C7525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352A5CE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353A154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104E3F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24E99F8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C440C93" w14:textId="77777777" w:rsidTr="00AB06B0">
        <w:trPr>
          <w:trHeight w:val="305"/>
        </w:trPr>
        <w:tc>
          <w:tcPr>
            <w:tcW w:w="744" w:type="pct"/>
          </w:tcPr>
          <w:p w14:paraId="74BCB920" w14:textId="1897317E" w:rsidR="00422B69" w:rsidRPr="00373ACB" w:rsidRDefault="00037803"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0716FD76" w14:textId="7B525E20" w:rsidR="00422B69" w:rsidRPr="00373ACB" w:rsidRDefault="00037803"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18063CA9" w14:textId="21F1EA09" w:rsidR="00422B69" w:rsidRPr="00373ACB" w:rsidRDefault="00037803"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4251D9FD" w14:textId="58AC3136" w:rsidR="00422B69" w:rsidRPr="00373ACB" w:rsidRDefault="00037803"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59249A65" w14:textId="60E8CB91" w:rsidR="00422B69" w:rsidRPr="00373ACB" w:rsidRDefault="0003780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F0DA8D6" w14:textId="77777777" w:rsidTr="00AB06B0">
        <w:trPr>
          <w:trHeight w:val="305"/>
        </w:trPr>
        <w:tc>
          <w:tcPr>
            <w:tcW w:w="744" w:type="pct"/>
          </w:tcPr>
          <w:p w14:paraId="09A35539" w14:textId="77777777" w:rsidR="00422B69" w:rsidRPr="00373ACB" w:rsidRDefault="00422B69" w:rsidP="0066061A">
            <w:pPr>
              <w:spacing w:after="120"/>
              <w:ind w:right="-330"/>
              <w:rPr>
                <w:rFonts w:ascii="Arial" w:hAnsi="Arial" w:cs="Arial"/>
                <w:sz w:val="20"/>
                <w:szCs w:val="20"/>
              </w:rPr>
            </w:pPr>
          </w:p>
        </w:tc>
        <w:tc>
          <w:tcPr>
            <w:tcW w:w="675" w:type="pct"/>
          </w:tcPr>
          <w:p w14:paraId="5A091BE2" w14:textId="77777777" w:rsidR="00422B69" w:rsidRPr="00373ACB" w:rsidRDefault="00422B69" w:rsidP="0066061A">
            <w:pPr>
              <w:spacing w:after="120"/>
              <w:ind w:right="-330"/>
              <w:rPr>
                <w:rFonts w:ascii="Arial" w:hAnsi="Arial" w:cs="Arial"/>
                <w:sz w:val="20"/>
                <w:szCs w:val="20"/>
              </w:rPr>
            </w:pPr>
          </w:p>
        </w:tc>
        <w:tc>
          <w:tcPr>
            <w:tcW w:w="1116" w:type="pct"/>
          </w:tcPr>
          <w:p w14:paraId="2A7FA570" w14:textId="77777777" w:rsidR="00422B69" w:rsidRPr="00373ACB" w:rsidRDefault="00422B69" w:rsidP="0066061A">
            <w:pPr>
              <w:spacing w:after="120"/>
              <w:ind w:right="-330"/>
              <w:rPr>
                <w:rFonts w:ascii="Arial" w:hAnsi="Arial" w:cs="Arial"/>
                <w:sz w:val="20"/>
                <w:szCs w:val="20"/>
              </w:rPr>
            </w:pPr>
          </w:p>
        </w:tc>
        <w:tc>
          <w:tcPr>
            <w:tcW w:w="1267" w:type="pct"/>
          </w:tcPr>
          <w:p w14:paraId="7DFA8895" w14:textId="77777777" w:rsidR="00422B69" w:rsidRPr="00373ACB" w:rsidRDefault="00422B69" w:rsidP="0066061A">
            <w:pPr>
              <w:spacing w:after="120"/>
              <w:ind w:right="-330"/>
              <w:rPr>
                <w:rFonts w:ascii="Arial" w:hAnsi="Arial" w:cs="Arial"/>
                <w:sz w:val="20"/>
                <w:szCs w:val="20"/>
              </w:rPr>
            </w:pPr>
          </w:p>
        </w:tc>
        <w:tc>
          <w:tcPr>
            <w:tcW w:w="1198" w:type="pct"/>
          </w:tcPr>
          <w:p w14:paraId="0F56C69A" w14:textId="77777777" w:rsidR="00422B69" w:rsidRPr="00373ACB" w:rsidRDefault="00422B69" w:rsidP="0066061A">
            <w:pPr>
              <w:spacing w:after="120"/>
              <w:ind w:right="-330"/>
              <w:rPr>
                <w:rFonts w:ascii="Arial" w:hAnsi="Arial" w:cs="Arial"/>
                <w:sz w:val="20"/>
                <w:szCs w:val="20"/>
              </w:rPr>
            </w:pPr>
          </w:p>
        </w:tc>
      </w:tr>
    </w:tbl>
    <w:p w14:paraId="1A12D7A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81588" w14:textId="77777777" w:rsidR="00D83537" w:rsidRDefault="00D83537" w:rsidP="009A2D37">
      <w:pPr>
        <w:spacing w:after="0" w:line="240" w:lineRule="auto"/>
      </w:pPr>
      <w:r>
        <w:separator/>
      </w:r>
    </w:p>
  </w:endnote>
  <w:endnote w:type="continuationSeparator" w:id="0">
    <w:p w14:paraId="6463253F" w14:textId="77777777" w:rsidR="00D83537" w:rsidRDefault="00D83537" w:rsidP="009A2D37">
      <w:pPr>
        <w:spacing w:after="0" w:line="240" w:lineRule="auto"/>
      </w:pPr>
      <w:r>
        <w:continuationSeparator/>
      </w:r>
    </w:p>
  </w:endnote>
  <w:endnote w:type="continuationNotice" w:id="1">
    <w:p w14:paraId="61DC5AE4" w14:textId="77777777" w:rsidR="00D83537" w:rsidRDefault="00D83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147199"/>
      <w:docPartObj>
        <w:docPartGallery w:val="Page Numbers (Bottom of Page)"/>
        <w:docPartUnique/>
      </w:docPartObj>
    </w:sdtPr>
    <w:sdtEndPr/>
    <w:sdtContent>
      <w:p w14:paraId="6EC2A14C" w14:textId="1365459D" w:rsidR="008B2543" w:rsidRDefault="0019787E" w:rsidP="009A2D37">
        <w:pPr>
          <w:pStyle w:val="Footer"/>
          <w:jc w:val="center"/>
        </w:pPr>
        <w:r>
          <w:fldChar w:fldCharType="begin"/>
        </w:r>
        <w:r>
          <w:instrText xml:space="preserve"> PAGE   \* MERGEFORMAT </w:instrText>
        </w:r>
        <w:r>
          <w:fldChar w:fldCharType="separate"/>
        </w:r>
        <w:r w:rsidR="00037803">
          <w:rPr>
            <w:noProof/>
          </w:rPr>
          <w:t>2</w:t>
        </w:r>
        <w:r>
          <w:rPr>
            <w:noProof/>
          </w:rPr>
          <w:fldChar w:fldCharType="end"/>
        </w:r>
      </w:p>
    </w:sdtContent>
  </w:sdt>
  <w:p w14:paraId="3BB2CF5B" w14:textId="77777777" w:rsidR="008B2543" w:rsidRPr="007B7724" w:rsidRDefault="00D83537" w:rsidP="00971465">
    <w:pPr>
      <w:pStyle w:val="Footer"/>
      <w:spacing w:after="120"/>
      <w:ind w:right="-330"/>
      <w:jc w:val="center"/>
      <w:rPr>
        <w:rFonts w:ascii="Arial" w:hAnsi="Arial"/>
        <w:sz w:val="18"/>
      </w:rPr>
    </w:pPr>
    <w:r>
      <w:rPr>
        <w:rFonts w:ascii="Arial" w:hAnsi="Arial"/>
        <w:sz w:val="18"/>
      </w:rPr>
      <w:t>Alternate Dispute Resolution: Theory and Practice</w:t>
    </w:r>
    <w:r w:rsidR="00971465">
      <w:rPr>
        <w:rFonts w:ascii="Arial" w:hAnsi="Arial"/>
        <w:sz w:val="18"/>
      </w:rPr>
      <w:t xml:space="preserve"> (L</w:t>
    </w:r>
    <w:r w:rsidR="00971465" w:rsidRPr="00D83537">
      <w:rPr>
        <w:rFonts w:ascii="Arial" w:hAnsi="Arial"/>
        <w:sz w:val="18"/>
      </w:rPr>
      <w:t>W</w:t>
    </w:r>
    <w:r w:rsidRPr="00D83537">
      <w:rPr>
        <w:rFonts w:ascii="Arial" w:hAnsi="Arial"/>
        <w:sz w:val="18"/>
      </w:rPr>
      <w:t>626</w:t>
    </w:r>
    <w:r w:rsidR="00971465">
      <w:rPr>
        <w:rFonts w:ascii="Arial" w:hAnsi="Arial"/>
        <w:sz w:val="18"/>
      </w:rPr>
      <w:t xml:space="preserve">) - </w:t>
    </w:r>
    <w:r w:rsidR="008B2543">
      <w:rPr>
        <w:rFonts w:ascii="Arial" w:hAnsi="Arial"/>
        <w:sz w:val="18"/>
      </w:rPr>
      <w:t>(</w:t>
    </w:r>
    <w:r w:rsidR="00971465">
      <w:rPr>
        <w:rFonts w:ascii="Arial" w:hAnsi="Arial"/>
        <w:sz w:val="18"/>
      </w:rPr>
      <w:t>Sept. 201</w:t>
    </w:r>
    <w:r w:rsidRPr="00D83537">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86EB" w14:textId="77777777" w:rsidR="00D83537" w:rsidRDefault="00D83537" w:rsidP="009A2D37">
      <w:pPr>
        <w:spacing w:after="0" w:line="240" w:lineRule="auto"/>
      </w:pPr>
      <w:r>
        <w:separator/>
      </w:r>
    </w:p>
  </w:footnote>
  <w:footnote w:type="continuationSeparator" w:id="0">
    <w:p w14:paraId="48239E06" w14:textId="77777777" w:rsidR="00D83537" w:rsidRDefault="00D83537" w:rsidP="009A2D37">
      <w:pPr>
        <w:spacing w:after="0" w:line="240" w:lineRule="auto"/>
      </w:pPr>
      <w:r>
        <w:continuationSeparator/>
      </w:r>
    </w:p>
  </w:footnote>
  <w:footnote w:type="continuationNotice" w:id="1">
    <w:p w14:paraId="4A7CE73F" w14:textId="77777777" w:rsidR="00D83537" w:rsidRDefault="00D835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39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ED9E61" wp14:editId="4FE1EBB2">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16B48C" w14:textId="77777777" w:rsidR="008B2543" w:rsidRPr="008C00F8" w:rsidRDefault="008B2543" w:rsidP="005E6D38">
    <w:pPr>
      <w:pStyle w:val="Heading1"/>
      <w:spacing w:before="60" w:after="60"/>
      <w:rPr>
        <w:rFonts w:ascii="Arial" w:hAnsi="Arial" w:cs="Arial"/>
      </w:rPr>
    </w:pPr>
  </w:p>
  <w:p w14:paraId="2319097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FF68" w14:textId="3BCFE33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1BDA44" wp14:editId="2C912AEF">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D5F43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B48D1"/>
    <w:multiLevelType w:val="hybridMultilevel"/>
    <w:tmpl w:val="67C42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oNotTrackFormatting/>
  <w:documentProtection w:edit="trackedChange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37"/>
    <w:rsid w:val="00000C8C"/>
    <w:rsid w:val="000017F2"/>
    <w:rsid w:val="00002762"/>
    <w:rsid w:val="00005661"/>
    <w:rsid w:val="00010A16"/>
    <w:rsid w:val="0001243F"/>
    <w:rsid w:val="00021EA0"/>
    <w:rsid w:val="00025992"/>
    <w:rsid w:val="00027937"/>
    <w:rsid w:val="00030C9E"/>
    <w:rsid w:val="00031CAD"/>
    <w:rsid w:val="00031E67"/>
    <w:rsid w:val="00037803"/>
    <w:rsid w:val="000408CC"/>
    <w:rsid w:val="00045373"/>
    <w:rsid w:val="00063A2F"/>
    <w:rsid w:val="000678D3"/>
    <w:rsid w:val="0007557C"/>
    <w:rsid w:val="00081B27"/>
    <w:rsid w:val="000825AE"/>
    <w:rsid w:val="00094810"/>
    <w:rsid w:val="000B2678"/>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6E0"/>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48AF"/>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8DC"/>
    <w:rsid w:val="003F5A04"/>
    <w:rsid w:val="003F67CD"/>
    <w:rsid w:val="00402ED7"/>
    <w:rsid w:val="004064DA"/>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3E37"/>
    <w:rsid w:val="00513689"/>
    <w:rsid w:val="0051375A"/>
    <w:rsid w:val="00515E20"/>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1DD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2EC0"/>
    <w:rsid w:val="006050CF"/>
    <w:rsid w:val="00607497"/>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3C68"/>
    <w:rsid w:val="006C423D"/>
    <w:rsid w:val="006C46EF"/>
    <w:rsid w:val="006C4C67"/>
    <w:rsid w:val="006D41AB"/>
    <w:rsid w:val="006D444F"/>
    <w:rsid w:val="006D7DD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A7978"/>
    <w:rsid w:val="008B2543"/>
    <w:rsid w:val="008B4B6E"/>
    <w:rsid w:val="008D7401"/>
    <w:rsid w:val="008F5F62"/>
    <w:rsid w:val="00903DF6"/>
    <w:rsid w:val="00921CF6"/>
    <w:rsid w:val="009246F0"/>
    <w:rsid w:val="00924EF0"/>
    <w:rsid w:val="00934D7B"/>
    <w:rsid w:val="009379BE"/>
    <w:rsid w:val="00947180"/>
    <w:rsid w:val="009567BE"/>
    <w:rsid w:val="009676FA"/>
    <w:rsid w:val="009679E0"/>
    <w:rsid w:val="00971465"/>
    <w:rsid w:val="00977632"/>
    <w:rsid w:val="00982A8E"/>
    <w:rsid w:val="00987DB4"/>
    <w:rsid w:val="00995BD2"/>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06B0"/>
    <w:rsid w:val="00AB0936"/>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959EB"/>
    <w:rsid w:val="00CA3254"/>
    <w:rsid w:val="00CB11CE"/>
    <w:rsid w:val="00CC25A2"/>
    <w:rsid w:val="00CD7F07"/>
    <w:rsid w:val="00CE04F3"/>
    <w:rsid w:val="00CE12D8"/>
    <w:rsid w:val="00CE4574"/>
    <w:rsid w:val="00CE70E6"/>
    <w:rsid w:val="00CE725A"/>
    <w:rsid w:val="00CF2E1E"/>
    <w:rsid w:val="00D02E99"/>
    <w:rsid w:val="00D10E6A"/>
    <w:rsid w:val="00D13357"/>
    <w:rsid w:val="00D13A13"/>
    <w:rsid w:val="00D2689A"/>
    <w:rsid w:val="00D65506"/>
    <w:rsid w:val="00D71DF4"/>
    <w:rsid w:val="00D773CF"/>
    <w:rsid w:val="00D83537"/>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28E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FB8D4"/>
  <w15:docId w15:val="{07E05820-0D8D-4B4E-9941-087944EB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nhideWhenUsed/>
    <w:rsid w:val="006A6BB4"/>
    <w:rPr>
      <w:sz w:val="16"/>
      <w:szCs w:val="16"/>
    </w:rPr>
  </w:style>
  <w:style w:type="paragraph" w:styleId="CommentText">
    <w:name w:val="annotation text"/>
    <w:basedOn w:val="Normal"/>
    <w:link w:val="CommentTextChar"/>
    <w:unhideWhenUsed/>
    <w:rsid w:val="006A6BB4"/>
    <w:pPr>
      <w:spacing w:line="240" w:lineRule="auto"/>
    </w:pPr>
    <w:rPr>
      <w:sz w:val="20"/>
      <w:szCs w:val="20"/>
    </w:rPr>
  </w:style>
  <w:style w:type="character" w:customStyle="1" w:styleId="CommentTextChar">
    <w:name w:val="Comment Text Char"/>
    <w:basedOn w:val="DefaultParagraphFont"/>
    <w:link w:val="CommentTex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styleId="TOC7">
    <w:name w:val="toc 7"/>
    <w:basedOn w:val="Normal"/>
    <w:next w:val="Normal"/>
    <w:autoRedefine/>
    <w:semiHidden/>
    <w:rsid w:val="001976E0"/>
    <w:pPr>
      <w:spacing w:after="0" w:line="240" w:lineRule="auto"/>
      <w:ind w:left="100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CBO9780511805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arning_and_teaching\Module%20&amp;%20Programme%20approvals%20&amp;%20changes\Active\8.%20Changes%20for%2018-19\1.%20Module%20Specification%20Template%20%5bBlank%5d%20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29C3C-CC1A-4335-AAC2-47ED972D6641}">
  <ds:schemaRefs>
    <ds:schemaRef ds:uri="http://schemas.openxmlformats.org/officeDocument/2006/bibliography"/>
  </ds:schemaRefs>
</ds:datastoreItem>
</file>

<file path=customXml/itemProps2.xml><?xml version="1.0" encoding="utf-8"?>
<ds:datastoreItem xmlns:ds="http://schemas.openxmlformats.org/officeDocument/2006/customXml" ds:itemID="{87108E7E-6573-4D9C-8FBD-4FA2E6623CEF}"/>
</file>

<file path=customXml/itemProps3.xml><?xml version="1.0" encoding="utf-8"?>
<ds:datastoreItem xmlns:ds="http://schemas.openxmlformats.org/officeDocument/2006/customXml" ds:itemID="{0AEC6D5A-51FA-47CA-9353-9046CB9E0037}"/>
</file>

<file path=customXml/itemProps4.xml><?xml version="1.0" encoding="utf-8"?>
<ds:datastoreItem xmlns:ds="http://schemas.openxmlformats.org/officeDocument/2006/customXml" ds:itemID="{A430A7D1-39EF-4383-A81D-D78F055DF5B9}"/>
</file>

<file path=docProps/app.xml><?xml version="1.0" encoding="utf-8"?>
<Properties xmlns="http://schemas.openxmlformats.org/officeDocument/2006/extended-properties" xmlns:vt="http://schemas.openxmlformats.org/officeDocument/2006/docPropsVTypes">
  <Template>1. Module Specification Template [Blank] 2017-18</Template>
  <TotalTime>0</TotalTime>
  <Pages>4</Pages>
  <Words>1289</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G.Devlin</cp:lastModifiedBy>
  <cp:revision>2</cp:revision>
  <cp:lastPrinted>2015-09-24T14:18:00Z</cp:lastPrinted>
  <dcterms:created xsi:type="dcterms:W3CDTF">2018-02-12T15:51:00Z</dcterms:created>
  <dcterms:modified xsi:type="dcterms:W3CDTF">2018-02-12T15:51:00Z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