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19B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2EFEBC4C" w14:textId="77777777" w:rsidR="00E20A53" w:rsidRDefault="002419C0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>Humanities Study Abroad Module</w:t>
      </w:r>
      <w:r>
        <w:rPr>
          <w:rFonts w:ascii="Arial" w:hAnsi="Arial" w:cs="Arial"/>
        </w:rPr>
        <w:t xml:space="preserve"> </w:t>
      </w:r>
    </w:p>
    <w:p w14:paraId="75F8ABCE" w14:textId="6F2957E8" w:rsidR="00E20A53" w:rsidRDefault="00E20A5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 Abroad </w:t>
      </w:r>
      <w:r w:rsidR="002419C0">
        <w:rPr>
          <w:rFonts w:ascii="Arial" w:hAnsi="Arial" w:cs="Arial"/>
        </w:rPr>
        <w:t>(HU502</w:t>
      </w:r>
      <w:r>
        <w:rPr>
          <w:rFonts w:ascii="Arial" w:hAnsi="Arial" w:cs="Arial"/>
        </w:rPr>
        <w:t>/HUMA5020)</w:t>
      </w:r>
    </w:p>
    <w:p w14:paraId="59F36601" w14:textId="501BB162" w:rsidR="009A2D37" w:rsidRPr="002419C0" w:rsidRDefault="00E20A5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Year Abroad (</w:t>
      </w:r>
      <w:r w:rsidR="002419C0">
        <w:rPr>
          <w:rFonts w:ascii="Arial" w:hAnsi="Arial" w:cs="Arial"/>
        </w:rPr>
        <w:t>HU503</w:t>
      </w:r>
      <w:r>
        <w:rPr>
          <w:rFonts w:ascii="Arial" w:hAnsi="Arial" w:cs="Arial"/>
        </w:rPr>
        <w:t>/HUMA5030)</w:t>
      </w:r>
    </w:p>
    <w:p w14:paraId="699D11DF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49C38C3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DE75C58" w14:textId="77777777" w:rsidR="002419C0" w:rsidRPr="002419C0" w:rsidRDefault="002419C0" w:rsidP="002419C0">
      <w:pPr>
        <w:spacing w:after="120" w:line="240" w:lineRule="auto"/>
        <w:ind w:left="426" w:firstLine="141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>Schools within the Faculty</w:t>
      </w:r>
    </w:p>
    <w:p w14:paraId="5FCE7C8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F8D0C4F" w14:textId="7D6DE494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proofErr w:type="spellStart"/>
      <w:r w:rsidR="00D83563" w:rsidRPr="00302082">
        <w:rPr>
          <w:rFonts w:ascii="Arial" w:hAnsi="Arial" w:cs="Arial"/>
          <w:b/>
        </w:rPr>
        <w:t>Lvel</w:t>
      </w:r>
      <w:proofErr w:type="spellEnd"/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11DF96F" w14:textId="77777777" w:rsidR="002419C0" w:rsidRPr="00154D48" w:rsidRDefault="002419C0" w:rsidP="002419C0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Level 6</w:t>
      </w:r>
    </w:p>
    <w:p w14:paraId="65F6DCC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A80CD1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A496697" w14:textId="77777777" w:rsidR="002419C0" w:rsidRPr="002419C0" w:rsidRDefault="002419C0" w:rsidP="002419C0">
      <w:pPr>
        <w:spacing w:after="120" w:line="240" w:lineRule="auto"/>
        <w:ind w:left="426" w:firstLine="141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 xml:space="preserve">HU502 - 60 credits (30 ECTS)  </w:t>
      </w:r>
    </w:p>
    <w:p w14:paraId="7CF18A44" w14:textId="77777777" w:rsidR="009A2D37" w:rsidRPr="002419C0" w:rsidRDefault="002419C0" w:rsidP="002419C0">
      <w:pPr>
        <w:spacing w:after="120" w:line="240" w:lineRule="auto"/>
        <w:ind w:left="426" w:firstLine="141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>HU503 - 120 credits (60 ECTS)</w:t>
      </w:r>
    </w:p>
    <w:p w14:paraId="5952439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43F8FA6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1AB6B35" w14:textId="77777777" w:rsidR="002419C0" w:rsidRPr="002419C0" w:rsidRDefault="002419C0" w:rsidP="002419C0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>Autumn Term and/or Spring Term; the teaching pattern may vary according to different term/semester structures operated by international partner</w:t>
      </w:r>
    </w:p>
    <w:p w14:paraId="683C9AA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80607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A489C3E" w14:textId="77777777" w:rsidR="00154D48" w:rsidRDefault="002419C0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N/A</w:t>
      </w:r>
    </w:p>
    <w:p w14:paraId="6E9EC45F" w14:textId="77777777" w:rsidR="002419C0" w:rsidRPr="00154D48" w:rsidRDefault="002419C0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BE066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ABBA089" w14:textId="77777777" w:rsidR="009A2D37" w:rsidRPr="00154D48" w:rsidRDefault="002419C0" w:rsidP="002419C0">
      <w:pPr>
        <w:spacing w:after="120" w:line="240" w:lineRule="auto"/>
        <w:ind w:left="426" w:firstLine="141"/>
        <w:jc w:val="both"/>
        <w:rPr>
          <w:rFonts w:ascii="Arial" w:hAnsi="Arial" w:cs="Arial"/>
          <w:iCs/>
        </w:rPr>
      </w:pPr>
      <w:r w:rsidRPr="002419C0">
        <w:rPr>
          <w:rFonts w:ascii="Arial" w:hAnsi="Arial" w:cs="Arial"/>
        </w:rPr>
        <w:t>Humanities Study Abroad programmes “with a term / year abroad”</w:t>
      </w:r>
    </w:p>
    <w:p w14:paraId="1B0A94B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FF80E5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4BF67A" w14:textId="5170CFEC" w:rsidR="002419C0" w:rsidRDefault="002419C0" w:rsidP="002419C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D179AF">
        <w:rPr>
          <w:rFonts w:ascii="Arial" w:hAnsi="Arial" w:cs="Arial"/>
        </w:rPr>
        <w:t xml:space="preserve">to acquire a broader, international and interculturally informed understanding of their subject discipline </w:t>
      </w:r>
    </w:p>
    <w:p w14:paraId="7F3B8759" w14:textId="6FE569F9" w:rsidR="002419C0" w:rsidRDefault="002419C0" w:rsidP="002419C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 xml:space="preserve">to experience different cultural approaches to learning, study and academic development </w:t>
      </w:r>
    </w:p>
    <w:p w14:paraId="29C46A27" w14:textId="4F1F5C1C" w:rsidR="002419C0" w:rsidRPr="002419C0" w:rsidRDefault="002419C0" w:rsidP="002419C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 xml:space="preserve">to acquire intercultural competence, cross-cultural literacy, and to practice foreign-language skills </w:t>
      </w:r>
    </w:p>
    <w:p w14:paraId="6F2927B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18E5979C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AF60687" w14:textId="011D7252" w:rsidR="002419C0" w:rsidRDefault="003E5FDD" w:rsidP="002419C0">
      <w:pPr>
        <w:pStyle w:val="ListParagraph"/>
        <w:numPr>
          <w:ilvl w:val="1"/>
          <w:numId w:val="12"/>
        </w:numPr>
        <w:spacing w:after="120" w:line="240" w:lineRule="auto"/>
        <w:ind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 </w:t>
      </w:r>
      <w:r w:rsidR="002419C0" w:rsidRPr="002419C0">
        <w:rPr>
          <w:rFonts w:ascii="Arial" w:hAnsi="Arial" w:cs="Arial"/>
        </w:rPr>
        <w:t xml:space="preserve">enhanced, interculturally sensitive communication and interpersonal skills </w:t>
      </w:r>
    </w:p>
    <w:p w14:paraId="0B652E21" w14:textId="61B76697" w:rsidR="002419C0" w:rsidRPr="002419C0" w:rsidRDefault="003E5FDD" w:rsidP="002419C0">
      <w:pPr>
        <w:pStyle w:val="ListParagraph"/>
        <w:numPr>
          <w:ilvl w:val="1"/>
          <w:numId w:val="12"/>
        </w:numPr>
        <w:spacing w:after="120" w:line="240" w:lineRule="auto"/>
        <w:ind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 </w:t>
      </w:r>
      <w:r w:rsidR="002419C0" w:rsidRPr="002419C0">
        <w:rPr>
          <w:rFonts w:ascii="Arial" w:hAnsi="Arial" w:cs="Arial"/>
        </w:rPr>
        <w:t xml:space="preserve">enhanced ability for self-management, flexibility, focus and project management </w:t>
      </w:r>
    </w:p>
    <w:p w14:paraId="0924569C" w14:textId="77777777" w:rsidR="00154D48" w:rsidRDefault="00154D48" w:rsidP="00D475F9">
      <w:pPr>
        <w:pStyle w:val="Default"/>
        <w:spacing w:after="120"/>
        <w:ind w:right="260"/>
        <w:rPr>
          <w:color w:val="auto"/>
          <w:sz w:val="22"/>
          <w:szCs w:val="22"/>
        </w:rPr>
      </w:pPr>
      <w:bookmarkStart w:id="0" w:name="_GoBack"/>
      <w:bookmarkEnd w:id="0"/>
    </w:p>
    <w:p w14:paraId="521B51D9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904459B" w14:textId="7A63F42C" w:rsidR="009A2D37" w:rsidRPr="00D475F9" w:rsidRDefault="002419C0" w:rsidP="00D475F9">
      <w:pPr>
        <w:pStyle w:val="ListParagraph"/>
        <w:spacing w:after="120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 xml:space="preserve">Spending a period as full-time student at an overseas university, students will follow teaching and tuition in their own subject areas as well as choosing from a range of available courses in the </w:t>
      </w:r>
      <w:r w:rsidRPr="002419C0">
        <w:rPr>
          <w:rFonts w:ascii="Arial" w:hAnsi="Arial" w:cs="Arial"/>
        </w:rPr>
        <w:lastRenderedPageBreak/>
        <w:t>Humanities. The curriculum will vary according to the partner institutions. Additionally, students will usually be offered to take language classes and/or courses on the culture of the host country.</w:t>
      </w:r>
    </w:p>
    <w:p w14:paraId="73EF2C1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97C487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FF43D9D" w14:textId="77777777" w:rsidR="002419C0" w:rsidRPr="002419C0" w:rsidRDefault="002419C0" w:rsidP="002419C0">
      <w:pPr>
        <w:pStyle w:val="ListParagraph"/>
        <w:spacing w:after="120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>The International Study service in the University’s International Development Office provides information about host countries and host universities. Students will receive course-specific information, incl. reading lists, on their enrolment at the host university.</w:t>
      </w:r>
    </w:p>
    <w:p w14:paraId="1CF89415" w14:textId="77777777" w:rsidR="00154D48" w:rsidRPr="00154D48" w:rsidRDefault="00154D48" w:rsidP="00D475F9">
      <w:pPr>
        <w:spacing w:after="120" w:line="240" w:lineRule="auto"/>
        <w:ind w:right="260"/>
        <w:jc w:val="both"/>
        <w:rPr>
          <w:rFonts w:ascii="Arial" w:hAnsi="Arial" w:cs="Arial"/>
        </w:rPr>
      </w:pPr>
    </w:p>
    <w:p w14:paraId="07559F6E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5B5A8AE" w14:textId="679B2927" w:rsidR="009A2D37" w:rsidRPr="00D475F9" w:rsidRDefault="002419C0" w:rsidP="00D475F9">
      <w:pPr>
        <w:pStyle w:val="ListParagraph"/>
        <w:spacing w:after="120"/>
        <w:jc w:val="both"/>
        <w:rPr>
          <w:rFonts w:ascii="Arial" w:hAnsi="Arial" w:cs="Arial"/>
        </w:rPr>
      </w:pPr>
      <w:r w:rsidRPr="002419C0">
        <w:rPr>
          <w:rFonts w:ascii="Arial" w:hAnsi="Arial" w:cs="Arial"/>
        </w:rPr>
        <w:t xml:space="preserve">Learning and teaching modes will vary according to the country and institution attended. Inclusive of self-directed study, a total of 600 hours of study across a term or semester </w:t>
      </w:r>
      <w:r w:rsidR="00E20A53">
        <w:rPr>
          <w:rFonts w:ascii="Arial" w:hAnsi="Arial" w:cs="Arial"/>
        </w:rPr>
        <w:t xml:space="preserve">(1200 hours for students on a year abroad) </w:t>
      </w:r>
      <w:r w:rsidRPr="002419C0">
        <w:rPr>
          <w:rFonts w:ascii="Arial" w:hAnsi="Arial" w:cs="Arial"/>
        </w:rPr>
        <w:t>will be required for this module.</w:t>
      </w:r>
      <w:r w:rsidR="00E20A53">
        <w:rPr>
          <w:rFonts w:ascii="Arial" w:hAnsi="Arial" w:cs="Arial"/>
        </w:rPr>
        <w:t xml:space="preserve"> </w:t>
      </w:r>
    </w:p>
    <w:p w14:paraId="05151B6B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5C9832F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EBA5519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D7563C" w14:textId="77777777" w:rsidR="003E5FDD" w:rsidRPr="00696FF5" w:rsidRDefault="003E5FDD" w:rsidP="003E5FDD">
      <w:pPr>
        <w:pStyle w:val="ListParagraph"/>
        <w:spacing w:after="12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Students will pass the period abroad by:</w:t>
      </w:r>
    </w:p>
    <w:p w14:paraId="1E142E37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right="260"/>
        <w:rPr>
          <w:rFonts w:ascii="Arial" w:eastAsia="Arial" w:hAnsi="Arial" w:cs="Arial"/>
        </w:rPr>
      </w:pPr>
      <w:r w:rsidRPr="00D70C42">
        <w:rPr>
          <w:rFonts w:ascii="Arial" w:eastAsia="Arial" w:hAnsi="Arial" w:cs="Arial"/>
        </w:rPr>
        <w:t xml:space="preserve">Achieving passes in at least two-thirds of the credits </w:t>
      </w:r>
      <w:r>
        <w:rPr>
          <w:rFonts w:ascii="Arial" w:eastAsia="Arial" w:hAnsi="Arial" w:cs="Arial"/>
        </w:rPr>
        <w:t>t</w:t>
      </w:r>
      <w:r w:rsidRPr="00D70C42">
        <w:rPr>
          <w:rFonts w:ascii="Arial" w:eastAsia="Arial" w:hAnsi="Arial" w:cs="Arial"/>
        </w:rPr>
        <w:t>aken as part of the FT load</w:t>
      </w:r>
      <w:r>
        <w:rPr>
          <w:rFonts w:ascii="Arial" w:eastAsia="Arial" w:hAnsi="Arial" w:cs="Arial"/>
        </w:rPr>
        <w:t xml:space="preserve">. </w:t>
      </w:r>
      <w:r w:rsidRPr="00D70C42">
        <w:rPr>
          <w:rFonts w:ascii="Arial" w:eastAsia="Arial" w:hAnsi="Arial" w:cs="Arial"/>
        </w:rPr>
        <w:t>Such passes must</w:t>
      </w:r>
      <w:r>
        <w:rPr>
          <w:rFonts w:ascii="Arial" w:eastAsia="Arial" w:hAnsi="Arial" w:cs="Arial"/>
        </w:rPr>
        <w:t xml:space="preserve"> b</w:t>
      </w:r>
      <w:r w:rsidRPr="00D70C42">
        <w:rPr>
          <w:rFonts w:ascii="Arial" w:eastAsia="Arial" w:hAnsi="Arial" w:cs="Arial"/>
        </w:rPr>
        <w:t>e confirmed by the official transcript of the partner provider</w:t>
      </w:r>
      <w:r>
        <w:rPr>
          <w:rFonts w:ascii="Arial" w:eastAsia="Arial" w:hAnsi="Arial" w:cs="Arial"/>
        </w:rPr>
        <w:t>.</w:t>
      </w:r>
    </w:p>
    <w:p w14:paraId="073DB579" w14:textId="77777777" w:rsidR="003E5FDD" w:rsidRPr="00D70C42" w:rsidRDefault="003E5FDD" w:rsidP="003E5FDD">
      <w:pPr>
        <w:spacing w:after="120" w:line="240" w:lineRule="auto"/>
        <w:ind w:left="1146" w:right="260"/>
        <w:rPr>
          <w:rFonts w:ascii="Arial" w:eastAsia="Arial" w:hAnsi="Arial" w:cs="Arial"/>
        </w:rPr>
      </w:pPr>
    </w:p>
    <w:p w14:paraId="65678CFD" w14:textId="77777777" w:rsidR="003E5FDD" w:rsidRDefault="003E5FDD" w:rsidP="003E5FDD">
      <w:pPr>
        <w:spacing w:after="120" w:line="240" w:lineRule="auto"/>
        <w:ind w:left="426" w:right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D70C42">
        <w:rPr>
          <w:rFonts w:ascii="Arial" w:eastAsia="Arial" w:hAnsi="Arial" w:cs="Arial"/>
        </w:rPr>
        <w:t>ith respect to the student’s programme of study at Kent.</w:t>
      </w:r>
    </w:p>
    <w:p w14:paraId="5098C24A" w14:textId="77777777" w:rsidR="003E5FDD" w:rsidRPr="00D70C42" w:rsidRDefault="003E5FDD" w:rsidP="003E5FDD">
      <w:pPr>
        <w:spacing w:after="120" w:line="240" w:lineRule="auto"/>
        <w:ind w:right="260"/>
        <w:rPr>
          <w:rFonts w:ascii="Arial" w:eastAsia="Arial" w:hAnsi="Arial" w:cs="Arial"/>
        </w:rPr>
      </w:pPr>
    </w:p>
    <w:p w14:paraId="0F627ECE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D70C42">
        <w:rPr>
          <w:rFonts w:ascii="Arial" w:eastAsia="Arial" w:hAnsi="Arial" w:cs="Arial"/>
        </w:rPr>
        <w:t>Students who pass at least one-third of the required credit</w:t>
      </w:r>
      <w:r>
        <w:rPr>
          <w:rFonts w:ascii="Arial" w:eastAsia="Arial" w:hAnsi="Arial" w:cs="Arial"/>
        </w:rPr>
        <w:t>s</w:t>
      </w:r>
      <w:r w:rsidRPr="00D70C42">
        <w:rPr>
          <w:rFonts w:ascii="Arial" w:eastAsia="Arial" w:hAnsi="Arial" w:cs="Arial"/>
        </w:rPr>
        <w:t xml:space="preserve">, but who do not meet the two-thirds threshold, will not automatically be recorded as a fail, but will be required to retrieve the failure by undertaking a further piece (or pieces) of assessment at Kent sufficient to redeeming the failure of the period abroad. The format of the retrieval </w:t>
      </w:r>
      <w:r>
        <w:rPr>
          <w:rFonts w:ascii="Arial" w:eastAsia="Arial" w:hAnsi="Arial" w:cs="Arial"/>
        </w:rPr>
        <w:t>will</w:t>
      </w:r>
      <w:r w:rsidRPr="00D70C42">
        <w:rPr>
          <w:rFonts w:ascii="Arial" w:eastAsia="Arial" w:hAnsi="Arial" w:cs="Arial"/>
        </w:rPr>
        <w:t xml:space="preserve"> be decided by the assessing </w:t>
      </w:r>
      <w:proofErr w:type="gramStart"/>
      <w:r w:rsidRPr="00D70C42">
        <w:rPr>
          <w:rFonts w:ascii="Arial" w:eastAsia="Arial" w:hAnsi="Arial" w:cs="Arial"/>
        </w:rPr>
        <w:t>School</w:t>
      </w:r>
      <w:proofErr w:type="gramEnd"/>
      <w:r w:rsidRPr="00D70C42">
        <w:rPr>
          <w:rFonts w:ascii="Arial" w:eastAsia="Arial" w:hAnsi="Arial" w:cs="Arial"/>
        </w:rPr>
        <w:t xml:space="preserve"> but the additional assessment(s) will test the achievement of the relevant learning outcomes</w:t>
      </w:r>
      <w:r>
        <w:rPr>
          <w:rFonts w:ascii="Arial" w:eastAsia="Arial" w:hAnsi="Arial" w:cs="Arial"/>
        </w:rPr>
        <w:t>;</w:t>
      </w:r>
    </w:p>
    <w:p w14:paraId="50A76A38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 xml:space="preserve">Students who pass less than one-third of the credits required by the partner provider will be deemed to have failed the period </w:t>
      </w:r>
      <w:proofErr w:type="gramStart"/>
      <w:r w:rsidRPr="00474509">
        <w:rPr>
          <w:rFonts w:ascii="Arial" w:eastAsia="Arial" w:hAnsi="Arial" w:cs="Arial"/>
        </w:rPr>
        <w:t>abroad</w:t>
      </w:r>
      <w:r>
        <w:rPr>
          <w:rFonts w:ascii="Arial" w:eastAsia="Arial" w:hAnsi="Arial" w:cs="Arial"/>
        </w:rPr>
        <w:t>;</w:t>
      </w:r>
      <w:proofErr w:type="gramEnd"/>
    </w:p>
    <w:p w14:paraId="41A2C7D3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>If students pass the additional assessment(s) set as per ii</w:t>
      </w:r>
      <w:r>
        <w:rPr>
          <w:rFonts w:ascii="Arial" w:eastAsia="Arial" w:hAnsi="Arial" w:cs="Arial"/>
        </w:rPr>
        <w:t xml:space="preserve">. </w:t>
      </w:r>
      <w:r w:rsidRPr="00474509">
        <w:rPr>
          <w:rFonts w:ascii="Arial" w:eastAsia="Arial" w:hAnsi="Arial" w:cs="Arial"/>
        </w:rPr>
        <w:t xml:space="preserve">above, a pass will be recorded for the period </w:t>
      </w:r>
      <w:proofErr w:type="gramStart"/>
      <w:r w:rsidRPr="00474509">
        <w:rPr>
          <w:rFonts w:ascii="Arial" w:eastAsia="Arial" w:hAnsi="Arial" w:cs="Arial"/>
        </w:rPr>
        <w:t>abroad</w:t>
      </w:r>
      <w:r>
        <w:rPr>
          <w:rFonts w:ascii="Arial" w:eastAsia="Arial" w:hAnsi="Arial" w:cs="Arial"/>
        </w:rPr>
        <w:t>;</w:t>
      </w:r>
      <w:proofErr w:type="gramEnd"/>
    </w:p>
    <w:p w14:paraId="1CD8CF8F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>If students fail the additional assessment(s) set as per ii</w:t>
      </w:r>
      <w:r>
        <w:rPr>
          <w:rFonts w:ascii="Arial" w:eastAsia="Arial" w:hAnsi="Arial" w:cs="Arial"/>
        </w:rPr>
        <w:t>.</w:t>
      </w:r>
      <w:r w:rsidRPr="00474509">
        <w:rPr>
          <w:rFonts w:ascii="Arial" w:eastAsia="Arial" w:hAnsi="Arial" w:cs="Arial"/>
        </w:rPr>
        <w:t xml:space="preserve"> above, a fail will be recorded for the period </w:t>
      </w:r>
      <w:proofErr w:type="gramStart"/>
      <w:r w:rsidRPr="00474509">
        <w:rPr>
          <w:rFonts w:ascii="Arial" w:eastAsia="Arial" w:hAnsi="Arial" w:cs="Arial"/>
        </w:rPr>
        <w:t>abroad;</w:t>
      </w:r>
      <w:proofErr w:type="gramEnd"/>
    </w:p>
    <w:p w14:paraId="449F55A0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>Where a student fails the period abroad s/he will be eligible for the appropriate alternative exit award, or may transfer to an appropriate degree without a period abroad; (Nb. see point vii below</w:t>
      </w:r>
      <w:proofErr w:type="gramStart"/>
      <w:r w:rsidRPr="00474509">
        <w:rPr>
          <w:rFonts w:ascii="Arial" w:eastAsia="Arial" w:hAnsi="Arial" w:cs="Arial"/>
        </w:rPr>
        <w:t>);</w:t>
      </w:r>
      <w:proofErr w:type="gramEnd"/>
    </w:p>
    <w:p w14:paraId="2FA4A934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 xml:space="preserve">Where documented concessionary circumstances exist that prevent the student from successfully completing the period of study abroad requirements, as per points </w:t>
      </w:r>
      <w:proofErr w:type="spellStart"/>
      <w:r w:rsidRPr="00474509">
        <w:rPr>
          <w:rFonts w:ascii="Arial" w:eastAsia="Arial" w:hAnsi="Arial" w:cs="Arial"/>
        </w:rPr>
        <w:t>i</w:t>
      </w:r>
      <w:proofErr w:type="spellEnd"/>
      <w:r w:rsidRPr="004745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</w:t>
      </w:r>
      <w:r w:rsidRPr="00474509">
        <w:rPr>
          <w:rFonts w:ascii="Arial" w:eastAsia="Arial" w:hAnsi="Arial" w:cs="Arial"/>
        </w:rPr>
        <w:t xml:space="preserve"> ii</w:t>
      </w:r>
      <w:r>
        <w:rPr>
          <w:rFonts w:ascii="Arial" w:eastAsia="Arial" w:hAnsi="Arial" w:cs="Arial"/>
        </w:rPr>
        <w:t xml:space="preserve"> </w:t>
      </w:r>
      <w:r w:rsidRPr="00474509">
        <w:rPr>
          <w:rFonts w:ascii="Arial" w:eastAsia="Arial" w:hAnsi="Arial" w:cs="Arial"/>
        </w:rPr>
        <w:t>above, the student will be eligible for the appropriate alternative exit award, or may transfer to an appropriate degree without a period abroad, or may be offered a deferral opportunity to repeat the whole period abroad as if for the first time.</w:t>
      </w:r>
    </w:p>
    <w:p w14:paraId="5AFBEDB5" w14:textId="77777777" w:rsidR="003E5FDD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lastRenderedPageBreak/>
        <w:t xml:space="preserve">There will be no compensation, no condonement and no concessionary adjustment of any marks awarded by the partner </w:t>
      </w:r>
      <w:proofErr w:type="gramStart"/>
      <w:r w:rsidRPr="00474509">
        <w:rPr>
          <w:rFonts w:ascii="Arial" w:eastAsia="Arial" w:hAnsi="Arial" w:cs="Arial"/>
        </w:rPr>
        <w:t>provider;</w:t>
      </w:r>
      <w:proofErr w:type="gramEnd"/>
    </w:p>
    <w:p w14:paraId="0DDB0CFA" w14:textId="77777777" w:rsidR="003E5FDD" w:rsidRPr="00474509" w:rsidRDefault="003E5FDD" w:rsidP="003E5FDD">
      <w:pPr>
        <w:numPr>
          <w:ilvl w:val="0"/>
          <w:numId w:val="13"/>
        </w:numPr>
        <w:spacing w:after="120" w:line="240" w:lineRule="auto"/>
        <w:ind w:left="1134" w:right="260" w:hanging="283"/>
        <w:rPr>
          <w:rFonts w:ascii="Arial" w:eastAsia="Arial" w:hAnsi="Arial" w:cs="Arial"/>
        </w:rPr>
      </w:pPr>
      <w:r w:rsidRPr="00474509">
        <w:rPr>
          <w:rFonts w:ascii="Arial" w:eastAsia="Arial" w:hAnsi="Arial" w:cs="Arial"/>
        </w:rPr>
        <w:t>Credit awarded will be on a pass/fail basis</w:t>
      </w:r>
      <w:r>
        <w:rPr>
          <w:rFonts w:ascii="Arial" w:eastAsia="Arial" w:hAnsi="Arial" w:cs="Arial"/>
        </w:rPr>
        <w:t>.</w:t>
      </w:r>
    </w:p>
    <w:p w14:paraId="7C57586A" w14:textId="77777777" w:rsidR="00154D48" w:rsidRPr="00154D48" w:rsidRDefault="00154D48" w:rsidP="00D475F9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3DE7D95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D7D7766" w14:textId="0CECFAF3" w:rsidR="00154D48" w:rsidRPr="00154D48" w:rsidRDefault="003E5FDD" w:rsidP="00D475F9">
      <w:pPr>
        <w:spacing w:after="12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see section 13.1 for full details around reassessment where possible.</w:t>
      </w:r>
    </w:p>
    <w:p w14:paraId="3090A6C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85AD545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1DF45E41" w14:textId="08A00975" w:rsidR="007C6D9C" w:rsidRPr="00D50113" w:rsidRDefault="00883204" w:rsidP="007C6D9C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</w:t>
      </w:r>
      <w:proofErr w:type="spellStart"/>
      <w:r w:rsidRPr="00D50113">
        <w:rPr>
          <w:rFonts w:ascii="Arial" w:hAnsi="Arial" w:cs="Arial"/>
        </w:rPr>
        <w:t>Schoolrecognises</w:t>
      </w:r>
      <w:proofErr w:type="spellEnd"/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 </w:t>
      </w:r>
      <w:r w:rsidR="007C6D9C">
        <w:rPr>
          <w:rFonts w:ascii="Arial" w:hAnsi="Arial" w:cs="Arial"/>
        </w:rPr>
        <w:t>If necessary, the School and/or the International Office will help the students liaise with the pastoral system of the University abroad to suggest that a</w:t>
      </w:r>
      <w:r w:rsidR="007C6D9C" w:rsidRPr="00D50113">
        <w:rPr>
          <w:rFonts w:ascii="Arial" w:hAnsi="Arial" w:cs="Arial"/>
        </w:rPr>
        <w:t xml:space="preserve">dditional alternative arrangements for students with Inclusive Learning Plans (ILPs)/declared disabilities </w:t>
      </w:r>
      <w:r w:rsidR="007C6D9C">
        <w:rPr>
          <w:rFonts w:ascii="Arial" w:hAnsi="Arial" w:cs="Arial"/>
        </w:rPr>
        <w:t xml:space="preserve">currently at Kent </w:t>
      </w:r>
      <w:r w:rsidR="007C6D9C" w:rsidRPr="00D50113">
        <w:rPr>
          <w:rFonts w:ascii="Arial" w:hAnsi="Arial" w:cs="Arial"/>
        </w:rPr>
        <w:t xml:space="preserve">be made </w:t>
      </w:r>
      <w:r w:rsidR="007C6D9C">
        <w:rPr>
          <w:rFonts w:ascii="Arial" w:hAnsi="Arial" w:cs="Arial"/>
        </w:rPr>
        <w:t xml:space="preserve">available (if possible and </w:t>
      </w:r>
      <w:r w:rsidR="007C6D9C" w:rsidRPr="00D50113">
        <w:rPr>
          <w:rFonts w:ascii="Arial" w:hAnsi="Arial" w:cs="Arial"/>
        </w:rPr>
        <w:t>on an individual basis</w:t>
      </w:r>
      <w:r w:rsidR="007C6D9C">
        <w:rPr>
          <w:rFonts w:ascii="Arial" w:hAnsi="Arial" w:cs="Arial"/>
        </w:rPr>
        <w:t>)</w:t>
      </w:r>
      <w:r w:rsidR="007C6D9C" w:rsidRPr="00D50113">
        <w:rPr>
          <w:rFonts w:ascii="Arial" w:hAnsi="Arial" w:cs="Arial"/>
        </w:rPr>
        <w:t>, in consultation with the</w:t>
      </w:r>
      <w:r w:rsidR="007C6D9C">
        <w:rPr>
          <w:rFonts w:ascii="Arial" w:hAnsi="Arial" w:cs="Arial"/>
        </w:rPr>
        <w:t>ir</w:t>
      </w:r>
      <w:r w:rsidR="007C6D9C" w:rsidRPr="00D50113">
        <w:rPr>
          <w:rFonts w:ascii="Arial" w:hAnsi="Arial" w:cs="Arial"/>
        </w:rPr>
        <w:t xml:space="preserve"> relevant policies and support services.</w:t>
      </w:r>
    </w:p>
    <w:p w14:paraId="19F8895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6EBA8A8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6048EA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9D9E896" w14:textId="77777777"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17BCA97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BBD43E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E3884BF" w14:textId="77777777" w:rsidR="009A2D37" w:rsidRPr="002419C0" w:rsidRDefault="002419C0" w:rsidP="002419C0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 w:rsidRPr="002419C0">
        <w:rPr>
          <w:rFonts w:ascii="Arial" w:hAnsi="Arial" w:cs="Arial"/>
          <w:bCs/>
        </w:rPr>
        <w:t xml:space="preserve">Students will be able to spend the study abroad period at one of the University’s partner institution, in particular those who have engaged in Faculty-wide exchange agreements with the Faculty of Humanities, cf. </w:t>
      </w:r>
      <w:hyperlink r:id="rId8" w:history="1">
        <w:r w:rsidRPr="00D179AF">
          <w:rPr>
            <w:rStyle w:val="Hyperlink"/>
          </w:rPr>
          <w:t>http://www.kent.ac.uk/goabroad/</w:t>
        </w:r>
      </w:hyperlink>
    </w:p>
    <w:p w14:paraId="19495CAB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E74D853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39BB793" w14:textId="77777777" w:rsidR="003E5FDD" w:rsidRPr="003E5FDD" w:rsidRDefault="003E5FDD" w:rsidP="00D475F9">
      <w:pPr>
        <w:pStyle w:val="ListParagraph"/>
        <w:autoSpaceDE w:val="0"/>
        <w:autoSpaceDN w:val="0"/>
        <w:adjustRightInd w:val="0"/>
        <w:spacing w:after="120" w:line="240" w:lineRule="auto"/>
        <w:ind w:right="261"/>
        <w:jc w:val="both"/>
        <w:rPr>
          <w:rFonts w:ascii="Arial" w:hAnsi="Arial" w:cs="Arial"/>
        </w:rPr>
      </w:pPr>
      <w:r w:rsidRPr="003E5FDD">
        <w:rPr>
          <w:rFonts w:ascii="Arial" w:hAnsi="Arial" w:cs="Arial"/>
        </w:rPr>
        <w:t>As a</w:t>
      </w:r>
      <w:r>
        <w:rPr>
          <w:rFonts w:ascii="Arial" w:hAnsi="Arial" w:cs="Arial"/>
        </w:rPr>
        <w:t xml:space="preserve"> term/</w:t>
      </w:r>
      <w:r w:rsidRPr="003E5FDD">
        <w:rPr>
          <w:rFonts w:ascii="Arial" w:hAnsi="Arial" w:cs="Arial"/>
        </w:rPr>
        <w:t xml:space="preserve">year abroad </w:t>
      </w:r>
      <w:r>
        <w:rPr>
          <w:rFonts w:ascii="Arial" w:hAnsi="Arial" w:cs="Arial"/>
        </w:rPr>
        <w:t>module</w:t>
      </w:r>
      <w:r w:rsidRPr="003E5FDD">
        <w:rPr>
          <w:rFonts w:ascii="Arial" w:hAnsi="Arial" w:cs="Arial"/>
        </w:rPr>
        <w:t>, internationalisation is naturally incorporated into this module at every level, from teaching style to culture.</w:t>
      </w:r>
    </w:p>
    <w:p w14:paraId="17DE70ED" w14:textId="77777777" w:rsidR="00922E9E" w:rsidRPr="00154D48" w:rsidRDefault="00922E9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B9EE48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4DDD40E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6D1CD08F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579F5F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2DE9E1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1638E28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57C60144" w14:textId="77777777" w:rsidTr="00154D48">
        <w:trPr>
          <w:trHeight w:val="317"/>
        </w:trPr>
        <w:tc>
          <w:tcPr>
            <w:tcW w:w="1526" w:type="dxa"/>
          </w:tcPr>
          <w:p w14:paraId="0351580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2AB6AB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652A150C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1A76560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48CF679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24154F78" w14:textId="77777777" w:rsidTr="00154D48">
        <w:trPr>
          <w:trHeight w:val="305"/>
        </w:trPr>
        <w:tc>
          <w:tcPr>
            <w:tcW w:w="1526" w:type="dxa"/>
          </w:tcPr>
          <w:p w14:paraId="622B7FB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D0876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FE712B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C50AC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83C805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3E2BC4EB" w14:textId="77777777" w:rsidTr="00154D48">
        <w:trPr>
          <w:trHeight w:val="305"/>
        </w:trPr>
        <w:tc>
          <w:tcPr>
            <w:tcW w:w="1526" w:type="dxa"/>
          </w:tcPr>
          <w:p w14:paraId="609686B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BABE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C3D1B8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56691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210B00D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02E4789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368C" w14:textId="77777777" w:rsidR="001019A2" w:rsidRDefault="001019A2" w:rsidP="009A2D37">
      <w:pPr>
        <w:spacing w:after="0" w:line="240" w:lineRule="auto"/>
      </w:pPr>
      <w:r>
        <w:separator/>
      </w:r>
    </w:p>
  </w:endnote>
  <w:endnote w:type="continuationSeparator" w:id="0">
    <w:p w14:paraId="6699B58D" w14:textId="77777777" w:rsidR="001019A2" w:rsidRDefault="001019A2" w:rsidP="009A2D37">
      <w:pPr>
        <w:spacing w:after="0" w:line="240" w:lineRule="auto"/>
      </w:pPr>
      <w:r>
        <w:continuationSeparator/>
      </w:r>
    </w:p>
  </w:endnote>
  <w:endnote w:type="continuationNotice" w:id="1">
    <w:p w14:paraId="19E79639" w14:textId="77777777" w:rsidR="001019A2" w:rsidRDefault="00101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864"/>
      <w:docPartObj>
        <w:docPartGallery w:val="Page Numbers (Bottom of Page)"/>
        <w:docPartUnique/>
      </w:docPartObj>
    </w:sdtPr>
    <w:sdtEndPr/>
    <w:sdtContent>
      <w:p w14:paraId="1F6A277C" w14:textId="4B3446C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9956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109313"/>
      <w:docPartObj>
        <w:docPartGallery w:val="Page Numbers (Bottom of Page)"/>
        <w:docPartUnique/>
      </w:docPartObj>
    </w:sdtPr>
    <w:sdtEndPr/>
    <w:sdtContent>
      <w:p w14:paraId="2C4471D9" w14:textId="5F1EDC3E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D05617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1B08" w14:textId="77777777" w:rsidR="001019A2" w:rsidRDefault="001019A2" w:rsidP="009A2D37">
      <w:pPr>
        <w:spacing w:after="0" w:line="240" w:lineRule="auto"/>
      </w:pPr>
      <w:r>
        <w:separator/>
      </w:r>
    </w:p>
  </w:footnote>
  <w:footnote w:type="continuationSeparator" w:id="0">
    <w:p w14:paraId="5EFF3D28" w14:textId="77777777" w:rsidR="001019A2" w:rsidRDefault="001019A2" w:rsidP="009A2D37">
      <w:pPr>
        <w:spacing w:after="0" w:line="240" w:lineRule="auto"/>
      </w:pPr>
      <w:r>
        <w:continuationSeparator/>
      </w:r>
    </w:p>
  </w:footnote>
  <w:footnote w:type="continuationNotice" w:id="1">
    <w:p w14:paraId="475F2094" w14:textId="77777777" w:rsidR="001019A2" w:rsidRDefault="00101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66CC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F477B8F" wp14:editId="745C1FD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DD45D2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707629C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25AA" w14:textId="4471727E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D3EAE43" wp14:editId="38AFFF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AFCC8D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2C4389"/>
    <w:multiLevelType w:val="hybridMultilevel"/>
    <w:tmpl w:val="1DBE81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E63C63"/>
    <w:multiLevelType w:val="hybridMultilevel"/>
    <w:tmpl w:val="723E110C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887B56"/>
    <w:multiLevelType w:val="multilevel"/>
    <w:tmpl w:val="D6645A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963CB"/>
    <w:multiLevelType w:val="multilevel"/>
    <w:tmpl w:val="7AC69A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19A2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19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5FD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B1DB2"/>
    <w:rsid w:val="007B375B"/>
    <w:rsid w:val="007B412A"/>
    <w:rsid w:val="007B635E"/>
    <w:rsid w:val="007B7724"/>
    <w:rsid w:val="007B7CDC"/>
    <w:rsid w:val="007C6D9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1742B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5B2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475F9"/>
    <w:rsid w:val="00D65506"/>
    <w:rsid w:val="00D773CF"/>
    <w:rsid w:val="00D83563"/>
    <w:rsid w:val="00D8448F"/>
    <w:rsid w:val="00DA64B6"/>
    <w:rsid w:val="00DB36AB"/>
    <w:rsid w:val="00DB5C9D"/>
    <w:rsid w:val="00DD02E6"/>
    <w:rsid w:val="00DF665B"/>
    <w:rsid w:val="00E0152A"/>
    <w:rsid w:val="00E03394"/>
    <w:rsid w:val="00E066E5"/>
    <w:rsid w:val="00E20A5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3CFE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goabr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CDC9E-2825-4A44-8BC7-29C0B4D71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AC78C-E0BB-4607-B1A5-930B2EFA384D}"/>
</file>

<file path=customXml/itemProps3.xml><?xml version="1.0" encoding="utf-8"?>
<ds:datastoreItem xmlns:ds="http://schemas.openxmlformats.org/officeDocument/2006/customXml" ds:itemID="{DCFDF623-EB12-4A94-B2FB-3F9E8CCAB1E8}"/>
</file>

<file path=customXml/itemProps4.xml><?xml version="1.0" encoding="utf-8"?>
<ds:datastoreItem xmlns:ds="http://schemas.openxmlformats.org/officeDocument/2006/customXml" ds:itemID="{4389C6BA-9E59-476E-BD07-708E051D7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karl goodwin</cp:lastModifiedBy>
  <cp:revision>2</cp:revision>
  <cp:lastPrinted>2015-09-09T08:37:00Z</cp:lastPrinted>
  <dcterms:created xsi:type="dcterms:W3CDTF">2020-04-02T10:55:00Z</dcterms:created>
  <dcterms:modified xsi:type="dcterms:W3CDTF">2020-04-02T10:55:00Z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