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DD2A" w14:textId="646E2993" w:rsidR="00C16DEF" w:rsidRPr="00302082" w:rsidRDefault="00C16DEF" w:rsidP="00C16DEF">
      <w:pPr>
        <w:spacing w:line="240" w:lineRule="auto"/>
        <w:rPr>
          <w:rFonts w:ascii="Arial" w:hAnsi="Arial" w:cs="Arial"/>
          <w:b/>
          <w:i/>
        </w:rPr>
      </w:pPr>
      <w:bookmarkStart w:id="0" w:name="_GoBack"/>
      <w:bookmarkEnd w:id="0"/>
    </w:p>
    <w:p w14:paraId="0F924F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B077B42" w14:textId="0DCF744D" w:rsidR="009A2D37" w:rsidRPr="00737F85" w:rsidRDefault="00AA6229" w:rsidP="00696FF5">
      <w:pPr>
        <w:spacing w:after="120" w:line="240" w:lineRule="auto"/>
        <w:ind w:left="567" w:right="260"/>
        <w:jc w:val="both"/>
        <w:rPr>
          <w:rFonts w:ascii="Arial" w:hAnsi="Arial" w:cs="Arial"/>
          <w:iCs/>
        </w:rPr>
      </w:pPr>
      <w:r>
        <w:rPr>
          <w:rFonts w:ascii="Arial" w:hAnsi="Arial" w:cs="Arial"/>
        </w:rPr>
        <w:t>HIST6061 (</w:t>
      </w:r>
      <w:r w:rsidRPr="00AA6229">
        <w:rPr>
          <w:rFonts w:ascii="Arial" w:hAnsi="Arial" w:cs="Arial"/>
        </w:rPr>
        <w:t>HI6061</w:t>
      </w:r>
      <w:r>
        <w:rPr>
          <w:rFonts w:ascii="Arial" w:hAnsi="Arial" w:cs="Arial"/>
        </w:rPr>
        <w:t xml:space="preserve">) </w:t>
      </w:r>
      <w:r w:rsidR="00AE53F1" w:rsidRPr="00AA6229">
        <w:rPr>
          <w:rFonts w:ascii="Arial" w:hAnsi="Arial" w:cs="Arial"/>
        </w:rPr>
        <w:t>H</w:t>
      </w:r>
      <w:r w:rsidR="00AE53F1" w:rsidRPr="00AE53F1">
        <w:rPr>
          <w:rFonts w:ascii="Arial" w:hAnsi="Arial" w:cs="Arial"/>
        </w:rPr>
        <w:t>uman Experiments and Human Rights during the Cold War, 1945-1989</w:t>
      </w:r>
    </w:p>
    <w:p w14:paraId="691083E4" w14:textId="77777777" w:rsidR="009A2D37" w:rsidRPr="00302082" w:rsidRDefault="009A2D37" w:rsidP="00302082">
      <w:pPr>
        <w:spacing w:after="120" w:line="240" w:lineRule="auto"/>
        <w:ind w:left="426" w:right="260"/>
        <w:jc w:val="both"/>
        <w:rPr>
          <w:rFonts w:ascii="Arial" w:hAnsi="Arial" w:cs="Arial"/>
        </w:rPr>
      </w:pPr>
    </w:p>
    <w:p w14:paraId="39A0B7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5B9902A"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School of History</w:t>
      </w:r>
    </w:p>
    <w:p w14:paraId="1ADC8C07" w14:textId="77777777" w:rsidR="009A2D37" w:rsidRPr="00302082" w:rsidRDefault="009A2D37" w:rsidP="00302082">
      <w:pPr>
        <w:spacing w:after="120" w:line="240" w:lineRule="auto"/>
        <w:ind w:left="426" w:right="260"/>
        <w:rPr>
          <w:rFonts w:ascii="Arial" w:hAnsi="Arial" w:cs="Arial"/>
          <w:i/>
          <w:iCs/>
        </w:rPr>
      </w:pPr>
    </w:p>
    <w:p w14:paraId="19F4AA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31850B" w14:textId="77777777" w:rsidR="009A2D37" w:rsidRPr="00737F85" w:rsidRDefault="00383963" w:rsidP="00696FF5">
      <w:pPr>
        <w:spacing w:after="120" w:line="240" w:lineRule="auto"/>
        <w:ind w:left="567" w:right="260"/>
        <w:jc w:val="both"/>
        <w:rPr>
          <w:rFonts w:ascii="Arial" w:hAnsi="Arial" w:cs="Arial"/>
        </w:rPr>
      </w:pPr>
      <w:r>
        <w:rPr>
          <w:rFonts w:ascii="Arial" w:hAnsi="Arial" w:cs="Arial"/>
        </w:rPr>
        <w:t xml:space="preserve">Level </w:t>
      </w:r>
      <w:r w:rsidR="006D6CF5">
        <w:rPr>
          <w:rFonts w:ascii="Arial" w:hAnsi="Arial" w:cs="Arial"/>
        </w:rPr>
        <w:t>6</w:t>
      </w:r>
    </w:p>
    <w:p w14:paraId="38C9EB23" w14:textId="77777777" w:rsidR="009A2D37" w:rsidRPr="00302082" w:rsidRDefault="009A2D37" w:rsidP="00302082">
      <w:pPr>
        <w:spacing w:after="120" w:line="240" w:lineRule="auto"/>
        <w:ind w:left="426" w:right="260"/>
        <w:rPr>
          <w:rFonts w:ascii="Arial" w:hAnsi="Arial" w:cs="Arial"/>
          <w:i/>
          <w:iCs/>
        </w:rPr>
      </w:pPr>
    </w:p>
    <w:p w14:paraId="354E66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ACB286" w14:textId="77777777" w:rsidR="009A2D37" w:rsidRPr="00737F85" w:rsidRDefault="00E8165E"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6</w:t>
      </w:r>
      <w:r w:rsidR="00737F85">
        <w:rPr>
          <w:rFonts w:ascii="Arial" w:hAnsi="Arial" w:cs="Arial"/>
          <w:sz w:val="22"/>
          <w:szCs w:val="22"/>
        </w:rPr>
        <w:t>0 Credits (</w:t>
      </w:r>
      <w:r>
        <w:rPr>
          <w:rFonts w:ascii="Arial" w:hAnsi="Arial" w:cs="Arial"/>
          <w:sz w:val="22"/>
          <w:szCs w:val="22"/>
        </w:rPr>
        <w:t>30</w:t>
      </w:r>
      <w:r w:rsidR="00737F85">
        <w:rPr>
          <w:rFonts w:ascii="Arial" w:hAnsi="Arial" w:cs="Arial"/>
          <w:sz w:val="22"/>
          <w:szCs w:val="22"/>
        </w:rPr>
        <w:t xml:space="preserve"> ECTS)</w:t>
      </w:r>
    </w:p>
    <w:p w14:paraId="4B4976F3" w14:textId="77777777" w:rsidR="009A2D37" w:rsidRPr="00302082" w:rsidRDefault="009A2D37" w:rsidP="00302082">
      <w:pPr>
        <w:spacing w:after="120" w:line="240" w:lineRule="auto"/>
        <w:ind w:left="426" w:right="260"/>
        <w:rPr>
          <w:rFonts w:ascii="Arial" w:hAnsi="Arial" w:cs="Arial"/>
          <w:i/>
        </w:rPr>
      </w:pPr>
    </w:p>
    <w:p w14:paraId="5C6531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392F49" w14:textId="77777777" w:rsidR="009A2D37" w:rsidRPr="00737F85" w:rsidRDefault="00737F85" w:rsidP="00696FF5">
      <w:pPr>
        <w:spacing w:after="120" w:line="240" w:lineRule="auto"/>
        <w:ind w:left="567" w:right="260"/>
        <w:jc w:val="both"/>
        <w:rPr>
          <w:rFonts w:ascii="Arial" w:hAnsi="Arial" w:cs="Arial"/>
          <w:iCs/>
        </w:rPr>
      </w:pPr>
      <w:r w:rsidRPr="00737F85">
        <w:rPr>
          <w:rFonts w:ascii="Arial" w:hAnsi="Arial" w:cs="Arial"/>
          <w:iCs/>
        </w:rPr>
        <w:t xml:space="preserve">Autumn </w:t>
      </w:r>
      <w:r w:rsidR="00E8165E">
        <w:rPr>
          <w:rFonts w:ascii="Arial" w:hAnsi="Arial" w:cs="Arial"/>
          <w:iCs/>
        </w:rPr>
        <w:t>and</w:t>
      </w:r>
      <w:r w:rsidRPr="00737F85">
        <w:rPr>
          <w:rFonts w:ascii="Arial" w:hAnsi="Arial" w:cs="Arial"/>
          <w:iCs/>
        </w:rPr>
        <w:t xml:space="preserve"> </w:t>
      </w:r>
      <w:proofErr w:type="gramStart"/>
      <w:r w:rsidRPr="00737F85">
        <w:rPr>
          <w:rFonts w:ascii="Arial" w:hAnsi="Arial" w:cs="Arial"/>
          <w:iCs/>
        </w:rPr>
        <w:t>Spring</w:t>
      </w:r>
      <w:proofErr w:type="gramEnd"/>
    </w:p>
    <w:p w14:paraId="79D7C35B" w14:textId="77777777" w:rsidR="009A2D37" w:rsidRPr="00302082" w:rsidRDefault="009A2D37" w:rsidP="00302082">
      <w:pPr>
        <w:spacing w:after="120" w:line="240" w:lineRule="auto"/>
        <w:ind w:left="426" w:right="260"/>
        <w:rPr>
          <w:rFonts w:ascii="Arial" w:hAnsi="Arial" w:cs="Arial"/>
          <w:i/>
          <w:iCs/>
        </w:rPr>
      </w:pPr>
    </w:p>
    <w:p w14:paraId="656E70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0BE1F" w14:textId="77777777" w:rsidR="009A2D37" w:rsidRPr="00737F85" w:rsidRDefault="00737F85" w:rsidP="00696FF5">
      <w:pPr>
        <w:spacing w:after="120" w:line="240" w:lineRule="auto"/>
        <w:ind w:left="567" w:right="260"/>
        <w:rPr>
          <w:rFonts w:ascii="Arial" w:hAnsi="Arial" w:cs="Arial"/>
          <w:iCs/>
        </w:rPr>
      </w:pPr>
      <w:r w:rsidRPr="00737F85">
        <w:rPr>
          <w:rFonts w:ascii="Arial" w:hAnsi="Arial" w:cs="Arial"/>
          <w:iCs/>
        </w:rPr>
        <w:t>None</w:t>
      </w:r>
    </w:p>
    <w:p w14:paraId="26BA97E9" w14:textId="77777777" w:rsidR="009A2D37" w:rsidRPr="00302082" w:rsidRDefault="009A2D37" w:rsidP="00302082">
      <w:pPr>
        <w:spacing w:after="120" w:line="240" w:lineRule="auto"/>
        <w:ind w:left="426" w:right="260"/>
        <w:rPr>
          <w:rFonts w:ascii="Arial" w:hAnsi="Arial" w:cs="Arial"/>
          <w:i/>
          <w:iCs/>
        </w:rPr>
      </w:pPr>
    </w:p>
    <w:p w14:paraId="5F6287A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FB12D8" w14:textId="49B987E2" w:rsidR="00E233C1" w:rsidRPr="00737F85" w:rsidRDefault="00460104" w:rsidP="00696FF5">
      <w:pPr>
        <w:spacing w:after="120" w:line="240" w:lineRule="auto"/>
        <w:ind w:left="567" w:right="260"/>
        <w:jc w:val="both"/>
        <w:rPr>
          <w:rFonts w:ascii="Arial" w:hAnsi="Arial" w:cs="Arial"/>
        </w:rPr>
      </w:pPr>
      <w:r>
        <w:rPr>
          <w:rFonts w:ascii="Arial" w:hAnsi="Arial" w:cs="Arial"/>
          <w:iCs/>
        </w:rPr>
        <w:t xml:space="preserve">BA (Hons) </w:t>
      </w:r>
      <w:r w:rsidR="00737F85" w:rsidRPr="00737F85">
        <w:rPr>
          <w:rFonts w:ascii="Arial" w:hAnsi="Arial" w:cs="Arial"/>
          <w:iCs/>
        </w:rPr>
        <w:t xml:space="preserve">History, </w:t>
      </w:r>
      <w:r>
        <w:rPr>
          <w:rFonts w:ascii="Arial" w:hAnsi="Arial" w:cs="Arial"/>
          <w:iCs/>
        </w:rPr>
        <w:t xml:space="preserve">BA (Hons) </w:t>
      </w:r>
      <w:r w:rsidR="00737F85" w:rsidRPr="00737F85">
        <w:rPr>
          <w:rFonts w:ascii="Arial" w:hAnsi="Arial" w:cs="Arial"/>
          <w:iCs/>
        </w:rPr>
        <w:t>History Joint Honours Programmes</w:t>
      </w:r>
      <w:r w:rsidR="004B4D1C">
        <w:rPr>
          <w:rFonts w:ascii="Arial" w:hAnsi="Arial" w:cs="Arial"/>
          <w:iCs/>
        </w:rPr>
        <w:t xml:space="preserve">, </w:t>
      </w:r>
      <w:r>
        <w:rPr>
          <w:rFonts w:ascii="Arial" w:hAnsi="Arial" w:cs="Arial"/>
          <w:iCs/>
        </w:rPr>
        <w:t xml:space="preserve">BA (Hons) </w:t>
      </w:r>
      <w:r w:rsidR="004B4D1C">
        <w:rPr>
          <w:rFonts w:ascii="Arial" w:hAnsi="Arial" w:cs="Arial"/>
          <w:iCs/>
        </w:rPr>
        <w:t>Military History</w:t>
      </w:r>
    </w:p>
    <w:p w14:paraId="780EC800" w14:textId="77777777" w:rsidR="009A2D37" w:rsidRPr="00302082" w:rsidRDefault="009A2D37" w:rsidP="00302082">
      <w:pPr>
        <w:spacing w:after="120" w:line="240" w:lineRule="auto"/>
        <w:ind w:left="426" w:right="260"/>
        <w:rPr>
          <w:rFonts w:ascii="Arial" w:hAnsi="Arial" w:cs="Arial"/>
          <w:i/>
          <w:iCs/>
        </w:rPr>
      </w:pPr>
    </w:p>
    <w:p w14:paraId="6A1B988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B7DFBE" w14:textId="1F473DBA" w:rsidR="00AE53F1" w:rsidRPr="00AE53F1" w:rsidRDefault="00AE53F1" w:rsidP="00AE53F1">
      <w:pPr>
        <w:spacing w:after="120" w:line="240" w:lineRule="auto"/>
        <w:ind w:left="567" w:right="260"/>
        <w:rPr>
          <w:rFonts w:ascii="Arial" w:hAnsi="Arial" w:cs="Arial"/>
        </w:rPr>
      </w:pPr>
      <w:proofErr w:type="gramStart"/>
      <w:r>
        <w:rPr>
          <w:rFonts w:ascii="Arial" w:hAnsi="Arial" w:cs="Arial"/>
        </w:rPr>
        <w:t>8</w:t>
      </w:r>
      <w:r w:rsidRPr="00AE53F1">
        <w:rPr>
          <w:rFonts w:ascii="Arial" w:hAnsi="Arial" w:cs="Arial"/>
        </w:rPr>
        <w:t>.1</w:t>
      </w:r>
      <w:r>
        <w:rPr>
          <w:rFonts w:ascii="Arial" w:hAnsi="Arial" w:cs="Arial"/>
        </w:rPr>
        <w:t xml:space="preserve">  Demonstrate</w:t>
      </w:r>
      <w:proofErr w:type="gramEnd"/>
      <w:r w:rsidRPr="00AE53F1">
        <w:rPr>
          <w:rFonts w:ascii="Arial" w:hAnsi="Arial" w:cs="Arial"/>
        </w:rPr>
        <w:t xml:space="preserve"> a firm understanding of the historiography and historical context of human rights in human experiments during the Cold War, with a particular emphasis on the United Kingdom and the United States</w:t>
      </w:r>
      <w:r w:rsidR="00C97D5E">
        <w:rPr>
          <w:rFonts w:ascii="Arial" w:hAnsi="Arial" w:cs="Arial"/>
        </w:rPr>
        <w:t>.</w:t>
      </w:r>
    </w:p>
    <w:p w14:paraId="0C0F4E4C" w14:textId="0B17C99D" w:rsidR="00AE53F1" w:rsidRPr="00AE53F1" w:rsidRDefault="00AE53F1" w:rsidP="00AE53F1">
      <w:pPr>
        <w:spacing w:after="120" w:line="240" w:lineRule="auto"/>
        <w:ind w:left="567" w:right="260"/>
        <w:rPr>
          <w:rFonts w:ascii="Arial" w:hAnsi="Arial" w:cs="Arial"/>
        </w:rPr>
      </w:pPr>
      <w:r>
        <w:rPr>
          <w:rFonts w:ascii="Arial" w:hAnsi="Arial" w:cs="Arial"/>
        </w:rPr>
        <w:t xml:space="preserve">8.2 </w:t>
      </w:r>
      <w:r w:rsidRPr="00AE53F1">
        <w:rPr>
          <w:rFonts w:ascii="Arial" w:hAnsi="Arial" w:cs="Arial"/>
        </w:rPr>
        <w:t>Demonstrate a broad conceptual command of the course, and a thorough and systematic understanding of the latest research in the history of military and civilian medical ethics and human experimentation.</w:t>
      </w:r>
    </w:p>
    <w:p w14:paraId="423B7E05" w14:textId="2A9E32A0" w:rsidR="00AE53F1" w:rsidRPr="00AE53F1" w:rsidRDefault="00AE53F1" w:rsidP="00AE53F1">
      <w:pPr>
        <w:spacing w:after="120" w:line="240" w:lineRule="auto"/>
        <w:ind w:left="567" w:right="260"/>
        <w:rPr>
          <w:rFonts w:ascii="Arial" w:hAnsi="Arial" w:cs="Arial"/>
        </w:rPr>
      </w:pPr>
      <w:r>
        <w:rPr>
          <w:rFonts w:ascii="Arial" w:hAnsi="Arial" w:cs="Arial"/>
        </w:rPr>
        <w:t>8.3 A</w:t>
      </w:r>
      <w:r w:rsidRPr="00AE53F1">
        <w:rPr>
          <w:rFonts w:ascii="Arial" w:hAnsi="Arial" w:cs="Arial"/>
        </w:rPr>
        <w:t>ssess and critically engage with a wide range of primary sources (both written and visual) related to the history of human rights in human experiments, medical ethics and informed consent, chemical and biological warfare, and international conventions banning the use and development of non-conventional weapons.</w:t>
      </w:r>
    </w:p>
    <w:p w14:paraId="7F5E596F" w14:textId="1208EC82" w:rsidR="00AE53F1" w:rsidRPr="00AE53F1" w:rsidRDefault="00AE53F1" w:rsidP="00AE53F1">
      <w:pPr>
        <w:spacing w:after="120" w:line="240" w:lineRule="auto"/>
        <w:ind w:left="567" w:right="260"/>
        <w:rPr>
          <w:rFonts w:ascii="Arial" w:hAnsi="Arial" w:cs="Arial"/>
        </w:rPr>
      </w:pPr>
      <w:r>
        <w:rPr>
          <w:rFonts w:ascii="Arial" w:hAnsi="Arial" w:cs="Arial"/>
        </w:rPr>
        <w:t>8.4 Learn</w:t>
      </w:r>
      <w:r w:rsidRPr="00AE53F1">
        <w:rPr>
          <w:rFonts w:ascii="Arial" w:hAnsi="Arial" w:cs="Arial"/>
        </w:rPr>
        <w:t xml:space="preserve"> independently through individual engagement with a wide range of subject-related high-level resources, including research in archival collections such as the National Archives, and </w:t>
      </w:r>
      <w:proofErr w:type="spellStart"/>
      <w:r w:rsidRPr="00AE53F1">
        <w:rPr>
          <w:rFonts w:ascii="Arial" w:hAnsi="Arial" w:cs="Arial"/>
        </w:rPr>
        <w:t>Wellcome</w:t>
      </w:r>
      <w:proofErr w:type="spellEnd"/>
      <w:r w:rsidRPr="00AE53F1">
        <w:rPr>
          <w:rFonts w:ascii="Arial" w:hAnsi="Arial" w:cs="Arial"/>
        </w:rPr>
        <w:t xml:space="preserve"> Library Archives and Manuscript collection.</w:t>
      </w:r>
    </w:p>
    <w:p w14:paraId="6199EC6F" w14:textId="7B65FC88" w:rsidR="00E8165E" w:rsidRPr="00E8165E" w:rsidRDefault="00AE53F1" w:rsidP="00AE53F1">
      <w:pPr>
        <w:spacing w:after="120" w:line="240" w:lineRule="auto"/>
        <w:ind w:left="567" w:right="260"/>
        <w:rPr>
          <w:rFonts w:ascii="Arial" w:hAnsi="Arial" w:cs="Arial"/>
        </w:rPr>
      </w:pPr>
      <w:r>
        <w:rPr>
          <w:rFonts w:ascii="Arial" w:hAnsi="Arial" w:cs="Arial"/>
        </w:rPr>
        <w:t>8.5 Analyse</w:t>
      </w:r>
      <w:r w:rsidRPr="00AE53F1">
        <w:rPr>
          <w:rFonts w:ascii="Arial" w:hAnsi="Arial" w:cs="Arial"/>
        </w:rPr>
        <w:t xml:space="preserve"> key texts related to the Maddison Inquest(s) in 1953 and 2004 and other materials important for an understanding of the development of military medical ethics in the 20th and 21st centuries.</w:t>
      </w:r>
    </w:p>
    <w:p w14:paraId="69105AEE" w14:textId="77777777" w:rsidR="001F04DB" w:rsidRPr="00302082" w:rsidRDefault="001F04DB" w:rsidP="001F04DB">
      <w:pPr>
        <w:spacing w:after="120" w:line="240" w:lineRule="auto"/>
        <w:ind w:left="567" w:right="260"/>
        <w:rPr>
          <w:rFonts w:ascii="Arial" w:hAnsi="Arial" w:cs="Arial"/>
          <w:b/>
          <w:i/>
        </w:rPr>
      </w:pPr>
    </w:p>
    <w:p w14:paraId="337D38E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FD951E" w14:textId="1295EE49" w:rsidR="00AE53F1" w:rsidRPr="00AE53F1" w:rsidRDefault="00AE53F1" w:rsidP="00AE53F1">
      <w:pPr>
        <w:spacing w:after="120" w:line="240" w:lineRule="auto"/>
        <w:ind w:left="567" w:right="260"/>
        <w:rPr>
          <w:rFonts w:ascii="Arial" w:hAnsi="Arial" w:cs="Arial"/>
        </w:rPr>
      </w:pPr>
      <w:r>
        <w:rPr>
          <w:rFonts w:ascii="Arial" w:hAnsi="Arial" w:cs="Arial"/>
        </w:rPr>
        <w:lastRenderedPageBreak/>
        <w:t>9.1 Express</w:t>
      </w:r>
      <w:r w:rsidRPr="00AE53F1">
        <w:rPr>
          <w:rFonts w:ascii="Arial" w:hAnsi="Arial" w:cs="Arial"/>
        </w:rPr>
        <w:t xml:space="preserve"> complex ideas and arguments orally and in writing, skills which can be transferred to other areas of study and employment</w:t>
      </w:r>
      <w:r w:rsidR="00C97D5E">
        <w:rPr>
          <w:rFonts w:ascii="Arial" w:hAnsi="Arial" w:cs="Arial"/>
        </w:rPr>
        <w:t>.</w:t>
      </w:r>
      <w:r w:rsidRPr="00AE53F1">
        <w:rPr>
          <w:rFonts w:ascii="Arial" w:hAnsi="Arial" w:cs="Arial"/>
        </w:rPr>
        <w:t xml:space="preserve"> </w:t>
      </w:r>
    </w:p>
    <w:p w14:paraId="4C4E8281" w14:textId="1CE32A2F" w:rsidR="00AE53F1" w:rsidRPr="00AE53F1" w:rsidRDefault="00AE53F1" w:rsidP="00AE53F1">
      <w:pPr>
        <w:spacing w:after="120" w:line="240" w:lineRule="auto"/>
        <w:ind w:left="567" w:right="260"/>
        <w:rPr>
          <w:rFonts w:ascii="Arial" w:hAnsi="Arial" w:cs="Arial"/>
        </w:rPr>
      </w:pPr>
      <w:proofErr w:type="gramStart"/>
      <w:r>
        <w:rPr>
          <w:rFonts w:ascii="Arial" w:hAnsi="Arial" w:cs="Arial"/>
        </w:rPr>
        <w:t xml:space="preserve">9.2 </w:t>
      </w:r>
      <w:r w:rsidRPr="00AE53F1">
        <w:rPr>
          <w:rFonts w:ascii="Arial" w:hAnsi="Arial" w:cs="Arial"/>
        </w:rPr>
        <w:t xml:space="preserve"> </w:t>
      </w:r>
      <w:r>
        <w:rPr>
          <w:rFonts w:ascii="Arial" w:hAnsi="Arial" w:cs="Arial"/>
        </w:rPr>
        <w:t>Demonstrate</w:t>
      </w:r>
      <w:proofErr w:type="gramEnd"/>
      <w:r>
        <w:rPr>
          <w:rFonts w:ascii="Arial" w:hAnsi="Arial" w:cs="Arial"/>
        </w:rPr>
        <w:t xml:space="preserve"> improved</w:t>
      </w:r>
      <w:r w:rsidRPr="00AE53F1">
        <w:rPr>
          <w:rFonts w:ascii="Arial" w:hAnsi="Arial" w:cs="Arial"/>
        </w:rPr>
        <w:t xml:space="preserve"> communication, presentational skills and information technology skills</w:t>
      </w:r>
      <w:r w:rsidR="00C97D5E">
        <w:rPr>
          <w:rFonts w:ascii="Arial" w:hAnsi="Arial" w:cs="Arial"/>
        </w:rPr>
        <w:t>.</w:t>
      </w:r>
      <w:r w:rsidRPr="00AE53F1">
        <w:rPr>
          <w:rFonts w:ascii="Arial" w:hAnsi="Arial" w:cs="Arial"/>
        </w:rPr>
        <w:t xml:space="preserve"> </w:t>
      </w:r>
    </w:p>
    <w:p w14:paraId="7AF16A33" w14:textId="19FF9179" w:rsidR="00AE53F1" w:rsidRPr="00AE53F1" w:rsidRDefault="00AE53F1" w:rsidP="00AE53F1">
      <w:pPr>
        <w:spacing w:after="120" w:line="240" w:lineRule="auto"/>
        <w:ind w:left="567" w:right="260"/>
        <w:rPr>
          <w:rFonts w:ascii="Arial" w:hAnsi="Arial" w:cs="Arial"/>
        </w:rPr>
      </w:pPr>
      <w:r>
        <w:rPr>
          <w:rFonts w:ascii="Arial" w:hAnsi="Arial" w:cs="Arial"/>
        </w:rPr>
        <w:t>9.3 D</w:t>
      </w:r>
      <w:r w:rsidRPr="00AE53F1">
        <w:rPr>
          <w:rFonts w:ascii="Arial" w:hAnsi="Arial" w:cs="Arial"/>
        </w:rPr>
        <w:t>emonstrate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w:t>
      </w:r>
      <w:r w:rsidR="00C97D5E">
        <w:rPr>
          <w:rFonts w:ascii="Arial" w:hAnsi="Arial" w:cs="Arial"/>
        </w:rPr>
        <w:t>.</w:t>
      </w:r>
      <w:r w:rsidRPr="00AE53F1">
        <w:rPr>
          <w:rFonts w:ascii="Arial" w:hAnsi="Arial" w:cs="Arial"/>
        </w:rPr>
        <w:t xml:space="preserve"> </w:t>
      </w:r>
    </w:p>
    <w:p w14:paraId="1A84107B" w14:textId="4CBBCC3F" w:rsidR="00AE53F1" w:rsidRPr="00AE53F1" w:rsidRDefault="00AE53F1" w:rsidP="00AE53F1">
      <w:pPr>
        <w:spacing w:after="120" w:line="240" w:lineRule="auto"/>
        <w:ind w:left="567" w:right="260"/>
        <w:rPr>
          <w:rFonts w:ascii="Arial" w:hAnsi="Arial" w:cs="Arial"/>
        </w:rPr>
      </w:pPr>
      <w:r>
        <w:rPr>
          <w:rFonts w:ascii="Arial" w:hAnsi="Arial" w:cs="Arial"/>
        </w:rPr>
        <w:t>9.4 A</w:t>
      </w:r>
      <w:r w:rsidRPr="00AE53F1">
        <w:rPr>
          <w:rFonts w:ascii="Arial" w:hAnsi="Arial" w:cs="Arial"/>
        </w:rPr>
        <w:t>nalyse, discuss, deconstruct and demonstrate cogent understanding of central texts and, subsequently, assemble and present arguments based on this analysis; by virtue of this process, students will also have gained an appreciation of the uncertainty and ambiguity which surrounds the core themes of this module</w:t>
      </w:r>
      <w:r w:rsidR="00C97D5E">
        <w:rPr>
          <w:rFonts w:ascii="Arial" w:hAnsi="Arial" w:cs="Arial"/>
        </w:rPr>
        <w:t>.</w:t>
      </w:r>
    </w:p>
    <w:p w14:paraId="5778EC2A" w14:textId="2E097A25" w:rsidR="00E8165E" w:rsidRPr="00737F85" w:rsidRDefault="00AE53F1" w:rsidP="00AE53F1">
      <w:pPr>
        <w:spacing w:after="120" w:line="240" w:lineRule="auto"/>
        <w:ind w:left="567" w:right="260"/>
        <w:rPr>
          <w:rFonts w:ascii="Arial" w:hAnsi="Arial" w:cs="Arial"/>
        </w:rPr>
      </w:pPr>
      <w:r>
        <w:rPr>
          <w:rFonts w:ascii="Arial" w:hAnsi="Arial" w:cs="Arial"/>
        </w:rPr>
        <w:t>9.5 A</w:t>
      </w:r>
      <w:r w:rsidRPr="00AE53F1">
        <w:rPr>
          <w:rFonts w:ascii="Arial" w:hAnsi="Arial" w:cs="Arial"/>
        </w:rPr>
        <w:t xml:space="preserve">pproach problem solving creatively, and </w:t>
      </w:r>
      <w:proofErr w:type="spellStart"/>
      <w:r w:rsidRPr="00AE53F1">
        <w:rPr>
          <w:rFonts w:ascii="Arial" w:hAnsi="Arial" w:cs="Arial"/>
        </w:rPr>
        <w:t>formcritical</w:t>
      </w:r>
      <w:proofErr w:type="spellEnd"/>
      <w:r w:rsidRPr="00AE53F1">
        <w:rPr>
          <w:rFonts w:ascii="Arial" w:hAnsi="Arial" w:cs="Arial"/>
        </w:rPr>
        <w:t xml:space="preserve"> and evaluative judgments about the appropriateness of these approaches</w:t>
      </w:r>
      <w:r w:rsidR="00C97D5E">
        <w:rPr>
          <w:rFonts w:ascii="Arial" w:hAnsi="Arial" w:cs="Arial"/>
        </w:rPr>
        <w:t>.</w:t>
      </w:r>
    </w:p>
    <w:p w14:paraId="5508EAE9" w14:textId="77777777" w:rsidR="009A2D37" w:rsidRDefault="009A2D37" w:rsidP="00302082">
      <w:pPr>
        <w:pStyle w:val="Default"/>
        <w:spacing w:after="120"/>
        <w:ind w:left="720" w:right="260"/>
        <w:rPr>
          <w:color w:val="auto"/>
          <w:sz w:val="22"/>
          <w:szCs w:val="22"/>
        </w:rPr>
      </w:pPr>
    </w:p>
    <w:p w14:paraId="5228DC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ABEE2F" w14:textId="77777777" w:rsidR="009A2D37" w:rsidRDefault="00AE53F1" w:rsidP="004B4D1C">
      <w:pPr>
        <w:spacing w:after="120" w:line="240" w:lineRule="auto"/>
        <w:ind w:left="567" w:right="260"/>
        <w:rPr>
          <w:rFonts w:ascii="Arial" w:hAnsi="Arial" w:cs="Arial"/>
          <w:iCs/>
        </w:rPr>
      </w:pPr>
      <w:r w:rsidRPr="00AE53F1">
        <w:rPr>
          <w:rFonts w:ascii="Arial" w:hAnsi="Arial" w:cs="Arial"/>
          <w:iCs/>
        </w:rPr>
        <w:t xml:space="preserve">This Special Subject examines the history of human rights in human experimentation during the Cold War, and traces the development of biological and chemical warfare research from the Second World War through to Allied military research in the 1950s and 1960s. It charts continuity and change in the development of medical ethics standards in modern military research on humans, and assesses the extent to which research subjects were informed of the risks involved in the research. The module explores Allied war-time research and the international response to news of Nazi medical atrocities. The Nuremberg Medical Trial and the Nuremberg Code are important milestones in the history of informed consent and modern medical ethics. The module looks at the </w:t>
      </w:r>
      <w:proofErr w:type="gramStart"/>
      <w:r w:rsidRPr="00AE53F1">
        <w:rPr>
          <w:rFonts w:ascii="Arial" w:hAnsi="Arial" w:cs="Arial"/>
          <w:iCs/>
        </w:rPr>
        <w:t>Nuclear</w:t>
      </w:r>
      <w:proofErr w:type="gramEnd"/>
      <w:r w:rsidRPr="00AE53F1">
        <w:rPr>
          <w:rFonts w:ascii="Arial" w:hAnsi="Arial" w:cs="Arial"/>
          <w:iCs/>
        </w:rPr>
        <w:t xml:space="preserve"> testing programme that was conducted by the United States and the United Kingdom in the 1950s, and investigates in detail the evolving chemical warfare programme at </w:t>
      </w:r>
      <w:proofErr w:type="spellStart"/>
      <w:r w:rsidRPr="00AE53F1">
        <w:rPr>
          <w:rFonts w:ascii="Arial" w:hAnsi="Arial" w:cs="Arial"/>
          <w:iCs/>
        </w:rPr>
        <w:t>Porton</w:t>
      </w:r>
      <w:proofErr w:type="spellEnd"/>
      <w:r w:rsidRPr="00AE53F1">
        <w:rPr>
          <w:rFonts w:ascii="Arial" w:hAnsi="Arial" w:cs="Arial"/>
          <w:iCs/>
        </w:rPr>
        <w:t xml:space="preserve"> Down in the United Kingdom where one of the servicemen, Ronald Maddison, died from exposure to the nerve agent sarin in 1953. The history of research into </w:t>
      </w:r>
      <w:proofErr w:type="spellStart"/>
      <w:r w:rsidRPr="00AE53F1">
        <w:rPr>
          <w:rFonts w:ascii="Arial" w:hAnsi="Arial" w:cs="Arial"/>
          <w:iCs/>
        </w:rPr>
        <w:t>incapacitants</w:t>
      </w:r>
      <w:proofErr w:type="spellEnd"/>
      <w:r w:rsidRPr="00AE53F1">
        <w:rPr>
          <w:rFonts w:ascii="Arial" w:hAnsi="Arial" w:cs="Arial"/>
          <w:iCs/>
        </w:rPr>
        <w:t xml:space="preserve"> and biological warfare agents is located into a wider context of an evolving system of medical ethics in which non-therapeutic experiments without consent were increasingly seen as unethical and unlawful. Finally, the attempts by veteran groups for recognition and compensation will be examined as part of a wider political history of the Cold War which has shaped our understanding and memory of the more recent past.</w:t>
      </w:r>
    </w:p>
    <w:p w14:paraId="52DD33A6" w14:textId="77777777" w:rsidR="001F04DB" w:rsidRPr="00696A00" w:rsidRDefault="001F04DB" w:rsidP="0022740B">
      <w:pPr>
        <w:spacing w:after="120" w:line="240" w:lineRule="auto"/>
        <w:ind w:left="567" w:right="260"/>
        <w:rPr>
          <w:rFonts w:ascii="Arial" w:hAnsi="Arial" w:cs="Arial"/>
          <w:iCs/>
        </w:rPr>
      </w:pPr>
    </w:p>
    <w:p w14:paraId="0B13587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34F1E6"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D. Avery. (2013)</w:t>
      </w:r>
      <w:r w:rsidRPr="00AE53F1">
        <w:rPr>
          <w:rFonts w:ascii="Arial" w:hAnsi="Arial" w:cs="Arial"/>
          <w:i/>
        </w:rPr>
        <w:t xml:space="preserve"> Pathogens for War</w:t>
      </w:r>
      <w:r w:rsidRPr="00AE53F1">
        <w:rPr>
          <w:rFonts w:ascii="Arial" w:hAnsi="Arial" w:cs="Arial"/>
        </w:rPr>
        <w:t>. Toronto: Toronto University Press</w:t>
      </w:r>
    </w:p>
    <w:p w14:paraId="0A30A7ED"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 xml:space="preserve">B. </w:t>
      </w:r>
      <w:proofErr w:type="spellStart"/>
      <w:r w:rsidRPr="00AE53F1">
        <w:rPr>
          <w:rFonts w:ascii="Arial" w:hAnsi="Arial" w:cs="Arial"/>
        </w:rPr>
        <w:t>Balmer</w:t>
      </w:r>
      <w:proofErr w:type="spellEnd"/>
      <w:r w:rsidRPr="00AE53F1">
        <w:rPr>
          <w:rFonts w:ascii="Arial" w:hAnsi="Arial" w:cs="Arial"/>
        </w:rPr>
        <w:t>. (2001)</w:t>
      </w:r>
      <w:r w:rsidRPr="00AE53F1">
        <w:rPr>
          <w:rFonts w:ascii="Arial" w:hAnsi="Arial" w:cs="Arial"/>
          <w:i/>
        </w:rPr>
        <w:t xml:space="preserve"> Britain and Biological Warfare</w:t>
      </w:r>
      <w:r w:rsidRPr="00AE53F1">
        <w:rPr>
          <w:rFonts w:ascii="Arial" w:hAnsi="Arial" w:cs="Arial"/>
        </w:rPr>
        <w:t>. Basingstoke: Palgrave</w:t>
      </w:r>
    </w:p>
    <w:p w14:paraId="07A6D863"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 xml:space="preserve">B. </w:t>
      </w:r>
      <w:proofErr w:type="spellStart"/>
      <w:r w:rsidRPr="00AE53F1">
        <w:rPr>
          <w:rFonts w:ascii="Arial" w:hAnsi="Arial" w:cs="Arial"/>
        </w:rPr>
        <w:t>Balmer</w:t>
      </w:r>
      <w:proofErr w:type="spellEnd"/>
      <w:r w:rsidRPr="00AE53F1">
        <w:rPr>
          <w:rFonts w:ascii="Arial" w:hAnsi="Arial" w:cs="Arial"/>
        </w:rPr>
        <w:t>. (2012)</w:t>
      </w:r>
      <w:r w:rsidRPr="00AE53F1">
        <w:rPr>
          <w:rFonts w:ascii="Arial" w:hAnsi="Arial" w:cs="Arial"/>
          <w:i/>
        </w:rPr>
        <w:t xml:space="preserve"> Secrecy and Science</w:t>
      </w:r>
      <w:r w:rsidRPr="00AE53F1">
        <w:rPr>
          <w:rFonts w:ascii="Arial" w:hAnsi="Arial" w:cs="Arial"/>
        </w:rPr>
        <w:t xml:space="preserve">. Farnham: </w:t>
      </w:r>
      <w:proofErr w:type="spellStart"/>
      <w:r w:rsidRPr="00AE53F1">
        <w:rPr>
          <w:rFonts w:ascii="Arial" w:hAnsi="Arial" w:cs="Arial"/>
        </w:rPr>
        <w:t>Ashgate</w:t>
      </w:r>
      <w:proofErr w:type="spellEnd"/>
    </w:p>
    <w:p w14:paraId="26C8130B"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R. Cooter, M. Harrison, S. Sturdy. (1999)</w:t>
      </w:r>
      <w:r w:rsidRPr="00AE53F1">
        <w:rPr>
          <w:rFonts w:ascii="Arial" w:hAnsi="Arial" w:cs="Arial"/>
          <w:i/>
        </w:rPr>
        <w:t xml:space="preserve"> Medicine and Modern Warfare</w:t>
      </w:r>
      <w:r w:rsidRPr="00AE53F1">
        <w:rPr>
          <w:rFonts w:ascii="Arial" w:hAnsi="Arial" w:cs="Arial"/>
        </w:rPr>
        <w:t xml:space="preserve">. Amsterdam: </w:t>
      </w:r>
      <w:proofErr w:type="spellStart"/>
      <w:r w:rsidRPr="00AE53F1">
        <w:rPr>
          <w:rFonts w:ascii="Arial" w:hAnsi="Arial" w:cs="Arial"/>
        </w:rPr>
        <w:t>Rodopi</w:t>
      </w:r>
      <w:proofErr w:type="spellEnd"/>
    </w:p>
    <w:p w14:paraId="648F4358"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M. Gross &amp; D. Carrick. (2012)</w:t>
      </w:r>
      <w:r w:rsidRPr="00AE53F1">
        <w:rPr>
          <w:rFonts w:ascii="Arial" w:hAnsi="Arial" w:cs="Arial"/>
          <w:i/>
        </w:rPr>
        <w:t xml:space="preserve"> Military Medical Ethics</w:t>
      </w:r>
      <w:r w:rsidRPr="00AE53F1">
        <w:rPr>
          <w:rFonts w:ascii="Arial" w:hAnsi="Arial" w:cs="Arial"/>
        </w:rPr>
        <w:t xml:space="preserve">. Farnham: </w:t>
      </w:r>
      <w:proofErr w:type="spellStart"/>
      <w:r w:rsidRPr="00AE53F1">
        <w:rPr>
          <w:rFonts w:ascii="Arial" w:hAnsi="Arial" w:cs="Arial"/>
        </w:rPr>
        <w:t>Ashgate</w:t>
      </w:r>
      <w:proofErr w:type="spellEnd"/>
    </w:p>
    <w:p w14:paraId="671782AC"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P.M. Hammond &amp; G.B. Carter. (2002)</w:t>
      </w:r>
      <w:r w:rsidRPr="00AE53F1">
        <w:rPr>
          <w:rFonts w:ascii="Arial" w:hAnsi="Arial" w:cs="Arial"/>
          <w:i/>
        </w:rPr>
        <w:t xml:space="preserve"> From Biological Warfare to Healthcare. </w:t>
      </w:r>
      <w:r w:rsidRPr="00AE53F1">
        <w:rPr>
          <w:rFonts w:ascii="Arial" w:hAnsi="Arial" w:cs="Arial"/>
        </w:rPr>
        <w:t>Basingstoke: Palgrave</w:t>
      </w:r>
    </w:p>
    <w:p w14:paraId="0BFCFC6B"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J.D. Moreno. (1999).</w:t>
      </w:r>
      <w:r w:rsidRPr="00AE53F1">
        <w:rPr>
          <w:rFonts w:ascii="Arial" w:hAnsi="Arial" w:cs="Arial"/>
          <w:i/>
        </w:rPr>
        <w:t xml:space="preserve"> Undue Risk: Secret State Experiments on Humans</w:t>
      </w:r>
      <w:r w:rsidRPr="00AE53F1">
        <w:rPr>
          <w:rFonts w:ascii="Arial" w:hAnsi="Arial" w:cs="Arial"/>
        </w:rPr>
        <w:t>. New York: Routledge</w:t>
      </w:r>
    </w:p>
    <w:p w14:paraId="036C58FC"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J.D. Moreno.</w:t>
      </w:r>
      <w:r w:rsidRPr="00AE53F1">
        <w:rPr>
          <w:rFonts w:ascii="Arial" w:hAnsi="Arial" w:cs="Arial"/>
          <w:i/>
        </w:rPr>
        <w:t xml:space="preserve"> Mind Wars: Brain Research and National Defence</w:t>
      </w:r>
      <w:r w:rsidRPr="00AE53F1">
        <w:rPr>
          <w:rFonts w:ascii="Arial" w:hAnsi="Arial" w:cs="Arial"/>
        </w:rPr>
        <w:t>. New York: Dana Press</w:t>
      </w:r>
    </w:p>
    <w:p w14:paraId="6E9E734A"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lang w:val="de-DE"/>
        </w:rPr>
        <w:t xml:space="preserve">U. Schmidt &amp; A. Frewer (eds.). </w:t>
      </w:r>
      <w:r w:rsidRPr="00AE53F1">
        <w:rPr>
          <w:rFonts w:ascii="Arial" w:hAnsi="Arial" w:cs="Arial"/>
        </w:rPr>
        <w:t>(2007)</w:t>
      </w:r>
      <w:r w:rsidRPr="00AE53F1">
        <w:rPr>
          <w:rFonts w:ascii="Arial" w:hAnsi="Arial" w:cs="Arial"/>
          <w:i/>
        </w:rPr>
        <w:t xml:space="preserve"> History and Theory of Human Experimentation</w:t>
      </w:r>
      <w:r w:rsidRPr="00AE53F1">
        <w:rPr>
          <w:rFonts w:ascii="Arial" w:hAnsi="Arial" w:cs="Arial"/>
        </w:rPr>
        <w:t>. London: Steiner</w:t>
      </w:r>
    </w:p>
    <w:p w14:paraId="4FB9E37B"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U. Schmidt. (2004)</w:t>
      </w:r>
      <w:r w:rsidRPr="00AE53F1">
        <w:rPr>
          <w:rFonts w:ascii="Arial" w:hAnsi="Arial" w:cs="Arial"/>
          <w:i/>
        </w:rPr>
        <w:t xml:space="preserve"> Justice at Nuremberg</w:t>
      </w:r>
      <w:r w:rsidRPr="00AE53F1">
        <w:rPr>
          <w:rFonts w:ascii="Arial" w:hAnsi="Arial" w:cs="Arial"/>
        </w:rPr>
        <w:t>. Basingstoke: Palgrave</w:t>
      </w:r>
    </w:p>
    <w:p w14:paraId="2958BA6E"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lang w:val="de-DE"/>
        </w:rPr>
        <w:t xml:space="preserve">U. Tröhler &amp; S. Reiter-Theil (eds.). </w:t>
      </w:r>
      <w:r w:rsidRPr="00AE53F1">
        <w:rPr>
          <w:rFonts w:ascii="Arial" w:hAnsi="Arial" w:cs="Arial"/>
        </w:rPr>
        <w:t>(1998)</w:t>
      </w:r>
      <w:r w:rsidRPr="00AE53F1">
        <w:rPr>
          <w:rFonts w:ascii="Arial" w:hAnsi="Arial" w:cs="Arial"/>
          <w:i/>
        </w:rPr>
        <w:t xml:space="preserve"> Ethics Codes in Medicine</w:t>
      </w:r>
      <w:r w:rsidRPr="00AE53F1">
        <w:rPr>
          <w:rFonts w:ascii="Arial" w:hAnsi="Arial" w:cs="Arial"/>
        </w:rPr>
        <w:t xml:space="preserve">. Aldershot: </w:t>
      </w:r>
      <w:proofErr w:type="spellStart"/>
      <w:r w:rsidRPr="00AE53F1">
        <w:rPr>
          <w:rFonts w:ascii="Arial" w:hAnsi="Arial" w:cs="Arial"/>
        </w:rPr>
        <w:t>Ashgate</w:t>
      </w:r>
      <w:proofErr w:type="spellEnd"/>
    </w:p>
    <w:p w14:paraId="4BF4D225" w14:textId="77777777" w:rsidR="00AE53F1" w:rsidRPr="00AE53F1" w:rsidRDefault="00AE53F1" w:rsidP="00AE53F1">
      <w:pPr>
        <w:pStyle w:val="ListParagraph"/>
        <w:spacing w:before="60" w:after="60" w:line="240" w:lineRule="auto"/>
        <w:ind w:right="-330"/>
        <w:jc w:val="both"/>
        <w:rPr>
          <w:rFonts w:ascii="Arial" w:hAnsi="Arial" w:cs="Arial"/>
        </w:rPr>
      </w:pPr>
      <w:r w:rsidRPr="00AE53F1">
        <w:rPr>
          <w:rFonts w:ascii="Arial" w:hAnsi="Arial" w:cs="Arial"/>
        </w:rPr>
        <w:t>J.B. Tucker. (2006)</w:t>
      </w:r>
      <w:r w:rsidRPr="00AE53F1">
        <w:rPr>
          <w:rFonts w:ascii="Arial" w:hAnsi="Arial" w:cs="Arial"/>
          <w:i/>
        </w:rPr>
        <w:t xml:space="preserve"> War of Nerves: Chemical Warfare from World War I to Al-Qaeda</w:t>
      </w:r>
      <w:r w:rsidRPr="00AE53F1">
        <w:rPr>
          <w:rFonts w:ascii="Arial" w:hAnsi="Arial" w:cs="Arial"/>
        </w:rPr>
        <w:t>. New York: Doubleday</w:t>
      </w:r>
    </w:p>
    <w:p w14:paraId="0A2EBA86" w14:textId="77777777" w:rsidR="001F04DB" w:rsidRPr="00AE53F1" w:rsidRDefault="00AE53F1" w:rsidP="00AE53F1">
      <w:pPr>
        <w:pStyle w:val="ListParagraph"/>
        <w:spacing w:after="120" w:line="240" w:lineRule="auto"/>
        <w:ind w:right="260"/>
        <w:jc w:val="both"/>
        <w:rPr>
          <w:rFonts w:ascii="Arial" w:hAnsi="Arial" w:cs="Arial"/>
        </w:rPr>
      </w:pPr>
      <w:r w:rsidRPr="00AE53F1">
        <w:rPr>
          <w:rFonts w:ascii="Arial" w:hAnsi="Arial" w:cs="Arial"/>
        </w:rPr>
        <w:lastRenderedPageBreak/>
        <w:t xml:space="preserve">M. </w:t>
      </w:r>
      <w:proofErr w:type="spellStart"/>
      <w:r w:rsidRPr="00AE53F1">
        <w:rPr>
          <w:rFonts w:ascii="Arial" w:hAnsi="Arial" w:cs="Arial"/>
        </w:rPr>
        <w:t>Wheelis</w:t>
      </w:r>
      <w:proofErr w:type="spellEnd"/>
      <w:r w:rsidRPr="00AE53F1">
        <w:rPr>
          <w:rFonts w:ascii="Arial" w:hAnsi="Arial" w:cs="Arial"/>
        </w:rPr>
        <w:t xml:space="preserve"> et al. (</w:t>
      </w:r>
      <w:proofErr w:type="gramStart"/>
      <w:r w:rsidRPr="00AE53F1">
        <w:rPr>
          <w:rFonts w:ascii="Arial" w:hAnsi="Arial" w:cs="Arial"/>
        </w:rPr>
        <w:t>eds</w:t>
      </w:r>
      <w:proofErr w:type="gramEnd"/>
      <w:r w:rsidRPr="00AE53F1">
        <w:rPr>
          <w:rFonts w:ascii="Arial" w:hAnsi="Arial" w:cs="Arial"/>
        </w:rPr>
        <w:t>.). (2006)</w:t>
      </w:r>
      <w:r w:rsidRPr="00AE53F1">
        <w:rPr>
          <w:rFonts w:ascii="Arial" w:hAnsi="Arial" w:cs="Arial"/>
          <w:i/>
        </w:rPr>
        <w:t xml:space="preserve"> Deadly Cultures: Biological Weapons since 1945</w:t>
      </w:r>
      <w:r w:rsidRPr="00AE53F1">
        <w:rPr>
          <w:rFonts w:ascii="Arial" w:hAnsi="Arial" w:cs="Arial"/>
        </w:rPr>
        <w:t>. Cambridge: Harvard University Press</w:t>
      </w:r>
    </w:p>
    <w:p w14:paraId="3DB65B6E" w14:textId="77777777" w:rsidR="00696A00" w:rsidRPr="001F04DB" w:rsidRDefault="00696A00" w:rsidP="001F04DB">
      <w:pPr>
        <w:spacing w:after="120" w:line="240" w:lineRule="auto"/>
        <w:ind w:left="567" w:right="260"/>
        <w:jc w:val="both"/>
        <w:rPr>
          <w:rFonts w:ascii="Arial" w:hAnsi="Arial" w:cs="Arial"/>
          <w:b/>
          <w:i/>
        </w:rPr>
      </w:pPr>
    </w:p>
    <w:p w14:paraId="17DE600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3591D4" w14:textId="537E36E6" w:rsidR="00AE53F1" w:rsidRPr="00AE53F1" w:rsidRDefault="00AE53F1" w:rsidP="00AE53F1">
      <w:pPr>
        <w:spacing w:after="120" w:line="240" w:lineRule="auto"/>
        <w:ind w:left="567" w:right="260"/>
        <w:jc w:val="both"/>
        <w:rPr>
          <w:rFonts w:ascii="Arial" w:hAnsi="Arial" w:cs="Arial"/>
          <w:iCs/>
        </w:rPr>
      </w:pPr>
      <w:r w:rsidRPr="00AE53F1">
        <w:rPr>
          <w:rFonts w:ascii="Arial" w:hAnsi="Arial" w:cs="Arial"/>
          <w:iCs/>
        </w:rPr>
        <w:t xml:space="preserve">Total Contact Hours = </w:t>
      </w:r>
      <w:r>
        <w:rPr>
          <w:rFonts w:ascii="Arial" w:hAnsi="Arial" w:cs="Arial"/>
          <w:iCs/>
        </w:rPr>
        <w:t>8</w:t>
      </w:r>
      <w:r w:rsidRPr="00AE53F1">
        <w:rPr>
          <w:rFonts w:ascii="Arial" w:hAnsi="Arial" w:cs="Arial"/>
          <w:iCs/>
        </w:rPr>
        <w:t xml:space="preserve">0 </w:t>
      </w:r>
    </w:p>
    <w:p w14:paraId="6A284EA0" w14:textId="2C0D0786" w:rsidR="00AE53F1" w:rsidRPr="00AE53F1" w:rsidRDefault="00AE53F1" w:rsidP="00AE53F1">
      <w:pPr>
        <w:spacing w:after="120" w:line="240" w:lineRule="auto"/>
        <w:ind w:left="567" w:right="260"/>
        <w:jc w:val="both"/>
        <w:rPr>
          <w:rFonts w:ascii="Arial" w:hAnsi="Arial" w:cs="Arial"/>
          <w:iCs/>
        </w:rPr>
      </w:pPr>
      <w:r w:rsidRPr="00AE53F1">
        <w:rPr>
          <w:rFonts w:ascii="Arial" w:hAnsi="Arial" w:cs="Arial"/>
          <w:iCs/>
        </w:rPr>
        <w:t>Total Private Study = 5</w:t>
      </w:r>
      <w:r>
        <w:rPr>
          <w:rFonts w:ascii="Arial" w:hAnsi="Arial" w:cs="Arial"/>
          <w:iCs/>
        </w:rPr>
        <w:t>2</w:t>
      </w:r>
      <w:r w:rsidRPr="00AE53F1">
        <w:rPr>
          <w:rFonts w:ascii="Arial" w:hAnsi="Arial" w:cs="Arial"/>
          <w:iCs/>
        </w:rPr>
        <w:t xml:space="preserve">0 </w:t>
      </w:r>
    </w:p>
    <w:p w14:paraId="275D3D72" w14:textId="77777777" w:rsidR="00AE53F1" w:rsidRPr="00AE53F1" w:rsidRDefault="00AE53F1" w:rsidP="00AE53F1">
      <w:pPr>
        <w:spacing w:after="120" w:line="240" w:lineRule="auto"/>
        <w:ind w:left="567" w:right="260"/>
        <w:jc w:val="both"/>
        <w:rPr>
          <w:rFonts w:ascii="Arial" w:hAnsi="Arial" w:cs="Arial"/>
          <w:iCs/>
        </w:rPr>
      </w:pPr>
      <w:r w:rsidRPr="00AE53F1">
        <w:rPr>
          <w:rFonts w:ascii="Arial" w:hAnsi="Arial" w:cs="Arial"/>
          <w:iCs/>
        </w:rPr>
        <w:t xml:space="preserve">Total Study Hours = 600 </w:t>
      </w:r>
    </w:p>
    <w:p w14:paraId="27C26662" w14:textId="77777777" w:rsidR="009A2D37" w:rsidRPr="00302082" w:rsidRDefault="009A2D37" w:rsidP="00302082">
      <w:pPr>
        <w:spacing w:after="120" w:line="240" w:lineRule="auto"/>
        <w:ind w:left="426" w:right="260"/>
        <w:rPr>
          <w:rFonts w:ascii="Arial" w:hAnsi="Arial" w:cs="Arial"/>
          <w:i/>
          <w:iCs/>
        </w:rPr>
      </w:pPr>
    </w:p>
    <w:p w14:paraId="67DE7A2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D00AE4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A5C38D" w14:textId="77777777" w:rsidR="003D1C48" w:rsidRDefault="004B4D1C" w:rsidP="003D1C48">
      <w:pPr>
        <w:spacing w:after="120" w:line="240" w:lineRule="auto"/>
        <w:ind w:left="426" w:right="260"/>
        <w:rPr>
          <w:rFonts w:ascii="Arial" w:hAnsi="Arial" w:cs="Arial"/>
          <w:iCs/>
        </w:rPr>
      </w:pPr>
      <w:r>
        <w:rPr>
          <w:rFonts w:ascii="Arial" w:hAnsi="Arial" w:cs="Arial"/>
          <w:iCs/>
        </w:rPr>
        <w:t>Essay 1</w:t>
      </w:r>
      <w:r>
        <w:rPr>
          <w:rFonts w:ascii="Arial" w:hAnsi="Arial" w:cs="Arial"/>
          <w:iCs/>
        </w:rPr>
        <w:tab/>
      </w:r>
      <w:r>
        <w:rPr>
          <w:rFonts w:ascii="Arial" w:hAnsi="Arial" w:cs="Arial"/>
          <w:iCs/>
        </w:rPr>
        <w:tab/>
      </w:r>
      <w:r w:rsidR="00AE53F1">
        <w:rPr>
          <w:rFonts w:ascii="Arial" w:hAnsi="Arial" w:cs="Arial"/>
          <w:iCs/>
        </w:rPr>
        <w:t>5</w:t>
      </w:r>
      <w:r>
        <w:rPr>
          <w:rFonts w:ascii="Arial" w:hAnsi="Arial" w:cs="Arial"/>
          <w:iCs/>
        </w:rPr>
        <w:t>000 words</w:t>
      </w:r>
      <w:r>
        <w:rPr>
          <w:rFonts w:ascii="Arial" w:hAnsi="Arial" w:cs="Arial"/>
          <w:iCs/>
        </w:rPr>
        <w:tab/>
      </w:r>
      <w:r w:rsidR="00AE53F1">
        <w:rPr>
          <w:rFonts w:ascii="Arial" w:hAnsi="Arial" w:cs="Arial"/>
          <w:iCs/>
        </w:rPr>
        <w:t>12</w:t>
      </w:r>
      <w:r>
        <w:rPr>
          <w:rFonts w:ascii="Arial" w:hAnsi="Arial" w:cs="Arial"/>
          <w:iCs/>
        </w:rPr>
        <w:t>%</w:t>
      </w:r>
    </w:p>
    <w:p w14:paraId="234BF07C" w14:textId="77777777" w:rsidR="004B4D1C" w:rsidRDefault="004B4D1C" w:rsidP="003D1C48">
      <w:pPr>
        <w:spacing w:after="120" w:line="240" w:lineRule="auto"/>
        <w:ind w:left="426" w:right="260"/>
        <w:rPr>
          <w:rFonts w:ascii="Arial" w:hAnsi="Arial" w:cs="Arial"/>
          <w:iCs/>
        </w:rPr>
      </w:pPr>
      <w:r>
        <w:rPr>
          <w:rFonts w:ascii="Arial" w:hAnsi="Arial" w:cs="Arial"/>
          <w:iCs/>
        </w:rPr>
        <w:t>Essay 2</w:t>
      </w:r>
      <w:r>
        <w:rPr>
          <w:rFonts w:ascii="Arial" w:hAnsi="Arial" w:cs="Arial"/>
          <w:iCs/>
        </w:rPr>
        <w:tab/>
      </w:r>
      <w:r>
        <w:rPr>
          <w:rFonts w:ascii="Arial" w:hAnsi="Arial" w:cs="Arial"/>
          <w:iCs/>
        </w:rPr>
        <w:tab/>
      </w:r>
      <w:r w:rsidR="00AE53F1">
        <w:rPr>
          <w:rFonts w:ascii="Arial" w:hAnsi="Arial" w:cs="Arial"/>
          <w:iCs/>
        </w:rPr>
        <w:t>5</w:t>
      </w:r>
      <w:r>
        <w:rPr>
          <w:rFonts w:ascii="Arial" w:hAnsi="Arial" w:cs="Arial"/>
          <w:iCs/>
        </w:rPr>
        <w:t>000 words</w:t>
      </w:r>
      <w:r>
        <w:rPr>
          <w:rFonts w:ascii="Arial" w:hAnsi="Arial" w:cs="Arial"/>
          <w:iCs/>
        </w:rPr>
        <w:tab/>
      </w:r>
      <w:r w:rsidR="00AE53F1">
        <w:rPr>
          <w:rFonts w:ascii="Arial" w:hAnsi="Arial" w:cs="Arial"/>
          <w:iCs/>
        </w:rPr>
        <w:t>12</w:t>
      </w:r>
      <w:r>
        <w:rPr>
          <w:rFonts w:ascii="Arial" w:hAnsi="Arial" w:cs="Arial"/>
          <w:iCs/>
        </w:rPr>
        <w:t>%</w:t>
      </w:r>
    </w:p>
    <w:p w14:paraId="33558CFB" w14:textId="77777777" w:rsidR="004B4D1C" w:rsidRDefault="004B4D1C" w:rsidP="003D1C48">
      <w:pPr>
        <w:spacing w:after="120" w:line="240" w:lineRule="auto"/>
        <w:ind w:left="426" w:right="260"/>
        <w:rPr>
          <w:rFonts w:ascii="Arial" w:hAnsi="Arial" w:cs="Arial"/>
          <w:iCs/>
        </w:rPr>
      </w:pPr>
      <w:r>
        <w:rPr>
          <w:rFonts w:ascii="Arial" w:hAnsi="Arial" w:cs="Arial"/>
          <w:iCs/>
        </w:rPr>
        <w:t>In-class Test</w:t>
      </w:r>
      <w:r>
        <w:rPr>
          <w:rFonts w:ascii="Arial" w:hAnsi="Arial" w:cs="Arial"/>
          <w:iCs/>
        </w:rPr>
        <w:tab/>
      </w:r>
      <w:r w:rsidR="00AE53F1">
        <w:rPr>
          <w:rFonts w:ascii="Arial" w:hAnsi="Arial" w:cs="Arial"/>
          <w:iCs/>
        </w:rPr>
        <w:t>2</w:t>
      </w:r>
      <w:r>
        <w:rPr>
          <w:rFonts w:ascii="Arial" w:hAnsi="Arial" w:cs="Arial"/>
          <w:iCs/>
        </w:rPr>
        <w:t>000 words</w:t>
      </w:r>
      <w:r>
        <w:rPr>
          <w:rFonts w:ascii="Arial" w:hAnsi="Arial" w:cs="Arial"/>
          <w:iCs/>
        </w:rPr>
        <w:tab/>
        <w:t>8%</w:t>
      </w:r>
    </w:p>
    <w:p w14:paraId="740E3B0B" w14:textId="77777777" w:rsidR="004B4D1C" w:rsidRDefault="004B4D1C" w:rsidP="003D1C48">
      <w:pPr>
        <w:spacing w:after="120" w:line="240" w:lineRule="auto"/>
        <w:ind w:left="426" w:right="260"/>
        <w:rPr>
          <w:rFonts w:ascii="Arial" w:hAnsi="Arial" w:cs="Arial"/>
          <w:iCs/>
        </w:rPr>
      </w:pPr>
      <w:r>
        <w:rPr>
          <w:rFonts w:ascii="Arial" w:hAnsi="Arial" w:cs="Arial"/>
          <w:iCs/>
        </w:rPr>
        <w:t>Presentation</w:t>
      </w:r>
      <w:r>
        <w:rPr>
          <w:rFonts w:ascii="Arial" w:hAnsi="Arial" w:cs="Arial"/>
          <w:iCs/>
        </w:rPr>
        <w:tab/>
      </w:r>
      <w:r w:rsidR="00AE53F1">
        <w:rPr>
          <w:rFonts w:ascii="Arial" w:hAnsi="Arial" w:cs="Arial"/>
          <w:iCs/>
        </w:rPr>
        <w:t>30</w:t>
      </w:r>
      <w:r>
        <w:rPr>
          <w:rFonts w:ascii="Arial" w:hAnsi="Arial" w:cs="Arial"/>
          <w:iCs/>
        </w:rPr>
        <w:t>-</w:t>
      </w:r>
      <w:r w:rsidR="00AE53F1">
        <w:rPr>
          <w:rFonts w:ascii="Arial" w:hAnsi="Arial" w:cs="Arial"/>
          <w:iCs/>
        </w:rPr>
        <w:t xml:space="preserve">40 </w:t>
      </w:r>
      <w:r>
        <w:rPr>
          <w:rFonts w:ascii="Arial" w:hAnsi="Arial" w:cs="Arial"/>
          <w:iCs/>
        </w:rPr>
        <w:t>minutes</w:t>
      </w:r>
      <w:r>
        <w:rPr>
          <w:rFonts w:ascii="Arial" w:hAnsi="Arial" w:cs="Arial"/>
          <w:iCs/>
        </w:rPr>
        <w:tab/>
        <w:t>8%</w:t>
      </w:r>
    </w:p>
    <w:p w14:paraId="60FC083C" w14:textId="77777777" w:rsidR="004B4D1C" w:rsidRDefault="004B4D1C" w:rsidP="003D1C48">
      <w:pPr>
        <w:spacing w:after="120" w:line="240" w:lineRule="auto"/>
        <w:ind w:left="426" w:right="260"/>
        <w:rPr>
          <w:rFonts w:ascii="Arial" w:hAnsi="Arial" w:cs="Arial"/>
          <w:iCs/>
        </w:rPr>
      </w:pPr>
      <w:r>
        <w:rPr>
          <w:rFonts w:ascii="Arial" w:hAnsi="Arial" w:cs="Arial"/>
          <w:iCs/>
        </w:rPr>
        <w:t>Exam 1</w:t>
      </w:r>
      <w:r>
        <w:rPr>
          <w:rFonts w:ascii="Arial" w:hAnsi="Arial" w:cs="Arial"/>
          <w:iCs/>
        </w:rPr>
        <w:tab/>
      </w:r>
      <w:r>
        <w:rPr>
          <w:rFonts w:ascii="Arial" w:hAnsi="Arial" w:cs="Arial"/>
          <w:iCs/>
        </w:rPr>
        <w:tab/>
        <w:t>2 hours</w:t>
      </w:r>
      <w:r>
        <w:rPr>
          <w:rFonts w:ascii="Arial" w:hAnsi="Arial" w:cs="Arial"/>
          <w:iCs/>
        </w:rPr>
        <w:tab/>
        <w:t>30%</w:t>
      </w:r>
    </w:p>
    <w:p w14:paraId="3FD4CDB9" w14:textId="77777777" w:rsidR="004B4D1C" w:rsidRDefault="004B4D1C" w:rsidP="003D1C48">
      <w:pPr>
        <w:spacing w:after="120" w:line="240" w:lineRule="auto"/>
        <w:ind w:left="426" w:right="260"/>
        <w:rPr>
          <w:rFonts w:ascii="Arial" w:hAnsi="Arial" w:cs="Arial"/>
          <w:iCs/>
        </w:rPr>
      </w:pPr>
      <w:r>
        <w:rPr>
          <w:rFonts w:ascii="Arial" w:hAnsi="Arial" w:cs="Arial"/>
          <w:iCs/>
        </w:rPr>
        <w:t>Exam 2</w:t>
      </w:r>
      <w:r>
        <w:rPr>
          <w:rFonts w:ascii="Arial" w:hAnsi="Arial" w:cs="Arial"/>
          <w:iCs/>
        </w:rPr>
        <w:tab/>
      </w:r>
      <w:r>
        <w:rPr>
          <w:rFonts w:ascii="Arial" w:hAnsi="Arial" w:cs="Arial"/>
          <w:iCs/>
        </w:rPr>
        <w:tab/>
        <w:t>2 hours</w:t>
      </w:r>
      <w:r>
        <w:rPr>
          <w:rFonts w:ascii="Arial" w:hAnsi="Arial" w:cs="Arial"/>
          <w:iCs/>
        </w:rPr>
        <w:tab/>
        <w:t>30%</w:t>
      </w:r>
    </w:p>
    <w:p w14:paraId="61E50992" w14:textId="77777777" w:rsidR="004B4D1C" w:rsidRPr="003D1C48" w:rsidRDefault="004B4D1C" w:rsidP="003D1C48">
      <w:pPr>
        <w:spacing w:after="120" w:line="240" w:lineRule="auto"/>
        <w:ind w:left="426" w:right="260"/>
        <w:rPr>
          <w:rFonts w:ascii="Arial" w:hAnsi="Arial" w:cs="Arial"/>
          <w:iCs/>
        </w:rPr>
      </w:pPr>
    </w:p>
    <w:p w14:paraId="2AAD1E4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7037E7" w14:textId="77777777" w:rsidR="00B72470" w:rsidRPr="0022740B" w:rsidRDefault="0022740B" w:rsidP="00302082">
      <w:pPr>
        <w:spacing w:after="120" w:line="240" w:lineRule="auto"/>
        <w:ind w:left="426" w:right="260"/>
        <w:rPr>
          <w:rFonts w:ascii="Arial" w:hAnsi="Arial" w:cs="Arial"/>
          <w:iCs/>
        </w:rPr>
      </w:pPr>
      <w:r>
        <w:rPr>
          <w:rFonts w:ascii="Arial" w:hAnsi="Arial" w:cs="Arial"/>
          <w:iCs/>
        </w:rPr>
        <w:t>100% Coursework (</w:t>
      </w:r>
      <w:r w:rsidR="00601596">
        <w:rPr>
          <w:rFonts w:ascii="Arial" w:hAnsi="Arial" w:cs="Arial"/>
          <w:iCs/>
        </w:rPr>
        <w:t>550</w:t>
      </w:r>
      <w:r>
        <w:rPr>
          <w:rFonts w:ascii="Arial" w:hAnsi="Arial" w:cs="Arial"/>
          <w:iCs/>
        </w:rPr>
        <w:t>0 words)</w:t>
      </w:r>
    </w:p>
    <w:p w14:paraId="421D8125" w14:textId="77777777" w:rsidR="0062219E" w:rsidRDefault="0062219E" w:rsidP="00302082">
      <w:pPr>
        <w:spacing w:after="120" w:line="240" w:lineRule="auto"/>
        <w:ind w:left="426" w:right="260"/>
        <w:rPr>
          <w:rFonts w:ascii="Arial" w:hAnsi="Arial" w:cs="Arial"/>
          <w:b/>
          <w:i/>
          <w:iCs/>
        </w:rPr>
      </w:pPr>
    </w:p>
    <w:p w14:paraId="00F03552"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3A4C3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165"/>
        <w:gridCol w:w="735"/>
        <w:gridCol w:w="730"/>
        <w:gridCol w:w="730"/>
        <w:gridCol w:w="728"/>
        <w:gridCol w:w="728"/>
        <w:gridCol w:w="728"/>
        <w:gridCol w:w="728"/>
        <w:gridCol w:w="728"/>
        <w:gridCol w:w="728"/>
        <w:gridCol w:w="728"/>
      </w:tblGrid>
      <w:tr w:rsidR="003D1C48" w:rsidRPr="00302082" w14:paraId="283723DB" w14:textId="77777777" w:rsidTr="003D1C48">
        <w:tc>
          <w:tcPr>
            <w:tcW w:w="1514" w:type="pct"/>
            <w:shd w:val="clear" w:color="auto" w:fill="D9D9D9" w:themeFill="background1" w:themeFillShade="D9"/>
          </w:tcPr>
          <w:p w14:paraId="498A3052" w14:textId="77777777" w:rsidR="003D1C48" w:rsidRPr="00302082" w:rsidRDefault="003D1C48" w:rsidP="00302082">
            <w:pPr>
              <w:spacing w:after="120"/>
              <w:ind w:left="33"/>
              <w:rPr>
                <w:rFonts w:ascii="Arial" w:hAnsi="Arial" w:cs="Arial"/>
                <w:b/>
              </w:rPr>
            </w:pPr>
            <w:r w:rsidRPr="00302082">
              <w:rPr>
                <w:rFonts w:ascii="Arial" w:hAnsi="Arial" w:cs="Arial"/>
                <w:b/>
              </w:rPr>
              <w:t>Module learning outcome</w:t>
            </w:r>
          </w:p>
        </w:tc>
        <w:tc>
          <w:tcPr>
            <w:tcW w:w="352" w:type="pct"/>
          </w:tcPr>
          <w:p w14:paraId="556C9F6E" w14:textId="77777777" w:rsidR="003D1C48" w:rsidRPr="0022740B" w:rsidRDefault="003D1C48" w:rsidP="0022740B">
            <w:pPr>
              <w:spacing w:after="120"/>
              <w:jc w:val="center"/>
              <w:rPr>
                <w:rFonts w:ascii="Arial" w:hAnsi="Arial" w:cs="Arial"/>
              </w:rPr>
            </w:pPr>
            <w:r w:rsidRPr="0022740B">
              <w:rPr>
                <w:rFonts w:ascii="Arial" w:hAnsi="Arial" w:cs="Arial"/>
              </w:rPr>
              <w:t>8.1</w:t>
            </w:r>
          </w:p>
        </w:tc>
        <w:tc>
          <w:tcPr>
            <w:tcW w:w="349" w:type="pct"/>
          </w:tcPr>
          <w:p w14:paraId="432D14D4" w14:textId="77777777" w:rsidR="003D1C48" w:rsidRPr="0022740B" w:rsidRDefault="003D1C48" w:rsidP="0022740B">
            <w:pPr>
              <w:spacing w:after="120"/>
              <w:jc w:val="center"/>
              <w:rPr>
                <w:rFonts w:ascii="Arial" w:hAnsi="Arial" w:cs="Arial"/>
              </w:rPr>
            </w:pPr>
            <w:r w:rsidRPr="0022740B">
              <w:rPr>
                <w:rFonts w:ascii="Arial" w:hAnsi="Arial" w:cs="Arial"/>
              </w:rPr>
              <w:t>8.2</w:t>
            </w:r>
          </w:p>
        </w:tc>
        <w:tc>
          <w:tcPr>
            <w:tcW w:w="349" w:type="pct"/>
          </w:tcPr>
          <w:p w14:paraId="3384E900" w14:textId="77777777" w:rsidR="003D1C48" w:rsidRPr="0022740B" w:rsidRDefault="003D1C48" w:rsidP="0022740B">
            <w:pPr>
              <w:spacing w:after="120"/>
              <w:jc w:val="center"/>
              <w:rPr>
                <w:rFonts w:ascii="Arial" w:hAnsi="Arial" w:cs="Arial"/>
              </w:rPr>
            </w:pPr>
            <w:r w:rsidRPr="0022740B">
              <w:rPr>
                <w:rFonts w:ascii="Arial" w:hAnsi="Arial" w:cs="Arial"/>
              </w:rPr>
              <w:t>8.3</w:t>
            </w:r>
          </w:p>
        </w:tc>
        <w:tc>
          <w:tcPr>
            <w:tcW w:w="348" w:type="pct"/>
          </w:tcPr>
          <w:p w14:paraId="0CEB72A1" w14:textId="77777777" w:rsidR="003D1C48" w:rsidRPr="0022740B" w:rsidRDefault="003D1C48" w:rsidP="0022740B">
            <w:pPr>
              <w:spacing w:after="120"/>
              <w:jc w:val="center"/>
              <w:rPr>
                <w:rFonts w:ascii="Arial" w:hAnsi="Arial" w:cs="Arial"/>
              </w:rPr>
            </w:pPr>
            <w:r>
              <w:rPr>
                <w:rFonts w:ascii="Arial" w:hAnsi="Arial" w:cs="Arial"/>
              </w:rPr>
              <w:t>8.4</w:t>
            </w:r>
          </w:p>
        </w:tc>
        <w:tc>
          <w:tcPr>
            <w:tcW w:w="348" w:type="pct"/>
          </w:tcPr>
          <w:p w14:paraId="3F9944DC" w14:textId="77777777" w:rsidR="003D1C48" w:rsidRPr="0022740B" w:rsidRDefault="003D1C48" w:rsidP="0022740B">
            <w:pPr>
              <w:spacing w:after="120"/>
              <w:jc w:val="center"/>
              <w:rPr>
                <w:rFonts w:ascii="Arial" w:hAnsi="Arial" w:cs="Arial"/>
              </w:rPr>
            </w:pPr>
            <w:r>
              <w:rPr>
                <w:rFonts w:ascii="Arial" w:hAnsi="Arial" w:cs="Arial"/>
              </w:rPr>
              <w:t>8.5</w:t>
            </w:r>
          </w:p>
        </w:tc>
        <w:tc>
          <w:tcPr>
            <w:tcW w:w="348" w:type="pct"/>
          </w:tcPr>
          <w:p w14:paraId="75F37280" w14:textId="77777777" w:rsidR="003D1C48" w:rsidRPr="0022740B" w:rsidRDefault="003D1C48" w:rsidP="00607752">
            <w:pPr>
              <w:spacing w:after="120"/>
              <w:jc w:val="center"/>
              <w:rPr>
                <w:rFonts w:ascii="Arial" w:hAnsi="Arial" w:cs="Arial"/>
              </w:rPr>
            </w:pPr>
            <w:r>
              <w:rPr>
                <w:rFonts w:ascii="Arial" w:hAnsi="Arial" w:cs="Arial"/>
              </w:rPr>
              <w:t>9.1</w:t>
            </w:r>
          </w:p>
        </w:tc>
        <w:tc>
          <w:tcPr>
            <w:tcW w:w="348" w:type="pct"/>
          </w:tcPr>
          <w:p w14:paraId="177C9CC0" w14:textId="77777777" w:rsidR="003D1C48" w:rsidRPr="0022740B" w:rsidRDefault="003D1C48" w:rsidP="00607752">
            <w:pPr>
              <w:spacing w:after="120"/>
              <w:jc w:val="center"/>
              <w:rPr>
                <w:rFonts w:ascii="Arial" w:hAnsi="Arial" w:cs="Arial"/>
              </w:rPr>
            </w:pPr>
            <w:r>
              <w:rPr>
                <w:rFonts w:ascii="Arial" w:hAnsi="Arial" w:cs="Arial"/>
              </w:rPr>
              <w:t>9.2</w:t>
            </w:r>
          </w:p>
        </w:tc>
        <w:tc>
          <w:tcPr>
            <w:tcW w:w="348" w:type="pct"/>
          </w:tcPr>
          <w:p w14:paraId="22963C28" w14:textId="77777777" w:rsidR="003D1C48" w:rsidRDefault="003D1C48" w:rsidP="00607752">
            <w:pPr>
              <w:spacing w:after="120"/>
              <w:jc w:val="center"/>
              <w:rPr>
                <w:rFonts w:ascii="Arial" w:hAnsi="Arial" w:cs="Arial"/>
              </w:rPr>
            </w:pPr>
            <w:r>
              <w:rPr>
                <w:rFonts w:ascii="Arial" w:hAnsi="Arial" w:cs="Arial"/>
              </w:rPr>
              <w:t>9.3</w:t>
            </w:r>
          </w:p>
        </w:tc>
        <w:tc>
          <w:tcPr>
            <w:tcW w:w="348" w:type="pct"/>
          </w:tcPr>
          <w:p w14:paraId="788E8C2A" w14:textId="77777777" w:rsidR="003D1C48" w:rsidRDefault="003D1C48" w:rsidP="00607752">
            <w:pPr>
              <w:spacing w:after="120"/>
              <w:jc w:val="center"/>
              <w:rPr>
                <w:rFonts w:ascii="Arial" w:hAnsi="Arial" w:cs="Arial"/>
              </w:rPr>
            </w:pPr>
            <w:r>
              <w:rPr>
                <w:rFonts w:ascii="Arial" w:hAnsi="Arial" w:cs="Arial"/>
              </w:rPr>
              <w:t>9.4</w:t>
            </w:r>
          </w:p>
        </w:tc>
        <w:tc>
          <w:tcPr>
            <w:tcW w:w="348" w:type="pct"/>
          </w:tcPr>
          <w:p w14:paraId="0FA42BF6" w14:textId="77777777" w:rsidR="003D1C48" w:rsidRDefault="003D1C48" w:rsidP="00607752">
            <w:pPr>
              <w:spacing w:after="120"/>
              <w:jc w:val="center"/>
              <w:rPr>
                <w:rFonts w:ascii="Arial" w:hAnsi="Arial" w:cs="Arial"/>
              </w:rPr>
            </w:pPr>
            <w:r>
              <w:rPr>
                <w:rFonts w:ascii="Arial" w:hAnsi="Arial" w:cs="Arial"/>
              </w:rPr>
              <w:t>9.5</w:t>
            </w:r>
          </w:p>
        </w:tc>
      </w:tr>
      <w:tr w:rsidR="003D1C48" w:rsidRPr="00302082" w14:paraId="6B76345B" w14:textId="77777777" w:rsidTr="003D1C48">
        <w:tc>
          <w:tcPr>
            <w:tcW w:w="1514" w:type="pct"/>
            <w:shd w:val="clear" w:color="auto" w:fill="D9D9D9" w:themeFill="background1" w:themeFillShade="D9"/>
          </w:tcPr>
          <w:p w14:paraId="666757D5" w14:textId="77777777" w:rsidR="003D1C48" w:rsidRPr="00302082" w:rsidRDefault="003D1C48" w:rsidP="00302082">
            <w:pPr>
              <w:spacing w:after="120"/>
              <w:rPr>
                <w:rFonts w:ascii="Arial" w:hAnsi="Arial" w:cs="Arial"/>
                <w:b/>
              </w:rPr>
            </w:pPr>
            <w:r w:rsidRPr="00302082">
              <w:rPr>
                <w:rFonts w:ascii="Arial" w:hAnsi="Arial" w:cs="Arial"/>
                <w:b/>
              </w:rPr>
              <w:t>Learning/ teaching method</w:t>
            </w:r>
          </w:p>
        </w:tc>
        <w:tc>
          <w:tcPr>
            <w:tcW w:w="352" w:type="pct"/>
          </w:tcPr>
          <w:p w14:paraId="25A166F7" w14:textId="77777777" w:rsidR="003D1C48" w:rsidRPr="0022740B" w:rsidRDefault="003D1C48" w:rsidP="0022740B">
            <w:pPr>
              <w:spacing w:after="120"/>
              <w:jc w:val="center"/>
              <w:rPr>
                <w:rFonts w:ascii="Arial" w:hAnsi="Arial" w:cs="Arial"/>
                <w:b/>
              </w:rPr>
            </w:pPr>
          </w:p>
        </w:tc>
        <w:tc>
          <w:tcPr>
            <w:tcW w:w="349" w:type="pct"/>
          </w:tcPr>
          <w:p w14:paraId="3BF7CA60" w14:textId="77777777" w:rsidR="003D1C48" w:rsidRPr="0022740B" w:rsidRDefault="003D1C48" w:rsidP="0022740B">
            <w:pPr>
              <w:spacing w:after="120"/>
              <w:jc w:val="center"/>
              <w:rPr>
                <w:rFonts w:ascii="Arial" w:hAnsi="Arial" w:cs="Arial"/>
                <w:b/>
              </w:rPr>
            </w:pPr>
          </w:p>
        </w:tc>
        <w:tc>
          <w:tcPr>
            <w:tcW w:w="349" w:type="pct"/>
          </w:tcPr>
          <w:p w14:paraId="2C1BAB01" w14:textId="77777777" w:rsidR="003D1C48" w:rsidRPr="0022740B" w:rsidRDefault="003D1C48" w:rsidP="0022740B">
            <w:pPr>
              <w:spacing w:after="120"/>
              <w:jc w:val="center"/>
              <w:rPr>
                <w:rFonts w:ascii="Arial" w:hAnsi="Arial" w:cs="Arial"/>
                <w:b/>
              </w:rPr>
            </w:pPr>
          </w:p>
        </w:tc>
        <w:tc>
          <w:tcPr>
            <w:tcW w:w="348" w:type="pct"/>
          </w:tcPr>
          <w:p w14:paraId="3C7C0EF2" w14:textId="77777777" w:rsidR="003D1C48" w:rsidRPr="0022740B" w:rsidRDefault="003D1C48" w:rsidP="0022740B">
            <w:pPr>
              <w:spacing w:after="120"/>
              <w:jc w:val="center"/>
              <w:rPr>
                <w:rFonts w:ascii="Arial" w:hAnsi="Arial" w:cs="Arial"/>
                <w:b/>
              </w:rPr>
            </w:pPr>
          </w:p>
        </w:tc>
        <w:tc>
          <w:tcPr>
            <w:tcW w:w="348" w:type="pct"/>
          </w:tcPr>
          <w:p w14:paraId="7E561B9F" w14:textId="77777777" w:rsidR="003D1C48" w:rsidRPr="0022740B" w:rsidRDefault="003D1C48" w:rsidP="0022740B">
            <w:pPr>
              <w:spacing w:after="120"/>
              <w:jc w:val="center"/>
              <w:rPr>
                <w:rFonts w:ascii="Arial" w:hAnsi="Arial" w:cs="Arial"/>
                <w:b/>
              </w:rPr>
            </w:pPr>
          </w:p>
        </w:tc>
        <w:tc>
          <w:tcPr>
            <w:tcW w:w="348" w:type="pct"/>
          </w:tcPr>
          <w:p w14:paraId="486EAE6E" w14:textId="77777777" w:rsidR="003D1C48" w:rsidRPr="0022740B" w:rsidRDefault="003D1C48" w:rsidP="0022740B">
            <w:pPr>
              <w:spacing w:after="120"/>
              <w:jc w:val="center"/>
              <w:rPr>
                <w:rFonts w:ascii="Arial" w:hAnsi="Arial" w:cs="Arial"/>
                <w:b/>
              </w:rPr>
            </w:pPr>
          </w:p>
        </w:tc>
        <w:tc>
          <w:tcPr>
            <w:tcW w:w="348" w:type="pct"/>
          </w:tcPr>
          <w:p w14:paraId="59267B9D" w14:textId="77777777" w:rsidR="003D1C48" w:rsidRPr="0022740B" w:rsidRDefault="003D1C48" w:rsidP="0022740B">
            <w:pPr>
              <w:spacing w:after="120"/>
              <w:jc w:val="center"/>
              <w:rPr>
                <w:rFonts w:ascii="Arial" w:hAnsi="Arial" w:cs="Arial"/>
                <w:b/>
              </w:rPr>
            </w:pPr>
          </w:p>
        </w:tc>
        <w:tc>
          <w:tcPr>
            <w:tcW w:w="348" w:type="pct"/>
          </w:tcPr>
          <w:p w14:paraId="34612514" w14:textId="77777777" w:rsidR="003D1C48" w:rsidRPr="0022740B" w:rsidRDefault="003D1C48" w:rsidP="0022740B">
            <w:pPr>
              <w:spacing w:after="120"/>
              <w:jc w:val="center"/>
              <w:rPr>
                <w:rFonts w:ascii="Arial" w:hAnsi="Arial" w:cs="Arial"/>
                <w:b/>
              </w:rPr>
            </w:pPr>
          </w:p>
        </w:tc>
        <w:tc>
          <w:tcPr>
            <w:tcW w:w="348" w:type="pct"/>
          </w:tcPr>
          <w:p w14:paraId="0DD85173" w14:textId="77777777" w:rsidR="003D1C48" w:rsidRPr="0022740B" w:rsidRDefault="003D1C48" w:rsidP="0022740B">
            <w:pPr>
              <w:spacing w:after="120"/>
              <w:jc w:val="center"/>
              <w:rPr>
                <w:rFonts w:ascii="Arial" w:hAnsi="Arial" w:cs="Arial"/>
                <w:b/>
              </w:rPr>
            </w:pPr>
          </w:p>
        </w:tc>
        <w:tc>
          <w:tcPr>
            <w:tcW w:w="348" w:type="pct"/>
          </w:tcPr>
          <w:p w14:paraId="3EB972CF" w14:textId="77777777" w:rsidR="003D1C48" w:rsidRPr="0022740B" w:rsidRDefault="003D1C48" w:rsidP="0022740B">
            <w:pPr>
              <w:spacing w:after="120"/>
              <w:jc w:val="center"/>
              <w:rPr>
                <w:rFonts w:ascii="Arial" w:hAnsi="Arial" w:cs="Arial"/>
                <w:b/>
              </w:rPr>
            </w:pPr>
          </w:p>
        </w:tc>
      </w:tr>
      <w:tr w:rsidR="003D1C48" w:rsidRPr="00302082" w14:paraId="792E0EE3" w14:textId="77777777" w:rsidTr="003D1C48">
        <w:tc>
          <w:tcPr>
            <w:tcW w:w="1514" w:type="pct"/>
          </w:tcPr>
          <w:p w14:paraId="30C37A00" w14:textId="77777777" w:rsidR="003D1C48" w:rsidRPr="0022740B" w:rsidRDefault="003D1C48" w:rsidP="00302082">
            <w:pPr>
              <w:spacing w:after="120"/>
              <w:rPr>
                <w:rFonts w:ascii="Arial" w:hAnsi="Arial" w:cs="Arial"/>
              </w:rPr>
            </w:pPr>
            <w:r w:rsidRPr="0022740B">
              <w:rPr>
                <w:rFonts w:ascii="Arial" w:hAnsi="Arial" w:cs="Arial"/>
              </w:rPr>
              <w:t>Private Study</w:t>
            </w:r>
          </w:p>
        </w:tc>
        <w:tc>
          <w:tcPr>
            <w:tcW w:w="352" w:type="pct"/>
          </w:tcPr>
          <w:p w14:paraId="562C1E0D"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7589C092"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40AD97CD"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5EA56990"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0ACFAE34"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C5AC227"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20D73407"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7AF3AC8F"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712FD6BE"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34E2D56"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7F7726E6" w14:textId="77777777" w:rsidTr="003D1C48">
        <w:tc>
          <w:tcPr>
            <w:tcW w:w="1514" w:type="pct"/>
          </w:tcPr>
          <w:p w14:paraId="76FE01B7" w14:textId="77777777" w:rsidR="003D1C48" w:rsidRPr="0022740B" w:rsidRDefault="003D1C48" w:rsidP="00302082">
            <w:pPr>
              <w:spacing w:after="120"/>
              <w:rPr>
                <w:rFonts w:ascii="Arial" w:hAnsi="Arial" w:cs="Arial"/>
              </w:rPr>
            </w:pPr>
            <w:r w:rsidRPr="0022740B">
              <w:rPr>
                <w:rFonts w:ascii="Arial" w:hAnsi="Arial" w:cs="Arial"/>
              </w:rPr>
              <w:t>Seminar</w:t>
            </w:r>
          </w:p>
        </w:tc>
        <w:tc>
          <w:tcPr>
            <w:tcW w:w="352" w:type="pct"/>
          </w:tcPr>
          <w:p w14:paraId="0994AF03"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280ABE5D"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3F35B912"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0B09C5BA"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10F3306A"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C94FCB1"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5AAEF641"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052A014B"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37806061"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2FE43AD"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425A4EEA" w14:textId="77777777" w:rsidTr="003D1C48">
        <w:tc>
          <w:tcPr>
            <w:tcW w:w="1514" w:type="pct"/>
            <w:shd w:val="clear" w:color="auto" w:fill="D9D9D9" w:themeFill="background1" w:themeFillShade="D9"/>
          </w:tcPr>
          <w:p w14:paraId="191C4AB4" w14:textId="77777777" w:rsidR="003D1C48" w:rsidRPr="00302082" w:rsidRDefault="003D1C48" w:rsidP="00302082">
            <w:pPr>
              <w:spacing w:after="120"/>
              <w:rPr>
                <w:rFonts w:ascii="Arial" w:hAnsi="Arial" w:cs="Arial"/>
                <w:b/>
              </w:rPr>
            </w:pPr>
            <w:r w:rsidRPr="00302082">
              <w:rPr>
                <w:rFonts w:ascii="Arial" w:hAnsi="Arial" w:cs="Arial"/>
                <w:b/>
              </w:rPr>
              <w:t>Assessment method</w:t>
            </w:r>
          </w:p>
        </w:tc>
        <w:tc>
          <w:tcPr>
            <w:tcW w:w="352" w:type="pct"/>
          </w:tcPr>
          <w:p w14:paraId="6D6AACAF" w14:textId="77777777" w:rsidR="003D1C48" w:rsidRPr="0022740B" w:rsidRDefault="003D1C48" w:rsidP="0022740B">
            <w:pPr>
              <w:spacing w:after="120"/>
              <w:jc w:val="center"/>
              <w:rPr>
                <w:rFonts w:ascii="Arial" w:hAnsi="Arial" w:cs="Arial"/>
                <w:b/>
              </w:rPr>
            </w:pPr>
          </w:p>
        </w:tc>
        <w:tc>
          <w:tcPr>
            <w:tcW w:w="349" w:type="pct"/>
          </w:tcPr>
          <w:p w14:paraId="306FB8DA" w14:textId="77777777" w:rsidR="003D1C48" w:rsidRPr="0022740B" w:rsidRDefault="003D1C48" w:rsidP="0022740B">
            <w:pPr>
              <w:spacing w:after="120"/>
              <w:jc w:val="center"/>
              <w:rPr>
                <w:rFonts w:ascii="Arial" w:hAnsi="Arial" w:cs="Arial"/>
                <w:b/>
              </w:rPr>
            </w:pPr>
          </w:p>
        </w:tc>
        <w:tc>
          <w:tcPr>
            <w:tcW w:w="349" w:type="pct"/>
          </w:tcPr>
          <w:p w14:paraId="49133FAA" w14:textId="77777777" w:rsidR="003D1C48" w:rsidRPr="0022740B" w:rsidRDefault="003D1C48" w:rsidP="0022740B">
            <w:pPr>
              <w:spacing w:after="120"/>
              <w:jc w:val="center"/>
              <w:rPr>
                <w:rFonts w:ascii="Arial" w:hAnsi="Arial" w:cs="Arial"/>
                <w:b/>
              </w:rPr>
            </w:pPr>
          </w:p>
        </w:tc>
        <w:tc>
          <w:tcPr>
            <w:tcW w:w="348" w:type="pct"/>
          </w:tcPr>
          <w:p w14:paraId="027E26A4" w14:textId="77777777" w:rsidR="003D1C48" w:rsidRPr="0022740B" w:rsidRDefault="003D1C48" w:rsidP="0022740B">
            <w:pPr>
              <w:spacing w:after="120"/>
              <w:jc w:val="center"/>
              <w:rPr>
                <w:rFonts w:ascii="Arial" w:hAnsi="Arial" w:cs="Arial"/>
                <w:b/>
              </w:rPr>
            </w:pPr>
          </w:p>
        </w:tc>
        <w:tc>
          <w:tcPr>
            <w:tcW w:w="348" w:type="pct"/>
          </w:tcPr>
          <w:p w14:paraId="3C9D18CD" w14:textId="77777777" w:rsidR="003D1C48" w:rsidRPr="0022740B" w:rsidRDefault="003D1C48" w:rsidP="0022740B">
            <w:pPr>
              <w:spacing w:after="120"/>
              <w:jc w:val="center"/>
              <w:rPr>
                <w:rFonts w:ascii="Arial" w:hAnsi="Arial" w:cs="Arial"/>
                <w:b/>
              </w:rPr>
            </w:pPr>
          </w:p>
        </w:tc>
        <w:tc>
          <w:tcPr>
            <w:tcW w:w="348" w:type="pct"/>
          </w:tcPr>
          <w:p w14:paraId="71CD454B" w14:textId="77777777" w:rsidR="003D1C48" w:rsidRPr="0022740B" w:rsidRDefault="003D1C48" w:rsidP="0022740B">
            <w:pPr>
              <w:spacing w:after="120"/>
              <w:jc w:val="center"/>
              <w:rPr>
                <w:rFonts w:ascii="Arial" w:hAnsi="Arial" w:cs="Arial"/>
                <w:b/>
              </w:rPr>
            </w:pPr>
          </w:p>
        </w:tc>
        <w:tc>
          <w:tcPr>
            <w:tcW w:w="348" w:type="pct"/>
          </w:tcPr>
          <w:p w14:paraId="6AE83066" w14:textId="77777777" w:rsidR="003D1C48" w:rsidRPr="0022740B" w:rsidRDefault="003D1C48" w:rsidP="0022740B">
            <w:pPr>
              <w:spacing w:after="120"/>
              <w:jc w:val="center"/>
              <w:rPr>
                <w:rFonts w:ascii="Arial" w:hAnsi="Arial" w:cs="Arial"/>
                <w:b/>
              </w:rPr>
            </w:pPr>
          </w:p>
        </w:tc>
        <w:tc>
          <w:tcPr>
            <w:tcW w:w="348" w:type="pct"/>
          </w:tcPr>
          <w:p w14:paraId="6895B775" w14:textId="77777777" w:rsidR="003D1C48" w:rsidRPr="0022740B" w:rsidRDefault="003D1C48" w:rsidP="0022740B">
            <w:pPr>
              <w:spacing w:after="120"/>
              <w:jc w:val="center"/>
              <w:rPr>
                <w:rFonts w:ascii="Arial" w:hAnsi="Arial" w:cs="Arial"/>
                <w:b/>
              </w:rPr>
            </w:pPr>
          </w:p>
        </w:tc>
        <w:tc>
          <w:tcPr>
            <w:tcW w:w="348" w:type="pct"/>
          </w:tcPr>
          <w:p w14:paraId="52ABEDD4" w14:textId="77777777" w:rsidR="003D1C48" w:rsidRPr="0022740B" w:rsidRDefault="003D1C48" w:rsidP="0022740B">
            <w:pPr>
              <w:spacing w:after="120"/>
              <w:jc w:val="center"/>
              <w:rPr>
                <w:rFonts w:ascii="Arial" w:hAnsi="Arial" w:cs="Arial"/>
                <w:b/>
              </w:rPr>
            </w:pPr>
          </w:p>
        </w:tc>
        <w:tc>
          <w:tcPr>
            <w:tcW w:w="348" w:type="pct"/>
          </w:tcPr>
          <w:p w14:paraId="28CFAE31" w14:textId="77777777" w:rsidR="003D1C48" w:rsidRPr="0022740B" w:rsidRDefault="003D1C48" w:rsidP="0022740B">
            <w:pPr>
              <w:spacing w:after="120"/>
              <w:jc w:val="center"/>
              <w:rPr>
                <w:rFonts w:ascii="Arial" w:hAnsi="Arial" w:cs="Arial"/>
                <w:b/>
              </w:rPr>
            </w:pPr>
          </w:p>
        </w:tc>
      </w:tr>
      <w:tr w:rsidR="003D1C48" w:rsidRPr="00302082" w14:paraId="0C76D3B6" w14:textId="77777777" w:rsidTr="003D1C48">
        <w:tc>
          <w:tcPr>
            <w:tcW w:w="1514" w:type="pct"/>
          </w:tcPr>
          <w:p w14:paraId="1D923AEE" w14:textId="77777777" w:rsidR="003D1C48" w:rsidRPr="0022740B" w:rsidRDefault="003D1C48" w:rsidP="00302082">
            <w:pPr>
              <w:spacing w:after="120"/>
              <w:rPr>
                <w:rFonts w:ascii="Arial" w:hAnsi="Arial" w:cs="Arial"/>
              </w:rPr>
            </w:pPr>
            <w:r w:rsidRPr="0022740B">
              <w:rPr>
                <w:rFonts w:ascii="Arial" w:hAnsi="Arial" w:cs="Arial"/>
              </w:rPr>
              <w:t>Essay</w:t>
            </w:r>
            <w:r>
              <w:rPr>
                <w:rFonts w:ascii="Arial" w:hAnsi="Arial" w:cs="Arial"/>
              </w:rPr>
              <w:t>s</w:t>
            </w:r>
          </w:p>
        </w:tc>
        <w:tc>
          <w:tcPr>
            <w:tcW w:w="352" w:type="pct"/>
          </w:tcPr>
          <w:p w14:paraId="0DEB80B9"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1EB5FEE5"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470047D2"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70D018B4"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7A50B44A"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05216150"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6C9EF93A" w14:textId="77777777" w:rsidR="003D1C48" w:rsidRPr="0022740B" w:rsidRDefault="004B4D1C" w:rsidP="0022740B">
            <w:pPr>
              <w:spacing w:after="120"/>
              <w:jc w:val="center"/>
              <w:rPr>
                <w:rFonts w:ascii="Arial" w:hAnsi="Arial" w:cs="Arial"/>
                <w:b/>
              </w:rPr>
            </w:pPr>
            <w:r>
              <w:rPr>
                <w:rFonts w:ascii="Arial" w:hAnsi="Arial" w:cs="Arial"/>
                <w:b/>
              </w:rPr>
              <w:t>X</w:t>
            </w:r>
          </w:p>
        </w:tc>
        <w:tc>
          <w:tcPr>
            <w:tcW w:w="348" w:type="pct"/>
          </w:tcPr>
          <w:p w14:paraId="29CC04A2"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12DA7752"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62204EAB"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6E703292" w14:textId="77777777" w:rsidTr="003D1C48">
        <w:tc>
          <w:tcPr>
            <w:tcW w:w="1514" w:type="pct"/>
          </w:tcPr>
          <w:p w14:paraId="45A49B93" w14:textId="77777777" w:rsidR="003D1C48" w:rsidRPr="0022740B" w:rsidRDefault="004B4D1C" w:rsidP="003D1C48">
            <w:pPr>
              <w:spacing w:after="120"/>
              <w:rPr>
                <w:rFonts w:ascii="Arial" w:hAnsi="Arial" w:cs="Arial"/>
              </w:rPr>
            </w:pPr>
            <w:r>
              <w:rPr>
                <w:rFonts w:ascii="Arial" w:hAnsi="Arial" w:cs="Arial"/>
              </w:rPr>
              <w:t>In-class Test</w:t>
            </w:r>
          </w:p>
        </w:tc>
        <w:tc>
          <w:tcPr>
            <w:tcW w:w="352" w:type="pct"/>
          </w:tcPr>
          <w:p w14:paraId="56F1218E"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7BA1258A" w14:textId="77777777" w:rsidR="003D1C48" w:rsidRPr="0022740B" w:rsidRDefault="003D1C48" w:rsidP="0022740B">
            <w:pPr>
              <w:spacing w:after="120"/>
              <w:jc w:val="center"/>
              <w:rPr>
                <w:rFonts w:ascii="Arial" w:hAnsi="Arial" w:cs="Arial"/>
                <w:b/>
              </w:rPr>
            </w:pPr>
            <w:r>
              <w:rPr>
                <w:rFonts w:ascii="Arial" w:hAnsi="Arial" w:cs="Arial"/>
                <w:b/>
              </w:rPr>
              <w:t>X</w:t>
            </w:r>
          </w:p>
        </w:tc>
        <w:tc>
          <w:tcPr>
            <w:tcW w:w="349" w:type="pct"/>
          </w:tcPr>
          <w:p w14:paraId="702A20FB"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1B403525"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09439EF1"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02353682" w14:textId="77777777" w:rsidR="003D1C48" w:rsidRPr="0022740B" w:rsidRDefault="003D1C48" w:rsidP="0022740B">
            <w:pPr>
              <w:spacing w:after="120"/>
              <w:jc w:val="center"/>
              <w:rPr>
                <w:rFonts w:ascii="Arial" w:hAnsi="Arial" w:cs="Arial"/>
                <w:b/>
              </w:rPr>
            </w:pPr>
            <w:r>
              <w:rPr>
                <w:rFonts w:ascii="Arial" w:hAnsi="Arial" w:cs="Arial"/>
                <w:b/>
              </w:rPr>
              <w:t>X</w:t>
            </w:r>
          </w:p>
        </w:tc>
        <w:tc>
          <w:tcPr>
            <w:tcW w:w="348" w:type="pct"/>
          </w:tcPr>
          <w:p w14:paraId="4E78BA1F" w14:textId="77777777" w:rsidR="003D1C48" w:rsidRPr="0022740B" w:rsidRDefault="004B4D1C" w:rsidP="0022740B">
            <w:pPr>
              <w:spacing w:after="120"/>
              <w:jc w:val="center"/>
              <w:rPr>
                <w:rFonts w:ascii="Arial" w:hAnsi="Arial" w:cs="Arial"/>
                <w:b/>
              </w:rPr>
            </w:pPr>
            <w:r>
              <w:rPr>
                <w:rFonts w:ascii="Arial" w:hAnsi="Arial" w:cs="Arial"/>
                <w:b/>
              </w:rPr>
              <w:t>X</w:t>
            </w:r>
          </w:p>
        </w:tc>
        <w:tc>
          <w:tcPr>
            <w:tcW w:w="348" w:type="pct"/>
          </w:tcPr>
          <w:p w14:paraId="08890724"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0BE3AC53"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3856A121"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70ACDA2B" w14:textId="77777777" w:rsidTr="003D1C48">
        <w:tc>
          <w:tcPr>
            <w:tcW w:w="1514" w:type="pct"/>
          </w:tcPr>
          <w:p w14:paraId="61510518" w14:textId="77777777" w:rsidR="003D1C48" w:rsidRDefault="003D1C48" w:rsidP="00302082">
            <w:pPr>
              <w:spacing w:after="120"/>
              <w:rPr>
                <w:rFonts w:ascii="Arial" w:hAnsi="Arial" w:cs="Arial"/>
              </w:rPr>
            </w:pPr>
            <w:r>
              <w:rPr>
                <w:rFonts w:ascii="Arial" w:hAnsi="Arial" w:cs="Arial"/>
              </w:rPr>
              <w:t>Presentation</w:t>
            </w:r>
          </w:p>
        </w:tc>
        <w:tc>
          <w:tcPr>
            <w:tcW w:w="352" w:type="pct"/>
          </w:tcPr>
          <w:p w14:paraId="7C3D65DF" w14:textId="77777777" w:rsidR="003D1C48" w:rsidRDefault="003D1C48" w:rsidP="0022740B">
            <w:pPr>
              <w:spacing w:after="120"/>
              <w:jc w:val="center"/>
              <w:rPr>
                <w:rFonts w:ascii="Arial" w:hAnsi="Arial" w:cs="Arial"/>
                <w:b/>
              </w:rPr>
            </w:pPr>
            <w:r>
              <w:rPr>
                <w:rFonts w:ascii="Arial" w:hAnsi="Arial" w:cs="Arial"/>
                <w:b/>
              </w:rPr>
              <w:t>X</w:t>
            </w:r>
          </w:p>
        </w:tc>
        <w:tc>
          <w:tcPr>
            <w:tcW w:w="349" w:type="pct"/>
          </w:tcPr>
          <w:p w14:paraId="5A7A1B63" w14:textId="77777777" w:rsidR="003D1C48" w:rsidRDefault="003D1C48" w:rsidP="0022740B">
            <w:pPr>
              <w:spacing w:after="120"/>
              <w:jc w:val="center"/>
              <w:rPr>
                <w:rFonts w:ascii="Arial" w:hAnsi="Arial" w:cs="Arial"/>
                <w:b/>
              </w:rPr>
            </w:pPr>
            <w:r>
              <w:rPr>
                <w:rFonts w:ascii="Arial" w:hAnsi="Arial" w:cs="Arial"/>
                <w:b/>
              </w:rPr>
              <w:t>X</w:t>
            </w:r>
          </w:p>
        </w:tc>
        <w:tc>
          <w:tcPr>
            <w:tcW w:w="349" w:type="pct"/>
          </w:tcPr>
          <w:p w14:paraId="19799D14"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698BC242"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31A84E72"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20D6378B"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51D97F3"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6B5B37EA"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257D08C4"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48C60B50" w14:textId="77777777" w:rsidR="003D1C48" w:rsidRDefault="003D1C48" w:rsidP="0022740B">
            <w:pPr>
              <w:spacing w:after="120"/>
              <w:jc w:val="center"/>
              <w:rPr>
                <w:rFonts w:ascii="Arial" w:hAnsi="Arial" w:cs="Arial"/>
                <w:b/>
              </w:rPr>
            </w:pPr>
            <w:r>
              <w:rPr>
                <w:rFonts w:ascii="Arial" w:hAnsi="Arial" w:cs="Arial"/>
                <w:b/>
              </w:rPr>
              <w:t>X</w:t>
            </w:r>
          </w:p>
        </w:tc>
      </w:tr>
      <w:tr w:rsidR="003D1C48" w:rsidRPr="00302082" w14:paraId="7D29DE9E" w14:textId="77777777" w:rsidTr="003D1C48">
        <w:tc>
          <w:tcPr>
            <w:tcW w:w="1514" w:type="pct"/>
          </w:tcPr>
          <w:p w14:paraId="323AA938" w14:textId="77777777" w:rsidR="003D1C48" w:rsidRDefault="003D1C48" w:rsidP="00302082">
            <w:pPr>
              <w:spacing w:after="120"/>
              <w:rPr>
                <w:rFonts w:ascii="Arial" w:hAnsi="Arial" w:cs="Arial"/>
              </w:rPr>
            </w:pPr>
            <w:r>
              <w:rPr>
                <w:rFonts w:ascii="Arial" w:hAnsi="Arial" w:cs="Arial"/>
              </w:rPr>
              <w:t>Examinations</w:t>
            </w:r>
          </w:p>
        </w:tc>
        <w:tc>
          <w:tcPr>
            <w:tcW w:w="352" w:type="pct"/>
          </w:tcPr>
          <w:p w14:paraId="0F7A9E17" w14:textId="77777777" w:rsidR="003D1C48" w:rsidRDefault="003D1C48" w:rsidP="0022740B">
            <w:pPr>
              <w:spacing w:after="120"/>
              <w:jc w:val="center"/>
              <w:rPr>
                <w:rFonts w:ascii="Arial" w:hAnsi="Arial" w:cs="Arial"/>
                <w:b/>
              </w:rPr>
            </w:pPr>
            <w:r>
              <w:rPr>
                <w:rFonts w:ascii="Arial" w:hAnsi="Arial" w:cs="Arial"/>
                <w:b/>
              </w:rPr>
              <w:t>X</w:t>
            </w:r>
          </w:p>
        </w:tc>
        <w:tc>
          <w:tcPr>
            <w:tcW w:w="349" w:type="pct"/>
          </w:tcPr>
          <w:p w14:paraId="6E0F9C8A" w14:textId="77777777" w:rsidR="003D1C48" w:rsidRDefault="003D1C48" w:rsidP="0022740B">
            <w:pPr>
              <w:spacing w:after="120"/>
              <w:jc w:val="center"/>
              <w:rPr>
                <w:rFonts w:ascii="Arial" w:hAnsi="Arial" w:cs="Arial"/>
                <w:b/>
              </w:rPr>
            </w:pPr>
            <w:r>
              <w:rPr>
                <w:rFonts w:ascii="Arial" w:hAnsi="Arial" w:cs="Arial"/>
                <w:b/>
              </w:rPr>
              <w:t>X</w:t>
            </w:r>
          </w:p>
        </w:tc>
        <w:tc>
          <w:tcPr>
            <w:tcW w:w="349" w:type="pct"/>
          </w:tcPr>
          <w:p w14:paraId="67F53F35"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4686D5CE"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3DC51BD9"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4DCA2FC5"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60976D89" w14:textId="77777777" w:rsidR="003D1C48" w:rsidRDefault="004B4D1C" w:rsidP="0022740B">
            <w:pPr>
              <w:spacing w:after="120"/>
              <w:jc w:val="center"/>
              <w:rPr>
                <w:rFonts w:ascii="Arial" w:hAnsi="Arial" w:cs="Arial"/>
                <w:b/>
              </w:rPr>
            </w:pPr>
            <w:r>
              <w:rPr>
                <w:rFonts w:ascii="Arial" w:hAnsi="Arial" w:cs="Arial"/>
                <w:b/>
              </w:rPr>
              <w:t>X</w:t>
            </w:r>
          </w:p>
        </w:tc>
        <w:tc>
          <w:tcPr>
            <w:tcW w:w="348" w:type="pct"/>
          </w:tcPr>
          <w:p w14:paraId="2C51F9DC"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FEB45A3" w14:textId="77777777" w:rsidR="003D1C48" w:rsidRDefault="003D1C48" w:rsidP="0022740B">
            <w:pPr>
              <w:spacing w:after="120"/>
              <w:jc w:val="center"/>
              <w:rPr>
                <w:rFonts w:ascii="Arial" w:hAnsi="Arial" w:cs="Arial"/>
                <w:b/>
              </w:rPr>
            </w:pPr>
            <w:r>
              <w:rPr>
                <w:rFonts w:ascii="Arial" w:hAnsi="Arial" w:cs="Arial"/>
                <w:b/>
              </w:rPr>
              <w:t>X</w:t>
            </w:r>
          </w:p>
        </w:tc>
        <w:tc>
          <w:tcPr>
            <w:tcW w:w="348" w:type="pct"/>
          </w:tcPr>
          <w:p w14:paraId="5FDB5A73" w14:textId="77777777" w:rsidR="003D1C48" w:rsidRDefault="003D1C48" w:rsidP="0022740B">
            <w:pPr>
              <w:spacing w:after="120"/>
              <w:jc w:val="center"/>
              <w:rPr>
                <w:rFonts w:ascii="Arial" w:hAnsi="Arial" w:cs="Arial"/>
                <w:b/>
              </w:rPr>
            </w:pPr>
            <w:r>
              <w:rPr>
                <w:rFonts w:ascii="Arial" w:hAnsi="Arial" w:cs="Arial"/>
                <w:b/>
              </w:rPr>
              <w:t>X</w:t>
            </w:r>
          </w:p>
        </w:tc>
      </w:tr>
    </w:tbl>
    <w:p w14:paraId="4A4E425E" w14:textId="77777777" w:rsidR="007A6245" w:rsidRDefault="007A6245" w:rsidP="00302082">
      <w:pPr>
        <w:spacing w:after="120" w:line="240" w:lineRule="auto"/>
        <w:ind w:left="426" w:right="260"/>
        <w:rPr>
          <w:rFonts w:ascii="Arial" w:hAnsi="Arial" w:cs="Arial"/>
          <w:b/>
          <w:iCs/>
        </w:rPr>
      </w:pPr>
    </w:p>
    <w:p w14:paraId="3754EA7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B29FC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2740B">
        <w:rPr>
          <w:rFonts w:ascii="Arial" w:hAnsi="Arial" w:cs="Arial"/>
        </w:rPr>
        <w:t xml:space="preserve"> </w:t>
      </w:r>
      <w:r w:rsidR="00607752">
        <w:rPr>
          <w:rFonts w:ascii="Arial" w:hAnsi="Arial" w:cs="Arial"/>
        </w:rPr>
        <w:t>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A988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F456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B12D7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C29F1AA" w14:textId="77777777" w:rsidR="00883204" w:rsidRDefault="00883204" w:rsidP="00696FF5">
      <w:pPr>
        <w:spacing w:after="120" w:line="240" w:lineRule="auto"/>
        <w:ind w:left="567" w:right="260"/>
        <w:rPr>
          <w:rFonts w:ascii="Arial" w:hAnsi="Arial" w:cs="Arial"/>
          <w:i/>
          <w:iCs/>
        </w:rPr>
      </w:pPr>
    </w:p>
    <w:p w14:paraId="2028F2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DFA7FC6" w14:textId="77777777" w:rsidR="009A2D37" w:rsidRPr="0022740B" w:rsidRDefault="0022740B" w:rsidP="00696FF5">
      <w:pPr>
        <w:spacing w:after="120" w:line="240" w:lineRule="auto"/>
        <w:ind w:left="567" w:right="260"/>
        <w:jc w:val="both"/>
        <w:rPr>
          <w:rFonts w:ascii="Arial" w:hAnsi="Arial" w:cs="Arial"/>
          <w:b/>
        </w:rPr>
      </w:pPr>
      <w:r>
        <w:rPr>
          <w:rFonts w:ascii="Arial" w:hAnsi="Arial" w:cs="Arial"/>
        </w:rPr>
        <w:t>Canterbury</w:t>
      </w:r>
    </w:p>
    <w:p w14:paraId="6E04A731" w14:textId="77777777" w:rsidR="009A2D37" w:rsidRDefault="009A2D37" w:rsidP="00302082">
      <w:pPr>
        <w:spacing w:after="120" w:line="240" w:lineRule="auto"/>
        <w:ind w:left="426" w:right="260"/>
        <w:rPr>
          <w:rFonts w:ascii="Arial" w:hAnsi="Arial" w:cs="Arial"/>
          <w:i/>
          <w:iCs/>
        </w:rPr>
      </w:pPr>
    </w:p>
    <w:p w14:paraId="438F01F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4AD0EB" w14:textId="77777777" w:rsidR="00922E9E" w:rsidRPr="0022740B" w:rsidRDefault="0022740B" w:rsidP="00302082">
      <w:pPr>
        <w:spacing w:after="120" w:line="240" w:lineRule="auto"/>
        <w:ind w:left="426" w:right="260"/>
        <w:rPr>
          <w:rFonts w:ascii="Arial" w:hAnsi="Arial" w:cs="Arial"/>
          <w:iCs/>
        </w:rPr>
      </w:pPr>
      <w:r w:rsidRPr="0022740B">
        <w:rPr>
          <w:rFonts w:ascii="Arial" w:hAnsi="Arial" w:cs="Arial"/>
          <w:iCs/>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313DBB10" w14:textId="77777777" w:rsidR="00883204" w:rsidRPr="00883204" w:rsidRDefault="00883204" w:rsidP="00883204">
      <w:pPr>
        <w:rPr>
          <w:rFonts w:ascii="Arial" w:hAnsi="Arial" w:cs="Arial"/>
        </w:rPr>
      </w:pPr>
    </w:p>
    <w:p w14:paraId="283E19AC" w14:textId="77777777" w:rsidR="00641D6D" w:rsidRPr="00302082" w:rsidRDefault="00641D6D" w:rsidP="00302082">
      <w:pPr>
        <w:pBdr>
          <w:bottom w:val="single" w:sz="6" w:space="1" w:color="auto"/>
        </w:pBdr>
        <w:spacing w:after="120" w:line="240" w:lineRule="auto"/>
        <w:ind w:right="260"/>
        <w:rPr>
          <w:rFonts w:ascii="Arial" w:hAnsi="Arial" w:cs="Arial"/>
        </w:rPr>
      </w:pPr>
    </w:p>
    <w:p w14:paraId="716BB28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BADA79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03E42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0485F42" w14:textId="77777777" w:rsidTr="00710647">
        <w:trPr>
          <w:trHeight w:val="317"/>
        </w:trPr>
        <w:tc>
          <w:tcPr>
            <w:tcW w:w="1526" w:type="dxa"/>
          </w:tcPr>
          <w:p w14:paraId="1054E69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41F05B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52A6B82"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576B3F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85CEE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A48E999" w14:textId="77777777" w:rsidTr="00710647">
        <w:trPr>
          <w:trHeight w:val="305"/>
        </w:trPr>
        <w:tc>
          <w:tcPr>
            <w:tcW w:w="1526" w:type="dxa"/>
          </w:tcPr>
          <w:p w14:paraId="637B4589" w14:textId="34D15328" w:rsidR="00422B69" w:rsidRPr="00302082" w:rsidRDefault="00AA6229" w:rsidP="00302082">
            <w:pPr>
              <w:spacing w:after="120"/>
              <w:ind w:right="-330"/>
              <w:rPr>
                <w:rFonts w:ascii="Arial" w:hAnsi="Arial" w:cs="Arial"/>
              </w:rPr>
            </w:pPr>
            <w:r>
              <w:rPr>
                <w:rFonts w:ascii="Arial" w:hAnsi="Arial" w:cs="Arial"/>
              </w:rPr>
              <w:t>25/02/19</w:t>
            </w:r>
          </w:p>
        </w:tc>
        <w:tc>
          <w:tcPr>
            <w:tcW w:w="1701" w:type="dxa"/>
          </w:tcPr>
          <w:p w14:paraId="0B277B74" w14:textId="2939CBF2" w:rsidR="00422B69" w:rsidRPr="00302082" w:rsidRDefault="00AA6229" w:rsidP="00302082">
            <w:pPr>
              <w:spacing w:after="120"/>
              <w:ind w:right="-330"/>
              <w:rPr>
                <w:rFonts w:ascii="Arial" w:hAnsi="Arial" w:cs="Arial"/>
              </w:rPr>
            </w:pPr>
            <w:r>
              <w:rPr>
                <w:rFonts w:ascii="Arial" w:hAnsi="Arial" w:cs="Arial"/>
              </w:rPr>
              <w:t>Major</w:t>
            </w:r>
          </w:p>
        </w:tc>
        <w:tc>
          <w:tcPr>
            <w:tcW w:w="1871" w:type="dxa"/>
          </w:tcPr>
          <w:p w14:paraId="04B7CD16" w14:textId="4188F51D" w:rsidR="00422B69" w:rsidRPr="00302082" w:rsidRDefault="00AA6229" w:rsidP="00302082">
            <w:pPr>
              <w:spacing w:after="120"/>
              <w:ind w:right="-330"/>
              <w:rPr>
                <w:rFonts w:ascii="Arial" w:hAnsi="Arial" w:cs="Arial"/>
              </w:rPr>
            </w:pPr>
            <w:r>
              <w:rPr>
                <w:rFonts w:ascii="Arial" w:hAnsi="Arial" w:cs="Arial"/>
              </w:rPr>
              <w:t>January 2020</w:t>
            </w:r>
          </w:p>
        </w:tc>
        <w:tc>
          <w:tcPr>
            <w:tcW w:w="2552" w:type="dxa"/>
          </w:tcPr>
          <w:p w14:paraId="1A438476" w14:textId="64D4FC62" w:rsidR="00422B69" w:rsidRPr="00302082" w:rsidRDefault="00AA6229" w:rsidP="00302082">
            <w:pPr>
              <w:spacing w:after="120"/>
              <w:ind w:right="-330"/>
              <w:rPr>
                <w:rFonts w:ascii="Arial" w:hAnsi="Arial" w:cs="Arial"/>
              </w:rPr>
            </w:pPr>
            <w:r>
              <w:rPr>
                <w:rFonts w:ascii="Arial" w:hAnsi="Arial" w:cs="Arial"/>
              </w:rPr>
              <w:t>8,9,12,13,14,17</w:t>
            </w:r>
          </w:p>
        </w:tc>
        <w:tc>
          <w:tcPr>
            <w:tcW w:w="3032" w:type="dxa"/>
          </w:tcPr>
          <w:p w14:paraId="2B3D5093" w14:textId="7D172A57" w:rsidR="00422B69" w:rsidRPr="00302082" w:rsidRDefault="00AA6229" w:rsidP="00302082">
            <w:pPr>
              <w:spacing w:after="120"/>
              <w:ind w:right="-330"/>
              <w:rPr>
                <w:rFonts w:ascii="Arial" w:hAnsi="Arial" w:cs="Arial"/>
              </w:rPr>
            </w:pPr>
            <w:r>
              <w:rPr>
                <w:rFonts w:ascii="Arial" w:hAnsi="Arial" w:cs="Arial"/>
              </w:rPr>
              <w:t xml:space="preserve">No </w:t>
            </w:r>
          </w:p>
        </w:tc>
      </w:tr>
      <w:tr w:rsidR="00302082" w:rsidRPr="00302082" w14:paraId="03E6678D" w14:textId="77777777" w:rsidTr="00710647">
        <w:trPr>
          <w:trHeight w:val="305"/>
        </w:trPr>
        <w:tc>
          <w:tcPr>
            <w:tcW w:w="1526" w:type="dxa"/>
          </w:tcPr>
          <w:p w14:paraId="0A367664" w14:textId="77777777" w:rsidR="00422B69" w:rsidRPr="00302082" w:rsidRDefault="00422B69" w:rsidP="00302082">
            <w:pPr>
              <w:spacing w:after="120"/>
              <w:ind w:right="-330"/>
              <w:rPr>
                <w:rFonts w:ascii="Arial" w:hAnsi="Arial" w:cs="Arial"/>
              </w:rPr>
            </w:pPr>
          </w:p>
        </w:tc>
        <w:tc>
          <w:tcPr>
            <w:tcW w:w="1701" w:type="dxa"/>
          </w:tcPr>
          <w:p w14:paraId="66688BB4" w14:textId="77777777" w:rsidR="00422B69" w:rsidRPr="00302082" w:rsidRDefault="00422B69" w:rsidP="00302082">
            <w:pPr>
              <w:spacing w:after="120"/>
              <w:ind w:right="-330"/>
              <w:rPr>
                <w:rFonts w:ascii="Arial" w:hAnsi="Arial" w:cs="Arial"/>
              </w:rPr>
            </w:pPr>
          </w:p>
        </w:tc>
        <w:tc>
          <w:tcPr>
            <w:tcW w:w="1871" w:type="dxa"/>
          </w:tcPr>
          <w:p w14:paraId="53C46D21" w14:textId="77777777" w:rsidR="00422B69" w:rsidRPr="00302082" w:rsidRDefault="00422B69" w:rsidP="00302082">
            <w:pPr>
              <w:spacing w:after="120"/>
              <w:ind w:right="-330"/>
              <w:rPr>
                <w:rFonts w:ascii="Arial" w:hAnsi="Arial" w:cs="Arial"/>
              </w:rPr>
            </w:pPr>
          </w:p>
        </w:tc>
        <w:tc>
          <w:tcPr>
            <w:tcW w:w="2552" w:type="dxa"/>
          </w:tcPr>
          <w:p w14:paraId="319B64AE" w14:textId="77777777" w:rsidR="00422B69" w:rsidRPr="00302082" w:rsidRDefault="00422B69" w:rsidP="00302082">
            <w:pPr>
              <w:spacing w:after="120"/>
              <w:ind w:right="-330"/>
              <w:rPr>
                <w:rFonts w:ascii="Arial" w:hAnsi="Arial" w:cs="Arial"/>
              </w:rPr>
            </w:pPr>
          </w:p>
        </w:tc>
        <w:tc>
          <w:tcPr>
            <w:tcW w:w="3032" w:type="dxa"/>
          </w:tcPr>
          <w:p w14:paraId="31722AF3" w14:textId="77777777" w:rsidR="00422B69" w:rsidRPr="00302082" w:rsidRDefault="00422B69" w:rsidP="00302082">
            <w:pPr>
              <w:spacing w:after="120"/>
              <w:ind w:right="-330"/>
              <w:rPr>
                <w:rFonts w:ascii="Arial" w:hAnsi="Arial" w:cs="Arial"/>
              </w:rPr>
            </w:pPr>
          </w:p>
        </w:tc>
      </w:tr>
    </w:tbl>
    <w:p w14:paraId="391F335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6783" w14:textId="77777777" w:rsidR="0014702D" w:rsidRDefault="0014702D" w:rsidP="009A2D37">
      <w:pPr>
        <w:spacing w:after="0" w:line="240" w:lineRule="auto"/>
      </w:pPr>
      <w:r>
        <w:separator/>
      </w:r>
    </w:p>
  </w:endnote>
  <w:endnote w:type="continuationSeparator" w:id="0">
    <w:p w14:paraId="649E0D98" w14:textId="77777777" w:rsidR="0014702D" w:rsidRDefault="0014702D" w:rsidP="009A2D37">
      <w:pPr>
        <w:spacing w:after="0" w:line="240" w:lineRule="auto"/>
      </w:pPr>
      <w:r>
        <w:continuationSeparator/>
      </w:r>
    </w:p>
  </w:endnote>
  <w:endnote w:type="continuationNotice" w:id="1">
    <w:p w14:paraId="25412FFC" w14:textId="77777777" w:rsidR="0014702D" w:rsidRDefault="00147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1773A24" w14:textId="2F580930" w:rsidR="008B2543" w:rsidRDefault="0019787E" w:rsidP="009A2D37">
        <w:pPr>
          <w:pStyle w:val="Footer"/>
          <w:jc w:val="center"/>
        </w:pPr>
        <w:r>
          <w:fldChar w:fldCharType="begin"/>
        </w:r>
        <w:r>
          <w:instrText xml:space="preserve"> PAGE   \* MERGEFORMAT </w:instrText>
        </w:r>
        <w:r>
          <w:fldChar w:fldCharType="separate"/>
        </w:r>
        <w:r w:rsidR="00AA6229">
          <w:rPr>
            <w:noProof/>
          </w:rPr>
          <w:t>4</w:t>
        </w:r>
        <w:r>
          <w:rPr>
            <w:noProof/>
          </w:rPr>
          <w:fldChar w:fldCharType="end"/>
        </w:r>
      </w:p>
    </w:sdtContent>
  </w:sdt>
  <w:p w14:paraId="15FE47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F1C20" w14:textId="77777777" w:rsidR="0014702D" w:rsidRDefault="0014702D" w:rsidP="009A2D37">
      <w:pPr>
        <w:spacing w:after="0" w:line="240" w:lineRule="auto"/>
      </w:pPr>
      <w:r>
        <w:separator/>
      </w:r>
    </w:p>
  </w:footnote>
  <w:footnote w:type="continuationSeparator" w:id="0">
    <w:p w14:paraId="11C7291D" w14:textId="77777777" w:rsidR="0014702D" w:rsidRDefault="0014702D" w:rsidP="009A2D37">
      <w:pPr>
        <w:spacing w:after="0" w:line="240" w:lineRule="auto"/>
      </w:pPr>
      <w:r>
        <w:continuationSeparator/>
      </w:r>
    </w:p>
  </w:footnote>
  <w:footnote w:type="continuationNotice" w:id="1">
    <w:p w14:paraId="1125E9AD" w14:textId="77777777" w:rsidR="0014702D" w:rsidRDefault="00147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DB02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EE26E" wp14:editId="36E157D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DFC3192" w14:textId="77777777" w:rsidR="008B2543" w:rsidRPr="008C00F8" w:rsidRDefault="008B2543" w:rsidP="005E6D38">
    <w:pPr>
      <w:pStyle w:val="Heading1"/>
      <w:spacing w:before="60" w:after="60"/>
      <w:rPr>
        <w:rFonts w:ascii="Arial" w:hAnsi="Arial" w:cs="Arial"/>
      </w:rPr>
    </w:pPr>
  </w:p>
  <w:p w14:paraId="5F06809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A262" w14:textId="41D2D7E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F30686" wp14:editId="6F4E50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2E54E3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D75"/>
    <w:rsid w:val="000C0294"/>
    <w:rsid w:val="000C3A7E"/>
    <w:rsid w:val="000C7A1C"/>
    <w:rsid w:val="000D2A8A"/>
    <w:rsid w:val="000D32AC"/>
    <w:rsid w:val="000E1119"/>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02D"/>
    <w:rsid w:val="001540CE"/>
    <w:rsid w:val="0015676F"/>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4DB"/>
    <w:rsid w:val="001F0779"/>
    <w:rsid w:val="001F3C3E"/>
    <w:rsid w:val="00201C5F"/>
    <w:rsid w:val="0020243A"/>
    <w:rsid w:val="00204081"/>
    <w:rsid w:val="00210EDA"/>
    <w:rsid w:val="0021578E"/>
    <w:rsid w:val="0022740B"/>
    <w:rsid w:val="00227582"/>
    <w:rsid w:val="002302FD"/>
    <w:rsid w:val="002308BE"/>
    <w:rsid w:val="00230B6E"/>
    <w:rsid w:val="002407C0"/>
    <w:rsid w:val="002461AF"/>
    <w:rsid w:val="002465A1"/>
    <w:rsid w:val="00264576"/>
    <w:rsid w:val="0026585A"/>
    <w:rsid w:val="00266735"/>
    <w:rsid w:val="00273811"/>
    <w:rsid w:val="00273CF0"/>
    <w:rsid w:val="002748D4"/>
    <w:rsid w:val="00274ED7"/>
    <w:rsid w:val="002837A4"/>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FA3"/>
    <w:rsid w:val="00302082"/>
    <w:rsid w:val="00306620"/>
    <w:rsid w:val="003262B9"/>
    <w:rsid w:val="003304E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963"/>
    <w:rsid w:val="003934D2"/>
    <w:rsid w:val="003973A1"/>
    <w:rsid w:val="003A5DA0"/>
    <w:rsid w:val="003A5EEB"/>
    <w:rsid w:val="003A6143"/>
    <w:rsid w:val="003B35F4"/>
    <w:rsid w:val="003B7C76"/>
    <w:rsid w:val="003C3E0C"/>
    <w:rsid w:val="003C776B"/>
    <w:rsid w:val="003D1C48"/>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104"/>
    <w:rsid w:val="00460925"/>
    <w:rsid w:val="00471C6C"/>
    <w:rsid w:val="00472023"/>
    <w:rsid w:val="00486993"/>
    <w:rsid w:val="00492DA4"/>
    <w:rsid w:val="00496AA3"/>
    <w:rsid w:val="00497C98"/>
    <w:rsid w:val="004A39D7"/>
    <w:rsid w:val="004A55FA"/>
    <w:rsid w:val="004B4D1C"/>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4F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596"/>
    <w:rsid w:val="006043FC"/>
    <w:rsid w:val="006050CF"/>
    <w:rsid w:val="00607752"/>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A00"/>
    <w:rsid w:val="00696FF5"/>
    <w:rsid w:val="006A6BB4"/>
    <w:rsid w:val="006A7FB0"/>
    <w:rsid w:val="006C2A9A"/>
    <w:rsid w:val="006C423D"/>
    <w:rsid w:val="006C46EF"/>
    <w:rsid w:val="006C4C67"/>
    <w:rsid w:val="006D13C0"/>
    <w:rsid w:val="006D41AB"/>
    <w:rsid w:val="006D444F"/>
    <w:rsid w:val="006D6CF5"/>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F8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ED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229"/>
    <w:rsid w:val="00AA6330"/>
    <w:rsid w:val="00AC6466"/>
    <w:rsid w:val="00AC7501"/>
    <w:rsid w:val="00AD748B"/>
    <w:rsid w:val="00AE4865"/>
    <w:rsid w:val="00AE53F1"/>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67D6B"/>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CD2"/>
    <w:rsid w:val="00BF51AB"/>
    <w:rsid w:val="00BF716B"/>
    <w:rsid w:val="00BF7233"/>
    <w:rsid w:val="00C02AA2"/>
    <w:rsid w:val="00C04C95"/>
    <w:rsid w:val="00C12613"/>
    <w:rsid w:val="00C16DEF"/>
    <w:rsid w:val="00C2492F"/>
    <w:rsid w:val="00C31189"/>
    <w:rsid w:val="00C3744A"/>
    <w:rsid w:val="00C4002A"/>
    <w:rsid w:val="00C41E37"/>
    <w:rsid w:val="00C46912"/>
    <w:rsid w:val="00C612A8"/>
    <w:rsid w:val="00C618D2"/>
    <w:rsid w:val="00C67631"/>
    <w:rsid w:val="00C709C6"/>
    <w:rsid w:val="00C729D7"/>
    <w:rsid w:val="00C83354"/>
    <w:rsid w:val="00C84004"/>
    <w:rsid w:val="00C843F6"/>
    <w:rsid w:val="00C84507"/>
    <w:rsid w:val="00C862C7"/>
    <w:rsid w:val="00C97D5E"/>
    <w:rsid w:val="00CA3254"/>
    <w:rsid w:val="00CB11CE"/>
    <w:rsid w:val="00CC25A2"/>
    <w:rsid w:val="00CD4603"/>
    <w:rsid w:val="00CD7F07"/>
    <w:rsid w:val="00CE04F3"/>
    <w:rsid w:val="00CE12D8"/>
    <w:rsid w:val="00CE4574"/>
    <w:rsid w:val="00CE70E6"/>
    <w:rsid w:val="00CF0BCA"/>
    <w:rsid w:val="00CF2E1E"/>
    <w:rsid w:val="00D0081A"/>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A55"/>
    <w:rsid w:val="00E22F03"/>
    <w:rsid w:val="00E233C1"/>
    <w:rsid w:val="00E51404"/>
    <w:rsid w:val="00E574C9"/>
    <w:rsid w:val="00E610DE"/>
    <w:rsid w:val="00E66167"/>
    <w:rsid w:val="00E71F2F"/>
    <w:rsid w:val="00E77786"/>
    <w:rsid w:val="00E806FB"/>
    <w:rsid w:val="00E8165E"/>
    <w:rsid w:val="00EB1C2D"/>
    <w:rsid w:val="00EC1810"/>
    <w:rsid w:val="00EC3FCC"/>
    <w:rsid w:val="00EC53FF"/>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71B9ED"/>
  <w15:docId w15:val="{44D0F988-BD26-42CA-AE87-2B6B1448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9AD73-1B2A-4111-9298-A7732AC4491D}">
  <ds:schemaRefs>
    <ds:schemaRef ds:uri="http://schemas.openxmlformats.org/officeDocument/2006/bibliography"/>
  </ds:schemaRefs>
</ds:datastoreItem>
</file>

<file path=customXml/itemProps2.xml><?xml version="1.0" encoding="utf-8"?>
<ds:datastoreItem xmlns:ds="http://schemas.openxmlformats.org/officeDocument/2006/customXml" ds:itemID="{9884DBFA-B8FC-48A1-B1BE-FD9C87F1C08A}"/>
</file>

<file path=customXml/itemProps3.xml><?xml version="1.0" encoding="utf-8"?>
<ds:datastoreItem xmlns:ds="http://schemas.openxmlformats.org/officeDocument/2006/customXml" ds:itemID="{CD8CA43B-910C-4FB7-8BB6-CFF228409513}"/>
</file>

<file path=customXml/itemProps4.xml><?xml version="1.0" encoding="utf-8"?>
<ds:datastoreItem xmlns:ds="http://schemas.openxmlformats.org/officeDocument/2006/customXml" ds:itemID="{9C389DDC-49E6-4788-AF96-ECC8C3A575E6}"/>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2019-02-25T14:43:00Z</dcterms:created>
  <dcterms:modified xsi:type="dcterms:W3CDTF">2019-02-25T14:43:00Z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