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62" w:rsidRDefault="00882562" w:rsidP="00A53AB3">
      <w:pPr>
        <w:numPr>
          <w:ilvl w:val="0"/>
          <w:numId w:val="1"/>
        </w:numPr>
        <w:spacing w:after="120" w:line="240" w:lineRule="auto"/>
        <w:ind w:left="426" w:right="260" w:hanging="426"/>
        <w:jc w:val="both"/>
        <w:rPr>
          <w:rFonts w:ascii="Arial" w:hAnsi="Arial" w:cs="Arial"/>
          <w:b/>
        </w:rPr>
      </w:pPr>
      <w:r w:rsidRPr="00882562">
        <w:rPr>
          <w:rFonts w:ascii="Arial" w:hAnsi="Arial" w:cs="Arial"/>
          <w:b/>
        </w:rPr>
        <w:t>Title of the module</w:t>
      </w:r>
    </w:p>
    <w:p w:rsidR="00882562" w:rsidRPr="00882562" w:rsidRDefault="00882562" w:rsidP="00882562">
      <w:pPr>
        <w:spacing w:after="120" w:line="240" w:lineRule="auto"/>
        <w:ind w:left="426" w:right="260"/>
        <w:jc w:val="both"/>
        <w:rPr>
          <w:rFonts w:ascii="Arial" w:hAnsi="Arial" w:cs="Arial"/>
        </w:rPr>
      </w:pPr>
      <w:r w:rsidRPr="00882562">
        <w:rPr>
          <w:rFonts w:ascii="Arial" w:hAnsi="Arial" w:cs="Arial"/>
        </w:rPr>
        <w:t>ENGL7170 (EN717): The Graphic Novel</w:t>
      </w:r>
    </w:p>
    <w:p w:rsidR="00882562" w:rsidRPr="00AF7896" w:rsidRDefault="00882562" w:rsidP="00882562">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Pr>
          <w:rFonts w:ascii="Arial" w:hAnsi="Arial" w:cs="Arial"/>
          <w:b/>
        </w:rPr>
        <w:t xml:space="preserve">: </w:t>
      </w:r>
    </w:p>
    <w:p w:rsidR="00882562" w:rsidRPr="00AF7896" w:rsidRDefault="00882562" w:rsidP="00882562">
      <w:pPr>
        <w:spacing w:after="120" w:line="240" w:lineRule="auto"/>
        <w:ind w:right="260"/>
        <w:jc w:val="both"/>
        <w:rPr>
          <w:rFonts w:ascii="Arial" w:hAnsi="Arial" w:cs="Arial"/>
        </w:rPr>
      </w:pPr>
      <w:r>
        <w:rPr>
          <w:rFonts w:ascii="Arial" w:hAnsi="Arial" w:cs="Arial"/>
        </w:rPr>
        <w:t xml:space="preserve">       </w:t>
      </w:r>
      <w:r w:rsidRPr="00AF7896">
        <w:rPr>
          <w:rFonts w:ascii="Arial" w:hAnsi="Arial" w:cs="Arial"/>
        </w:rPr>
        <w:t>School of English</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rsidR="00882562" w:rsidRPr="00302082" w:rsidRDefault="00882562" w:rsidP="00882562">
      <w:pPr>
        <w:spacing w:after="120" w:line="240" w:lineRule="auto"/>
        <w:ind w:left="426" w:right="260"/>
        <w:jc w:val="both"/>
        <w:rPr>
          <w:rFonts w:ascii="Arial" w:hAnsi="Arial" w:cs="Arial"/>
          <w:b/>
        </w:rPr>
      </w:pPr>
      <w:r w:rsidRPr="00AF7896">
        <w:rPr>
          <w:rFonts w:ascii="Arial" w:hAnsi="Arial" w:cs="Arial"/>
        </w:rPr>
        <w:t>Level 6</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rsidR="00882562" w:rsidRPr="00302082" w:rsidRDefault="00882562" w:rsidP="00882562">
      <w:pPr>
        <w:spacing w:after="120" w:line="240" w:lineRule="auto"/>
        <w:ind w:left="426" w:right="260"/>
        <w:jc w:val="both"/>
        <w:rPr>
          <w:rFonts w:ascii="Arial" w:hAnsi="Arial" w:cs="Arial"/>
          <w:b/>
        </w:rPr>
      </w:pPr>
      <w:r w:rsidRPr="00AF7896">
        <w:rPr>
          <w:rFonts w:ascii="Arial" w:hAnsi="Arial" w:cs="Arial"/>
        </w:rPr>
        <w:t>30 (15 ECTS)</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882562" w:rsidRDefault="00882562" w:rsidP="00882562">
      <w:pPr>
        <w:spacing w:after="120" w:line="240" w:lineRule="auto"/>
        <w:ind w:left="426" w:right="260"/>
        <w:jc w:val="both"/>
        <w:rPr>
          <w:rFonts w:ascii="Arial" w:hAnsi="Arial" w:cs="Arial"/>
          <w:b/>
        </w:rPr>
      </w:pPr>
      <w:r w:rsidRPr="00AF7896">
        <w:rPr>
          <w:rFonts w:ascii="Arial" w:hAnsi="Arial" w:cs="Arial"/>
        </w:rPr>
        <w:t xml:space="preserve">Autumn or </w:t>
      </w:r>
      <w:proofErr w:type="gramStart"/>
      <w:r w:rsidRPr="00AF7896">
        <w:rPr>
          <w:rFonts w:ascii="Arial" w:hAnsi="Arial" w:cs="Arial"/>
        </w:rPr>
        <w:t>Spring</w:t>
      </w:r>
      <w:proofErr w:type="gramEnd"/>
      <w:r w:rsidRPr="00AF7896">
        <w:rPr>
          <w:rFonts w:ascii="Arial" w:hAnsi="Arial" w:cs="Arial"/>
        </w:rPr>
        <w:t xml:space="preserve"> </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882562" w:rsidRPr="00302082" w:rsidRDefault="00882562" w:rsidP="00882562">
      <w:pPr>
        <w:spacing w:after="120" w:line="240" w:lineRule="auto"/>
        <w:ind w:left="426" w:right="260"/>
        <w:jc w:val="both"/>
        <w:rPr>
          <w:rFonts w:ascii="Arial" w:hAnsi="Arial" w:cs="Arial"/>
          <w:b/>
        </w:rPr>
      </w:pPr>
      <w:r>
        <w:rPr>
          <w:rFonts w:ascii="Arial" w:hAnsi="Arial" w:cs="Arial"/>
        </w:rPr>
        <w:t>None</w:t>
      </w:r>
    </w:p>
    <w:p w:rsidR="00882562" w:rsidRPr="00882562" w:rsidRDefault="00882562" w:rsidP="00882562">
      <w:pPr>
        <w:numPr>
          <w:ilvl w:val="0"/>
          <w:numId w:val="1"/>
        </w:numPr>
        <w:spacing w:after="120" w:line="240" w:lineRule="auto"/>
        <w:ind w:left="426" w:hanging="426"/>
        <w:jc w:val="both"/>
        <w:rPr>
          <w:rFonts w:ascii="Arial" w:eastAsia="SimSun" w:hAnsi="Arial" w:cs="Arial"/>
          <w:lang w:eastAsia="en-US"/>
        </w:rPr>
      </w:pPr>
      <w:r w:rsidRPr="00302082">
        <w:rPr>
          <w:rFonts w:ascii="Arial" w:hAnsi="Arial" w:cs="Arial"/>
          <w:b/>
        </w:rPr>
        <w:t>The programmes of study to which the module contributes</w:t>
      </w:r>
    </w:p>
    <w:p w:rsidR="00882562" w:rsidRPr="008606F3" w:rsidRDefault="00882562" w:rsidP="00882562">
      <w:pPr>
        <w:spacing w:after="120" w:line="240" w:lineRule="auto"/>
        <w:ind w:left="426"/>
        <w:jc w:val="both"/>
        <w:rPr>
          <w:rFonts w:ascii="Arial" w:eastAsia="SimSun" w:hAnsi="Arial" w:cs="Arial"/>
          <w:lang w:eastAsia="en-US"/>
        </w:rPr>
      </w:pPr>
      <w:r w:rsidRPr="008606F3">
        <w:rPr>
          <w:rFonts w:ascii="Arial" w:eastAsia="SimSun" w:hAnsi="Arial" w:cs="Arial"/>
          <w:lang w:eastAsia="en-US"/>
        </w:rPr>
        <w:t xml:space="preserve">BA in: Contemporary Literature; English and American Literature; English, American and Postcolonial Literatures; English and American Literature </w:t>
      </w:r>
      <w:r>
        <w:rPr>
          <w:rFonts w:ascii="Arial" w:eastAsia="SimSun" w:hAnsi="Arial" w:cs="Arial"/>
          <w:lang w:eastAsia="en-US"/>
        </w:rPr>
        <w:t>and</w:t>
      </w:r>
      <w:r w:rsidRPr="008606F3">
        <w:rPr>
          <w:rFonts w:ascii="Arial" w:eastAsia="SimSun" w:hAnsi="Arial" w:cs="Arial"/>
          <w:lang w:eastAsia="en-US"/>
        </w:rPr>
        <w:t xml:space="preserve"> Creative Writing.</w:t>
      </w:r>
    </w:p>
    <w:p w:rsidR="00882562" w:rsidRPr="00302082" w:rsidRDefault="00882562" w:rsidP="0088256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8.1 </w:t>
      </w:r>
      <w:r w:rsidRPr="008606F3">
        <w:rPr>
          <w:rFonts w:ascii="Arial" w:hAnsi="Arial" w:cs="Arial"/>
        </w:rPr>
        <w:t>Demonstrate an ability to study and cr</w:t>
      </w:r>
      <w:r>
        <w:rPr>
          <w:rFonts w:ascii="Arial" w:hAnsi="Arial" w:cs="Arial"/>
        </w:rPr>
        <w:t xml:space="preserve">itically respond to a range of </w:t>
      </w:r>
      <w:r w:rsidRPr="008606F3">
        <w:rPr>
          <w:rFonts w:ascii="Arial" w:hAnsi="Arial" w:cs="Arial"/>
        </w:rPr>
        <w:t xml:space="preserve">graphic novels published between 1980s and the present day.  </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8.2 </w:t>
      </w:r>
      <w:r w:rsidRPr="008606F3">
        <w:rPr>
          <w:rFonts w:ascii="Arial" w:hAnsi="Arial" w:cs="Arial"/>
        </w:rPr>
        <w:t>Relate their reading to developments and debates within wider so</w:t>
      </w:r>
      <w:r>
        <w:rPr>
          <w:rFonts w:ascii="Arial" w:hAnsi="Arial" w:cs="Arial"/>
        </w:rPr>
        <w:t xml:space="preserve">cial, </w:t>
      </w:r>
      <w:r w:rsidRPr="008606F3">
        <w:rPr>
          <w:rFonts w:ascii="Arial" w:hAnsi="Arial" w:cs="Arial"/>
        </w:rPr>
        <w:t>political and historical contexts.</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8.3 </w:t>
      </w:r>
      <w:r w:rsidRPr="008606F3">
        <w:rPr>
          <w:rFonts w:ascii="Arial" w:hAnsi="Arial" w:cs="Arial"/>
        </w:rPr>
        <w:t>Explore and analyse a range of the</w:t>
      </w:r>
      <w:r>
        <w:rPr>
          <w:rFonts w:ascii="Arial" w:hAnsi="Arial" w:cs="Arial"/>
        </w:rPr>
        <w:t xml:space="preserve">oretical approaches to graphic </w:t>
      </w:r>
      <w:r w:rsidRPr="008606F3">
        <w:rPr>
          <w:rFonts w:ascii="Arial" w:hAnsi="Arial" w:cs="Arial"/>
        </w:rPr>
        <w:t xml:space="preserve">novels, both in terms of their literary and visual qualities. </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8.4 </w:t>
      </w:r>
      <w:r w:rsidRPr="008606F3">
        <w:rPr>
          <w:rFonts w:ascii="Arial" w:hAnsi="Arial" w:cs="Arial"/>
        </w:rPr>
        <w:t>Critically consider and reflect upon the</w:t>
      </w:r>
      <w:r>
        <w:rPr>
          <w:rFonts w:ascii="Arial" w:hAnsi="Arial" w:cs="Arial"/>
        </w:rPr>
        <w:t xml:space="preserve"> interrelationship of cultural </w:t>
      </w:r>
      <w:r w:rsidRPr="008606F3">
        <w:rPr>
          <w:rFonts w:ascii="Arial" w:hAnsi="Arial" w:cs="Arial"/>
        </w:rPr>
        <w:t>trends and political discourses in graph</w:t>
      </w:r>
      <w:r>
        <w:rPr>
          <w:rFonts w:ascii="Arial" w:hAnsi="Arial" w:cs="Arial"/>
        </w:rPr>
        <w:t xml:space="preserve">ic novels, as well as film and </w:t>
      </w:r>
      <w:r w:rsidRPr="008606F3">
        <w:rPr>
          <w:rFonts w:ascii="Arial" w:hAnsi="Arial" w:cs="Arial"/>
        </w:rPr>
        <w:t xml:space="preserve">television adaptations. </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8.5 </w:t>
      </w:r>
      <w:r w:rsidRPr="008606F3">
        <w:rPr>
          <w:rFonts w:ascii="Arial" w:hAnsi="Arial" w:cs="Arial"/>
        </w:rPr>
        <w:t>Show an enhanced understanding of</w:t>
      </w:r>
      <w:r>
        <w:rPr>
          <w:rFonts w:ascii="Arial" w:hAnsi="Arial" w:cs="Arial"/>
        </w:rPr>
        <w:t xml:space="preserve"> structures and conventions in </w:t>
      </w:r>
      <w:r w:rsidRPr="008606F3">
        <w:rPr>
          <w:rFonts w:ascii="Arial" w:hAnsi="Arial" w:cs="Arial"/>
        </w:rPr>
        <w:t xml:space="preserve">graphic novels and their adaptations. </w:t>
      </w:r>
    </w:p>
    <w:p w:rsidR="00882562" w:rsidRPr="007A7376" w:rsidRDefault="00882562" w:rsidP="00882562">
      <w:pPr>
        <w:spacing w:after="120" w:line="240" w:lineRule="auto"/>
        <w:ind w:left="426" w:right="260"/>
        <w:rPr>
          <w:rFonts w:ascii="Arial" w:hAnsi="Arial" w:cs="Arial"/>
        </w:rPr>
      </w:pPr>
      <w:r>
        <w:rPr>
          <w:rFonts w:ascii="Arial" w:hAnsi="Arial" w:cs="Arial"/>
        </w:rPr>
        <w:t xml:space="preserve">8.6 </w:t>
      </w:r>
      <w:r w:rsidRPr="008606F3">
        <w:rPr>
          <w:rFonts w:ascii="Arial" w:hAnsi="Arial" w:cs="Arial"/>
        </w:rPr>
        <w:t>Investigate and question the boundaries betwee</w:t>
      </w:r>
      <w:r>
        <w:rPr>
          <w:rFonts w:ascii="Arial" w:hAnsi="Arial" w:cs="Arial"/>
        </w:rPr>
        <w:t xml:space="preserve">n art and popular </w:t>
      </w:r>
      <w:r w:rsidRPr="008606F3">
        <w:rPr>
          <w:rFonts w:ascii="Arial" w:hAnsi="Arial" w:cs="Arial"/>
        </w:rPr>
        <w:t>culture in the context of the 20th and 21st centuries.</w:t>
      </w:r>
    </w:p>
    <w:p w:rsidR="00882562" w:rsidRPr="00302082" w:rsidRDefault="00882562" w:rsidP="0088256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82562" w:rsidRPr="008606F3" w:rsidRDefault="00882562" w:rsidP="00882562">
      <w:pPr>
        <w:pStyle w:val="Default"/>
        <w:spacing w:after="120"/>
        <w:ind w:left="426" w:right="260"/>
        <w:rPr>
          <w:color w:val="auto"/>
          <w:sz w:val="22"/>
          <w:szCs w:val="22"/>
        </w:rPr>
      </w:pPr>
      <w:r>
        <w:rPr>
          <w:color w:val="auto"/>
          <w:sz w:val="22"/>
          <w:szCs w:val="22"/>
        </w:rPr>
        <w:t xml:space="preserve">9.1 </w:t>
      </w:r>
      <w:r w:rsidRPr="008606F3">
        <w:rPr>
          <w:color w:val="auto"/>
          <w:sz w:val="22"/>
          <w:szCs w:val="22"/>
        </w:rPr>
        <w:t>Apply critical reading skills, both in terms of close textual analys</w:t>
      </w:r>
      <w:r>
        <w:rPr>
          <w:color w:val="auto"/>
          <w:sz w:val="22"/>
          <w:szCs w:val="22"/>
        </w:rPr>
        <w:t xml:space="preserve">is </w:t>
      </w:r>
      <w:r w:rsidRPr="008606F3">
        <w:rPr>
          <w:color w:val="auto"/>
          <w:sz w:val="22"/>
          <w:szCs w:val="22"/>
        </w:rPr>
        <w:t xml:space="preserve">and comparative studies, </w:t>
      </w:r>
      <w:proofErr w:type="gramStart"/>
      <w:r w:rsidRPr="008606F3">
        <w:rPr>
          <w:color w:val="auto"/>
          <w:sz w:val="22"/>
          <w:szCs w:val="22"/>
        </w:rPr>
        <w:t>across</w:t>
      </w:r>
      <w:proofErr w:type="gramEnd"/>
      <w:r w:rsidRPr="008606F3">
        <w:rPr>
          <w:color w:val="auto"/>
          <w:sz w:val="22"/>
          <w:szCs w:val="22"/>
        </w:rPr>
        <w:t xml:space="preserve"> a wide range of interdisciplinary </w:t>
      </w:r>
      <w:r w:rsidRPr="008606F3">
        <w:rPr>
          <w:color w:val="auto"/>
          <w:sz w:val="22"/>
          <w:szCs w:val="22"/>
        </w:rPr>
        <w:tab/>
        <w:t xml:space="preserve">materials. </w:t>
      </w:r>
    </w:p>
    <w:p w:rsidR="00882562" w:rsidRPr="008606F3" w:rsidRDefault="00882562" w:rsidP="00882562">
      <w:pPr>
        <w:pStyle w:val="Default"/>
        <w:spacing w:after="120"/>
        <w:ind w:left="426" w:right="260"/>
        <w:rPr>
          <w:color w:val="auto"/>
          <w:sz w:val="22"/>
          <w:szCs w:val="22"/>
        </w:rPr>
      </w:pPr>
      <w:r>
        <w:rPr>
          <w:color w:val="auto"/>
          <w:sz w:val="22"/>
          <w:szCs w:val="22"/>
        </w:rPr>
        <w:t xml:space="preserve">9.2 </w:t>
      </w:r>
      <w:r w:rsidRPr="008606F3">
        <w:rPr>
          <w:color w:val="auto"/>
          <w:sz w:val="22"/>
          <w:szCs w:val="22"/>
        </w:rPr>
        <w:t>Demonstrate clear and precise presentation skills, as well as an ability to participate actively and constructively in group discussions.</w:t>
      </w:r>
    </w:p>
    <w:p w:rsidR="00882562" w:rsidRPr="008606F3" w:rsidRDefault="00882562" w:rsidP="00882562">
      <w:pPr>
        <w:pStyle w:val="Default"/>
        <w:spacing w:after="120"/>
        <w:ind w:left="426" w:right="260"/>
        <w:rPr>
          <w:color w:val="auto"/>
          <w:sz w:val="22"/>
          <w:szCs w:val="22"/>
        </w:rPr>
      </w:pPr>
      <w:r>
        <w:rPr>
          <w:color w:val="auto"/>
          <w:sz w:val="22"/>
          <w:szCs w:val="22"/>
        </w:rPr>
        <w:t xml:space="preserve">9.3 </w:t>
      </w:r>
      <w:r w:rsidRPr="008606F3">
        <w:rPr>
          <w:color w:val="auto"/>
          <w:sz w:val="22"/>
          <w:szCs w:val="22"/>
        </w:rPr>
        <w:t>Display a heightened ability to conduct i</w:t>
      </w:r>
      <w:r>
        <w:rPr>
          <w:color w:val="auto"/>
          <w:sz w:val="22"/>
          <w:szCs w:val="22"/>
        </w:rPr>
        <w:t xml:space="preserve">ndividual research, including </w:t>
      </w:r>
      <w:r w:rsidRPr="008606F3">
        <w:rPr>
          <w:color w:val="auto"/>
          <w:sz w:val="22"/>
          <w:szCs w:val="22"/>
        </w:rPr>
        <w:t>the ability to analyse, discuss an</w:t>
      </w:r>
      <w:r>
        <w:rPr>
          <w:color w:val="auto"/>
          <w:sz w:val="22"/>
          <w:szCs w:val="22"/>
        </w:rPr>
        <w:t xml:space="preserve">d deploy secondary texts (both </w:t>
      </w:r>
      <w:r w:rsidRPr="008606F3">
        <w:rPr>
          <w:color w:val="auto"/>
          <w:sz w:val="22"/>
          <w:szCs w:val="22"/>
        </w:rPr>
        <w:t>critical and theoretical) from appropriate scholarly resources.</w:t>
      </w:r>
    </w:p>
    <w:p w:rsidR="00882562" w:rsidRDefault="00882562" w:rsidP="00882562">
      <w:pPr>
        <w:pStyle w:val="Default"/>
        <w:spacing w:after="120"/>
        <w:ind w:left="426" w:right="260"/>
        <w:rPr>
          <w:color w:val="auto"/>
          <w:sz w:val="22"/>
          <w:szCs w:val="22"/>
        </w:rPr>
      </w:pPr>
      <w:r>
        <w:rPr>
          <w:color w:val="auto"/>
          <w:sz w:val="22"/>
          <w:szCs w:val="22"/>
        </w:rPr>
        <w:t xml:space="preserve">9.4 </w:t>
      </w:r>
      <w:r w:rsidRPr="008606F3">
        <w:rPr>
          <w:color w:val="auto"/>
          <w:sz w:val="22"/>
          <w:szCs w:val="22"/>
        </w:rPr>
        <w:t xml:space="preserve">Identify and evaluate relevant research questions and to develop </w:t>
      </w:r>
      <w:r w:rsidRPr="008606F3">
        <w:rPr>
          <w:color w:val="auto"/>
          <w:sz w:val="22"/>
          <w:szCs w:val="22"/>
        </w:rPr>
        <w:tab/>
        <w:t>clear, reasoned and original arguments.</w:t>
      </w:r>
    </w:p>
    <w:p w:rsidR="001033AA" w:rsidRDefault="001033AA">
      <w:pPr>
        <w:rPr>
          <w:rFonts w:ascii="Arial" w:hAnsi="Arial" w:cs="Arial"/>
          <w:b/>
        </w:rPr>
      </w:pPr>
      <w:r>
        <w:rPr>
          <w:rFonts w:ascii="Arial" w:hAnsi="Arial" w:cs="Arial"/>
          <w:b/>
        </w:rPr>
        <w:br w:type="page"/>
      </w:r>
    </w:p>
    <w:p w:rsidR="00882562" w:rsidRPr="0030208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rsidR="00882562" w:rsidRPr="007A7376" w:rsidRDefault="00882562" w:rsidP="00882562">
      <w:pPr>
        <w:spacing w:after="120" w:line="240" w:lineRule="auto"/>
        <w:ind w:left="426" w:right="260"/>
        <w:rPr>
          <w:rFonts w:ascii="Arial" w:hAnsi="Arial" w:cs="Arial"/>
          <w:iCs/>
        </w:rPr>
      </w:pPr>
      <w:r w:rsidRPr="008606F3">
        <w:rPr>
          <w:rFonts w:ascii="Arial" w:hAnsi="Arial" w:cs="Arial"/>
          <w:iCs/>
        </w:rPr>
        <w:t>This module focuses on the exploration of the graphic novel as a visual and literary medium. The module will interpret the term ‘graphic novel’ broadly, and incorporate discussions of comic books, political cartoons, as well as film and television adaptations as a part of its curriculum. The module will begin with an examination of the more mature aesthetic that became increasingly popular for graphic novels during the late 1980s, and examine how these developments have continued to evolve to the present day. Strong emphasis will be placed on readings informed by sociological and political discourses. Students will be encouraged to relate their close analysis of texts to topics such as the distinctions between art and popular culture, and the connections between literary and social history, as well as contemporary concerns such as minority politics, neoliberalism and the war on terror. As such, the module will demonstrate how the study of graphic novels directly relates to several key concerns in the study of undergraduate English.</w:t>
      </w:r>
    </w:p>
    <w:p w:rsidR="00882562" w:rsidRDefault="00882562" w:rsidP="00882562">
      <w:pPr>
        <w:numPr>
          <w:ilvl w:val="0"/>
          <w:numId w:val="1"/>
        </w:numPr>
        <w:spacing w:after="120" w:line="240" w:lineRule="auto"/>
        <w:ind w:left="426" w:right="260" w:hanging="426"/>
        <w:jc w:val="both"/>
        <w:rPr>
          <w:rFonts w:ascii="Arial" w:eastAsia="SimSun" w:hAnsi="Arial" w:cs="Arial"/>
          <w:sz w:val="20"/>
          <w:szCs w:val="20"/>
          <w:lang w:eastAsia="en-US"/>
        </w:rPr>
      </w:pPr>
      <w:r w:rsidRPr="00302082">
        <w:rPr>
          <w:rFonts w:ascii="Arial" w:hAnsi="Arial" w:cs="Arial"/>
          <w:b/>
        </w:rPr>
        <w:t>Reading List (Indicative list, current at time of publication. Reading lists will be published annually)</w:t>
      </w:r>
    </w:p>
    <w:p w:rsidR="00882562" w:rsidRPr="00882562" w:rsidRDefault="00882562" w:rsidP="00882562">
      <w:pPr>
        <w:spacing w:after="120" w:line="240" w:lineRule="auto"/>
        <w:ind w:left="426"/>
        <w:jc w:val="both"/>
        <w:rPr>
          <w:rFonts w:ascii="Arial" w:eastAsia="SimSun" w:hAnsi="Arial" w:cs="Arial"/>
          <w:szCs w:val="20"/>
          <w:lang w:eastAsia="en-US"/>
        </w:rPr>
      </w:pPr>
      <w:proofErr w:type="spellStart"/>
      <w:r w:rsidRPr="00882562">
        <w:rPr>
          <w:rFonts w:ascii="Arial" w:eastAsia="SimSun" w:hAnsi="Arial" w:cs="Arial"/>
          <w:szCs w:val="20"/>
          <w:lang w:eastAsia="en-US"/>
        </w:rPr>
        <w:t>Bechdel</w:t>
      </w:r>
      <w:proofErr w:type="spellEnd"/>
      <w:r w:rsidRPr="00882562">
        <w:rPr>
          <w:rFonts w:ascii="Arial" w:eastAsia="SimSun" w:hAnsi="Arial" w:cs="Arial"/>
          <w:szCs w:val="20"/>
          <w:lang w:eastAsia="en-US"/>
        </w:rPr>
        <w:t xml:space="preserve">, A. 2006. </w:t>
      </w:r>
      <w:r w:rsidRPr="00882562">
        <w:rPr>
          <w:rFonts w:ascii="Arial" w:eastAsia="SimSun" w:hAnsi="Arial" w:cs="Arial"/>
          <w:i/>
          <w:szCs w:val="20"/>
          <w:lang w:eastAsia="en-US"/>
        </w:rPr>
        <w:t>Fun Home: A Family Tragicomic</w:t>
      </w:r>
      <w:r w:rsidRPr="00882562">
        <w:rPr>
          <w:rFonts w:ascii="Arial" w:eastAsia="SimSun" w:hAnsi="Arial" w:cs="Arial"/>
          <w:szCs w:val="20"/>
          <w:lang w:eastAsia="en-US"/>
        </w:rPr>
        <w:t>. London: Jonathan Cape</w:t>
      </w:r>
    </w:p>
    <w:p w:rsidR="00882562" w:rsidRPr="006A585E" w:rsidRDefault="000F03D0" w:rsidP="00882562">
      <w:pPr>
        <w:spacing w:after="120" w:line="240" w:lineRule="auto"/>
        <w:ind w:left="426"/>
        <w:jc w:val="both"/>
        <w:rPr>
          <w:rFonts w:ascii="Arial" w:eastAsia="SimSun" w:hAnsi="Arial" w:cs="Arial"/>
          <w:i/>
          <w:sz w:val="20"/>
          <w:szCs w:val="20"/>
          <w:lang w:eastAsia="en-US"/>
        </w:rPr>
      </w:pPr>
      <w:r w:rsidRPr="006A585E">
        <w:rPr>
          <w:rFonts w:ascii="Arial" w:eastAsia="Arial" w:hAnsi="Arial"/>
          <w:color w:val="000000"/>
          <w:sz w:val="20"/>
          <w:szCs w:val="20"/>
        </w:rPr>
        <w:t>Evans, K. 2015. Red Rosa. London: Verso</w:t>
      </w:r>
      <w:r w:rsidRPr="006A585E" w:rsidDel="000F03D0">
        <w:rPr>
          <w:rFonts w:ascii="Arial" w:eastAsia="SimSun" w:hAnsi="Arial" w:cs="Arial"/>
          <w:sz w:val="20"/>
          <w:szCs w:val="20"/>
          <w:lang w:eastAsia="en-US"/>
        </w:rPr>
        <w:t xml:space="preserve"> </w:t>
      </w:r>
    </w:p>
    <w:p w:rsidR="00882562" w:rsidRPr="00882562" w:rsidRDefault="00882562" w:rsidP="00882562">
      <w:pPr>
        <w:spacing w:after="120" w:line="240" w:lineRule="auto"/>
        <w:ind w:left="426"/>
        <w:jc w:val="both"/>
        <w:rPr>
          <w:rFonts w:ascii="Arial" w:eastAsia="SimSun" w:hAnsi="Arial" w:cs="Arial"/>
          <w:szCs w:val="20"/>
          <w:lang w:eastAsia="en-US"/>
        </w:rPr>
      </w:pPr>
      <w:proofErr w:type="spellStart"/>
      <w:r w:rsidRPr="00882562">
        <w:rPr>
          <w:rFonts w:ascii="Arial" w:eastAsia="SimSun" w:hAnsi="Arial" w:cs="Arial"/>
          <w:szCs w:val="20"/>
          <w:lang w:eastAsia="en-US"/>
        </w:rPr>
        <w:t>Kirkman</w:t>
      </w:r>
      <w:proofErr w:type="spellEnd"/>
      <w:r w:rsidRPr="00882562">
        <w:rPr>
          <w:rFonts w:ascii="Arial" w:eastAsia="SimSun" w:hAnsi="Arial" w:cs="Arial"/>
          <w:szCs w:val="20"/>
          <w:lang w:eastAsia="en-US"/>
        </w:rPr>
        <w:t xml:space="preserve">, R. et al, 2010. </w:t>
      </w:r>
      <w:r w:rsidRPr="00882562">
        <w:rPr>
          <w:rFonts w:ascii="Arial" w:eastAsia="SimSun" w:hAnsi="Arial" w:cs="Arial"/>
          <w:i/>
          <w:szCs w:val="20"/>
          <w:lang w:eastAsia="en-US"/>
        </w:rPr>
        <w:t>The Walking Dead</w:t>
      </w:r>
      <w:r w:rsidRPr="00882562">
        <w:rPr>
          <w:rFonts w:ascii="Arial" w:eastAsia="SimSun" w:hAnsi="Arial" w:cs="Arial"/>
          <w:szCs w:val="20"/>
          <w:lang w:eastAsia="en-US"/>
        </w:rPr>
        <w:t xml:space="preserve">. Berkeley: Image Comics  </w:t>
      </w:r>
    </w:p>
    <w:p w:rsidR="00882562" w:rsidRPr="00882562" w:rsidRDefault="00882562" w:rsidP="00882562">
      <w:pPr>
        <w:spacing w:after="120" w:line="240" w:lineRule="auto"/>
        <w:ind w:left="426"/>
        <w:jc w:val="both"/>
        <w:rPr>
          <w:rFonts w:ascii="Arial" w:eastAsia="SimSun" w:hAnsi="Arial" w:cs="Arial"/>
          <w:szCs w:val="20"/>
          <w:lang w:eastAsia="en-US"/>
        </w:rPr>
      </w:pPr>
      <w:r w:rsidRPr="00882562">
        <w:rPr>
          <w:rFonts w:ascii="Arial" w:eastAsia="SimSun" w:hAnsi="Arial" w:cs="Arial"/>
          <w:szCs w:val="20"/>
          <w:lang w:eastAsia="en-US"/>
        </w:rPr>
        <w:t xml:space="preserve">Miller, F. &amp; Johnson, </w:t>
      </w:r>
      <w:proofErr w:type="gramStart"/>
      <w:r w:rsidRPr="00882562">
        <w:rPr>
          <w:rFonts w:ascii="Arial" w:eastAsia="SimSun" w:hAnsi="Arial" w:cs="Arial"/>
          <w:szCs w:val="20"/>
          <w:lang w:eastAsia="en-US"/>
        </w:rPr>
        <w:t>K</w:t>
      </w:r>
      <w:proofErr w:type="gramEnd"/>
      <w:r w:rsidRPr="00882562">
        <w:rPr>
          <w:rFonts w:ascii="Arial" w:eastAsia="SimSun" w:hAnsi="Arial" w:cs="Arial"/>
          <w:szCs w:val="20"/>
          <w:lang w:eastAsia="en-US"/>
        </w:rPr>
        <w:t xml:space="preserve">. 2006 </w:t>
      </w:r>
      <w:r w:rsidRPr="00882562">
        <w:rPr>
          <w:rFonts w:ascii="Arial" w:eastAsia="SimSun" w:hAnsi="Arial" w:cs="Arial"/>
          <w:i/>
          <w:szCs w:val="20"/>
          <w:lang w:eastAsia="en-US"/>
        </w:rPr>
        <w:t>The Dark Knight Returns</w:t>
      </w:r>
      <w:r w:rsidRPr="00882562">
        <w:rPr>
          <w:rFonts w:ascii="Arial" w:eastAsia="SimSun" w:hAnsi="Arial" w:cs="Arial"/>
          <w:szCs w:val="20"/>
          <w:lang w:eastAsia="en-US"/>
        </w:rPr>
        <w:t>. New York: DC Comics</w:t>
      </w:r>
    </w:p>
    <w:p w:rsidR="00882562" w:rsidRPr="00882562" w:rsidRDefault="00882562" w:rsidP="00882562">
      <w:pPr>
        <w:spacing w:after="120" w:line="240" w:lineRule="auto"/>
        <w:ind w:left="426"/>
        <w:jc w:val="both"/>
        <w:rPr>
          <w:rFonts w:ascii="Arial" w:eastAsia="SimSun" w:hAnsi="Arial" w:cs="Arial"/>
          <w:szCs w:val="20"/>
          <w:lang w:eastAsia="en-US"/>
        </w:rPr>
      </w:pPr>
      <w:r w:rsidRPr="00882562">
        <w:rPr>
          <w:rFonts w:ascii="Arial" w:eastAsia="SimSun" w:hAnsi="Arial" w:cs="Arial"/>
          <w:szCs w:val="20"/>
          <w:lang w:eastAsia="en-US"/>
        </w:rPr>
        <w:t xml:space="preserve">Moore, A. &amp; Gibbons, D., 1996. </w:t>
      </w:r>
      <w:r w:rsidRPr="00882562">
        <w:rPr>
          <w:rFonts w:ascii="Arial" w:eastAsia="SimSun" w:hAnsi="Arial" w:cs="Arial"/>
          <w:i/>
          <w:szCs w:val="20"/>
          <w:lang w:eastAsia="en-US"/>
        </w:rPr>
        <w:t xml:space="preserve">The Watchmen. </w:t>
      </w:r>
      <w:r w:rsidRPr="00882562">
        <w:rPr>
          <w:rFonts w:ascii="Arial" w:eastAsia="SimSun" w:hAnsi="Arial" w:cs="Arial"/>
          <w:szCs w:val="20"/>
          <w:lang w:eastAsia="en-US"/>
        </w:rPr>
        <w:t xml:space="preserve">New York: DC Comics </w:t>
      </w:r>
    </w:p>
    <w:p w:rsidR="00882562" w:rsidRPr="00882562" w:rsidRDefault="00882562" w:rsidP="00882562">
      <w:pPr>
        <w:spacing w:after="120" w:line="240" w:lineRule="auto"/>
        <w:ind w:left="426"/>
        <w:jc w:val="both"/>
        <w:rPr>
          <w:rFonts w:ascii="Arial" w:eastAsia="SimSun" w:hAnsi="Arial" w:cs="Arial"/>
          <w:szCs w:val="20"/>
          <w:lang w:eastAsia="en-US"/>
        </w:rPr>
      </w:pPr>
      <w:proofErr w:type="spellStart"/>
      <w:r w:rsidRPr="00882562">
        <w:rPr>
          <w:rFonts w:ascii="Arial" w:eastAsia="SimSun" w:hAnsi="Arial" w:cs="Arial"/>
          <w:szCs w:val="20"/>
          <w:lang w:eastAsia="en-US"/>
        </w:rPr>
        <w:t>Satrapi</w:t>
      </w:r>
      <w:proofErr w:type="spellEnd"/>
      <w:r w:rsidRPr="00882562">
        <w:rPr>
          <w:rFonts w:ascii="Arial" w:eastAsia="SimSun" w:hAnsi="Arial" w:cs="Arial"/>
          <w:szCs w:val="20"/>
          <w:lang w:eastAsia="en-US"/>
        </w:rPr>
        <w:t xml:space="preserve">, M. 2008 </w:t>
      </w:r>
      <w:r w:rsidRPr="00882562">
        <w:rPr>
          <w:rFonts w:ascii="Arial" w:eastAsia="SimSun" w:hAnsi="Arial" w:cs="Arial"/>
          <w:i/>
          <w:szCs w:val="20"/>
          <w:lang w:eastAsia="en-US"/>
        </w:rPr>
        <w:t>Persepolis</w:t>
      </w:r>
      <w:r w:rsidRPr="00882562">
        <w:rPr>
          <w:rFonts w:ascii="Arial" w:eastAsia="SimSun" w:hAnsi="Arial" w:cs="Arial"/>
          <w:szCs w:val="20"/>
          <w:lang w:eastAsia="en-US"/>
        </w:rPr>
        <w:t>. London: Vintage</w:t>
      </w:r>
    </w:p>
    <w:p w:rsidR="00882562" w:rsidRPr="00882562" w:rsidRDefault="00882562" w:rsidP="00882562">
      <w:pPr>
        <w:spacing w:after="120" w:line="240" w:lineRule="auto"/>
        <w:ind w:left="720"/>
        <w:jc w:val="both"/>
        <w:rPr>
          <w:rFonts w:ascii="Arial" w:eastAsia="SimSun" w:hAnsi="Arial" w:cs="Arial"/>
          <w:sz w:val="4"/>
          <w:szCs w:val="20"/>
          <w:lang w:eastAsia="en-US"/>
        </w:rPr>
      </w:pPr>
    </w:p>
    <w:p w:rsidR="00882562" w:rsidRPr="00882562" w:rsidRDefault="00882562" w:rsidP="00882562">
      <w:pPr>
        <w:spacing w:after="120" w:line="240" w:lineRule="auto"/>
        <w:ind w:left="426"/>
        <w:jc w:val="both"/>
        <w:rPr>
          <w:rFonts w:ascii="Arial" w:eastAsia="SimSun" w:hAnsi="Arial" w:cs="Arial"/>
          <w:szCs w:val="20"/>
          <w:lang w:eastAsia="en-US"/>
        </w:rPr>
      </w:pPr>
      <w:r w:rsidRPr="00882562">
        <w:rPr>
          <w:rFonts w:ascii="Arial" w:eastAsia="SimSun" w:hAnsi="Arial" w:cs="Arial"/>
          <w:szCs w:val="20"/>
          <w:lang w:eastAsia="en-US"/>
        </w:rPr>
        <w:t xml:space="preserve">Where the reading will focus on selected extracts from these sources (as opposed to the complete text), they will be made available for students in a course reader or via Moodle. </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882562" w:rsidRDefault="00C57028" w:rsidP="00696FF5">
      <w:pPr>
        <w:spacing w:after="120" w:line="240" w:lineRule="auto"/>
        <w:ind w:left="567" w:right="260"/>
        <w:jc w:val="both"/>
        <w:rPr>
          <w:rFonts w:ascii="Arial" w:hAnsi="Arial" w:cs="Arial"/>
          <w:i/>
          <w:iCs/>
        </w:rPr>
      </w:pPr>
      <w:r w:rsidRPr="00882562">
        <w:rPr>
          <w:rFonts w:ascii="Arial" w:hAnsi="Arial" w:cs="Arial"/>
          <w:i/>
          <w:iCs/>
        </w:rPr>
        <w:t>Total contact hours:</w:t>
      </w:r>
      <w:r w:rsidR="00882562" w:rsidRPr="00882562">
        <w:rPr>
          <w:rFonts w:ascii="Arial" w:hAnsi="Arial" w:cs="Arial"/>
          <w:i/>
          <w:iCs/>
        </w:rPr>
        <w:tab/>
        <w:t>30</w:t>
      </w:r>
    </w:p>
    <w:p w:rsidR="00C57028" w:rsidRPr="00882562" w:rsidRDefault="00C57028" w:rsidP="00C57028">
      <w:pPr>
        <w:spacing w:after="120" w:line="240" w:lineRule="auto"/>
        <w:ind w:left="567" w:right="260"/>
        <w:jc w:val="both"/>
        <w:rPr>
          <w:rFonts w:ascii="Arial" w:hAnsi="Arial" w:cs="Arial"/>
          <w:i/>
          <w:iCs/>
        </w:rPr>
      </w:pPr>
      <w:r w:rsidRPr="00882562">
        <w:rPr>
          <w:rFonts w:ascii="Arial" w:hAnsi="Arial" w:cs="Arial"/>
          <w:i/>
          <w:iCs/>
        </w:rPr>
        <w:t>Private study hours:</w:t>
      </w:r>
      <w:r w:rsidR="00882562" w:rsidRPr="00882562">
        <w:rPr>
          <w:rFonts w:ascii="Arial" w:hAnsi="Arial" w:cs="Arial"/>
          <w:i/>
          <w:iCs/>
        </w:rPr>
        <w:tab/>
        <w:t>270</w:t>
      </w:r>
    </w:p>
    <w:p w:rsidR="00C57028" w:rsidRPr="00302082" w:rsidRDefault="00C57028" w:rsidP="00C57028">
      <w:pPr>
        <w:spacing w:after="120" w:line="240" w:lineRule="auto"/>
        <w:ind w:left="567" w:right="260"/>
        <w:jc w:val="both"/>
        <w:rPr>
          <w:rFonts w:ascii="Arial" w:hAnsi="Arial" w:cs="Arial"/>
          <w:i/>
          <w:iCs/>
        </w:rPr>
      </w:pPr>
      <w:r w:rsidRPr="00882562">
        <w:rPr>
          <w:rFonts w:ascii="Arial" w:hAnsi="Arial" w:cs="Arial"/>
          <w:i/>
          <w:iCs/>
        </w:rPr>
        <w:t>Total study hours:</w:t>
      </w:r>
      <w:r w:rsidR="00882562" w:rsidRPr="00882562">
        <w:rPr>
          <w:rFonts w:ascii="Arial" w:hAnsi="Arial" w:cs="Arial"/>
          <w:i/>
          <w:iCs/>
        </w:rPr>
        <w:tab/>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82562" w:rsidRPr="00E66ADA" w:rsidRDefault="00882562" w:rsidP="00882562">
      <w:pPr>
        <w:spacing w:after="120" w:line="240" w:lineRule="auto"/>
        <w:ind w:left="567" w:right="260"/>
        <w:rPr>
          <w:rFonts w:ascii="Arial" w:hAnsi="Arial" w:cs="Arial"/>
        </w:rPr>
      </w:pPr>
      <w:r w:rsidRPr="00E66ADA">
        <w:rPr>
          <w:rFonts w:ascii="Arial" w:hAnsi="Arial" w:cs="Arial"/>
        </w:rPr>
        <w:t>Two essays</w:t>
      </w:r>
      <w:r w:rsidRPr="00E66ADA">
        <w:rPr>
          <w:rFonts w:ascii="Arial" w:hAnsi="Arial" w:cs="Arial"/>
        </w:rPr>
        <w:tab/>
      </w:r>
      <w:r w:rsidRPr="00E66ADA">
        <w:rPr>
          <w:rFonts w:ascii="Arial" w:hAnsi="Arial" w:cs="Arial"/>
        </w:rPr>
        <w:tab/>
      </w:r>
      <w:r w:rsidRPr="00E66ADA">
        <w:rPr>
          <w:rFonts w:ascii="Arial" w:hAnsi="Arial" w:cs="Arial"/>
        </w:rPr>
        <w:tab/>
        <w:t>6,000 words</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 xml:space="preserve">90% </w:t>
      </w:r>
    </w:p>
    <w:p w:rsidR="00882562" w:rsidRPr="00E66ADA" w:rsidRDefault="00882562" w:rsidP="00882562">
      <w:pPr>
        <w:spacing w:after="120" w:line="240" w:lineRule="auto"/>
        <w:ind w:left="567" w:right="260"/>
        <w:rPr>
          <w:rFonts w:ascii="Arial" w:hAnsi="Arial" w:cs="Arial"/>
        </w:rPr>
      </w:pPr>
      <w:r w:rsidRPr="00E66ADA">
        <w:rPr>
          <w:rFonts w:ascii="Arial" w:hAnsi="Arial" w:cs="Arial"/>
        </w:rPr>
        <w:t>Seminar Performance</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Default="00882562" w:rsidP="00C57028">
      <w:pPr>
        <w:spacing w:after="120" w:line="240" w:lineRule="auto"/>
        <w:ind w:left="567" w:right="260"/>
        <w:jc w:val="both"/>
        <w:rPr>
          <w:rFonts w:ascii="Arial" w:hAnsi="Arial" w:cs="Arial"/>
          <w:i/>
          <w:iCs/>
        </w:rPr>
      </w:pPr>
      <w:r>
        <w:rPr>
          <w:rFonts w:ascii="Arial" w:hAnsi="Arial" w:cs="Arial"/>
          <w:i/>
          <w:iCs/>
        </w:rPr>
        <w:t>Like for Like</w:t>
      </w:r>
    </w:p>
    <w:p w:rsidR="001033AA" w:rsidRDefault="001033AA">
      <w:pPr>
        <w:rPr>
          <w:rFonts w:ascii="Arial" w:hAnsi="Arial" w:cs="Arial"/>
          <w:i/>
          <w:iCs/>
        </w:rPr>
      </w:pPr>
      <w:r>
        <w:rPr>
          <w:rFonts w:ascii="Arial" w:hAnsi="Arial" w:cs="Arial"/>
          <w:i/>
          <w:iCs/>
        </w:rPr>
        <w:br w:type="page"/>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838" w:type="dxa"/>
        <w:tblInd w:w="108" w:type="dxa"/>
        <w:tblLayout w:type="fixed"/>
        <w:tblLook w:val="04A0" w:firstRow="1" w:lastRow="0" w:firstColumn="1" w:lastColumn="0" w:noHBand="0" w:noVBand="1"/>
      </w:tblPr>
      <w:tblGrid>
        <w:gridCol w:w="3168"/>
        <w:gridCol w:w="567"/>
        <w:gridCol w:w="567"/>
        <w:gridCol w:w="567"/>
        <w:gridCol w:w="567"/>
        <w:gridCol w:w="567"/>
        <w:gridCol w:w="567"/>
        <w:gridCol w:w="567"/>
        <w:gridCol w:w="567"/>
        <w:gridCol w:w="567"/>
        <w:gridCol w:w="567"/>
      </w:tblGrid>
      <w:tr w:rsidR="001033AA" w:rsidRPr="00302082" w:rsidTr="006A585E">
        <w:tc>
          <w:tcPr>
            <w:tcW w:w="3168" w:type="dxa"/>
            <w:shd w:val="clear" w:color="auto" w:fill="D9D9D9" w:themeFill="background1" w:themeFillShade="D9"/>
          </w:tcPr>
          <w:p w:rsidR="001033AA" w:rsidRPr="00302082" w:rsidRDefault="001033AA" w:rsidP="00B75BBD">
            <w:pPr>
              <w:spacing w:after="120"/>
              <w:ind w:left="33"/>
              <w:rPr>
                <w:rFonts w:ascii="Arial" w:hAnsi="Arial" w:cs="Arial"/>
                <w:b/>
              </w:rPr>
            </w:pPr>
            <w:r w:rsidRPr="00302082">
              <w:rPr>
                <w:rFonts w:ascii="Arial" w:hAnsi="Arial" w:cs="Arial"/>
                <w:b/>
              </w:rPr>
              <w:t>Module learning outcome</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8.1</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8.2</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8.3</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8.4</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8.5</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8.6</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9.1</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9.2</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9.3</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9.4</w:t>
            </w:r>
          </w:p>
        </w:tc>
      </w:tr>
      <w:tr w:rsidR="001033AA" w:rsidRPr="00302082" w:rsidTr="006A585E">
        <w:tc>
          <w:tcPr>
            <w:tcW w:w="3168" w:type="dxa"/>
            <w:shd w:val="clear" w:color="auto" w:fill="D9D9D9" w:themeFill="background1" w:themeFillShade="D9"/>
          </w:tcPr>
          <w:p w:rsidR="001033AA" w:rsidRPr="00302082" w:rsidRDefault="001033AA" w:rsidP="00B75BBD">
            <w:pPr>
              <w:spacing w:after="120"/>
              <w:rPr>
                <w:rFonts w:ascii="Arial" w:hAnsi="Arial" w:cs="Arial"/>
                <w:b/>
              </w:rPr>
            </w:pPr>
            <w:r w:rsidRPr="00302082">
              <w:rPr>
                <w:rFonts w:ascii="Arial" w:hAnsi="Arial" w:cs="Arial"/>
                <w:b/>
              </w:rPr>
              <w:t>Learning/ teaching method</w:t>
            </w: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r>
      <w:tr w:rsidR="001033AA" w:rsidRPr="00302082" w:rsidTr="006A585E">
        <w:tc>
          <w:tcPr>
            <w:tcW w:w="3168" w:type="dxa"/>
          </w:tcPr>
          <w:p w:rsidR="001033AA" w:rsidRPr="00882562" w:rsidRDefault="001033AA" w:rsidP="00B75BBD">
            <w:pPr>
              <w:spacing w:after="120"/>
              <w:rPr>
                <w:rFonts w:ascii="Arial" w:hAnsi="Arial" w:cs="Arial"/>
                <w:i/>
              </w:rPr>
            </w:pPr>
            <w:r w:rsidRPr="00882562">
              <w:rPr>
                <w:rFonts w:ascii="Arial" w:hAnsi="Arial" w:cs="Arial"/>
                <w:i/>
              </w:rPr>
              <w:t>Private study</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r>
      <w:tr w:rsidR="001033AA" w:rsidRPr="00302082" w:rsidTr="006A585E">
        <w:tc>
          <w:tcPr>
            <w:tcW w:w="3168" w:type="dxa"/>
          </w:tcPr>
          <w:p w:rsidR="001033AA" w:rsidRPr="00882562" w:rsidRDefault="001033AA" w:rsidP="00B75BBD">
            <w:pPr>
              <w:spacing w:after="120"/>
              <w:rPr>
                <w:rFonts w:ascii="Arial" w:hAnsi="Arial" w:cs="Arial"/>
                <w:i/>
              </w:rPr>
            </w:pPr>
            <w:r w:rsidRPr="00882562">
              <w:rPr>
                <w:rFonts w:ascii="Arial" w:hAnsi="Arial" w:cs="Arial"/>
                <w:i/>
              </w:rPr>
              <w:t>Lecture</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r>
      <w:tr w:rsidR="001033AA" w:rsidRPr="00302082" w:rsidTr="006A585E">
        <w:tc>
          <w:tcPr>
            <w:tcW w:w="3168" w:type="dxa"/>
          </w:tcPr>
          <w:p w:rsidR="001033AA" w:rsidRPr="00882562" w:rsidRDefault="001033AA" w:rsidP="00B75BBD">
            <w:pPr>
              <w:spacing w:after="120"/>
              <w:rPr>
                <w:rFonts w:ascii="Arial" w:hAnsi="Arial" w:cs="Arial"/>
                <w:i/>
              </w:rPr>
            </w:pPr>
            <w:r w:rsidRPr="00882562">
              <w:rPr>
                <w:rFonts w:ascii="Arial" w:hAnsi="Arial" w:cs="Arial"/>
                <w:i/>
              </w:rPr>
              <w:t>Seminar</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r>
      <w:tr w:rsidR="001033AA" w:rsidRPr="00302082" w:rsidTr="006A585E">
        <w:tc>
          <w:tcPr>
            <w:tcW w:w="3168" w:type="dxa"/>
            <w:shd w:val="clear" w:color="auto" w:fill="D9D9D9" w:themeFill="background1" w:themeFillShade="D9"/>
          </w:tcPr>
          <w:p w:rsidR="001033AA" w:rsidRPr="00302082" w:rsidRDefault="001033AA" w:rsidP="00B75BBD">
            <w:pPr>
              <w:spacing w:after="120"/>
              <w:rPr>
                <w:rFonts w:ascii="Arial" w:hAnsi="Arial" w:cs="Arial"/>
                <w:b/>
              </w:rPr>
            </w:pPr>
            <w:r w:rsidRPr="00302082">
              <w:rPr>
                <w:rFonts w:ascii="Arial" w:hAnsi="Arial" w:cs="Arial"/>
                <w:b/>
              </w:rPr>
              <w:t>Assessment method</w:t>
            </w: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r>
      <w:tr w:rsidR="001033AA" w:rsidRPr="00302082" w:rsidTr="006A585E">
        <w:tc>
          <w:tcPr>
            <w:tcW w:w="3168" w:type="dxa"/>
          </w:tcPr>
          <w:p w:rsidR="001033AA" w:rsidRPr="00302082" w:rsidRDefault="001033AA" w:rsidP="00B75BBD">
            <w:pPr>
              <w:spacing w:after="120"/>
              <w:rPr>
                <w:rFonts w:ascii="Arial" w:hAnsi="Arial" w:cs="Arial"/>
                <w:i/>
              </w:rPr>
            </w:pPr>
            <w:r>
              <w:rPr>
                <w:rFonts w:ascii="Arial" w:hAnsi="Arial" w:cs="Arial"/>
                <w:i/>
              </w:rPr>
              <w:t>Seminar participation</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r>
      <w:tr w:rsidR="001033AA" w:rsidRPr="00302082" w:rsidTr="006A585E">
        <w:tc>
          <w:tcPr>
            <w:tcW w:w="3168" w:type="dxa"/>
          </w:tcPr>
          <w:p w:rsidR="001033AA" w:rsidRPr="00302082" w:rsidRDefault="001033AA" w:rsidP="00B75BBD">
            <w:pPr>
              <w:spacing w:after="120"/>
              <w:rPr>
                <w:rFonts w:ascii="Arial" w:hAnsi="Arial" w:cs="Arial"/>
                <w:i/>
              </w:rPr>
            </w:pPr>
            <w:r>
              <w:rPr>
                <w:rFonts w:ascii="Arial" w:hAnsi="Arial" w:cs="Arial"/>
                <w:i/>
              </w:rPr>
              <w:t>Two essays of 3,000 words each</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Pr="00302082" w:rsidRDefault="001033AA" w:rsidP="00B75BBD">
            <w:pPr>
              <w:spacing w:after="120"/>
              <w:rPr>
                <w:rFonts w:ascii="Arial" w:hAnsi="Arial" w:cs="Arial"/>
                <w:b/>
              </w:rPr>
            </w:pP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r>
    </w:tbl>
    <w:p w:rsidR="00C57028" w:rsidRPr="00C57028" w:rsidRDefault="00C57028" w:rsidP="00C57028">
      <w:pPr>
        <w:spacing w:after="120" w:line="240" w:lineRule="auto"/>
        <w:ind w:left="567" w:right="261"/>
        <w:jc w:val="both"/>
        <w:rPr>
          <w:rFonts w:ascii="Arial" w:hAnsi="Arial" w:cs="Arial"/>
          <w:i/>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2562" w:rsidRPr="00D50113" w:rsidRDefault="00882562" w:rsidP="00882562">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2562" w:rsidRPr="00D50113" w:rsidRDefault="00882562" w:rsidP="00882562">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2562" w:rsidRPr="00D50113" w:rsidRDefault="00882562" w:rsidP="00882562">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2562" w:rsidRPr="00EA6558" w:rsidRDefault="00882562" w:rsidP="00882562">
      <w:pPr>
        <w:spacing w:after="120" w:line="240" w:lineRule="auto"/>
        <w:ind w:left="426" w:right="260"/>
        <w:rPr>
          <w:rFonts w:ascii="Arial" w:hAnsi="Arial" w:cs="Arial"/>
          <w:i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r>
        <w:rPr>
          <w:rFonts w:ascii="Arial" w:hAnsi="Arial" w:cs="Arial"/>
          <w:b/>
        </w:rPr>
        <w:t xml:space="preserve"> </w:t>
      </w:r>
    </w:p>
    <w:p w:rsidR="00882562" w:rsidRPr="00A26B1B" w:rsidRDefault="00882562" w:rsidP="00882562">
      <w:pPr>
        <w:spacing w:after="120" w:line="240" w:lineRule="auto"/>
        <w:ind w:left="426" w:right="260"/>
        <w:jc w:val="both"/>
        <w:rPr>
          <w:rFonts w:ascii="Arial" w:hAnsi="Arial" w:cs="Arial"/>
          <w:b/>
        </w:rPr>
      </w:pPr>
      <w:r w:rsidRPr="00AF7896">
        <w:rPr>
          <w:rFonts w:ascii="Arial" w:hAnsi="Arial" w:cs="Arial"/>
        </w:rPr>
        <w:t>Canterbury</w:t>
      </w:r>
    </w:p>
    <w:p w:rsidR="00882562" w:rsidRDefault="00882562" w:rsidP="006A585E">
      <w:pPr>
        <w:numPr>
          <w:ilvl w:val="0"/>
          <w:numId w:val="1"/>
        </w:numPr>
        <w:spacing w:after="0"/>
        <w:ind w:left="425" w:right="261" w:hanging="425"/>
        <w:jc w:val="both"/>
        <w:rPr>
          <w:rFonts w:ascii="Arial" w:hAnsi="Arial" w:cs="Arial"/>
          <w:b/>
        </w:rPr>
      </w:pPr>
      <w:r w:rsidRPr="002A7F48">
        <w:rPr>
          <w:rFonts w:ascii="Arial" w:hAnsi="Arial" w:cs="Arial"/>
          <w:b/>
        </w:rPr>
        <w:t>Internationalisation</w:t>
      </w:r>
    </w:p>
    <w:p w:rsidR="00882562" w:rsidRDefault="00882562" w:rsidP="006A585E">
      <w:pPr>
        <w:pStyle w:val="NormalWeb"/>
        <w:spacing w:before="0" w:beforeAutospacing="0" w:after="0" w:afterAutospacing="0"/>
        <w:ind w:left="425"/>
        <w:rPr>
          <w:rFonts w:ascii="Arial" w:hAnsi="Arial" w:cs="Arial"/>
          <w:color w:val="000000"/>
          <w:sz w:val="22"/>
          <w:szCs w:val="22"/>
        </w:rPr>
      </w:pPr>
      <w:r w:rsidRPr="00A26B1B">
        <w:rPr>
          <w:rFonts w:ascii="Arial" w:hAnsi="Arial" w:cs="Arial"/>
          <w:color w:val="000000"/>
          <w:sz w:val="22"/>
          <w:szCs w:val="22"/>
        </w:rPr>
        <w:t xml:space="preserve">This module examines graphic novels from a variety of international and transnational perspectives, including considerations such as: British writers who work on American comic book franchises; the differences in the cultural reception of comics in </w:t>
      </w:r>
      <w:proofErr w:type="spellStart"/>
      <w:r w:rsidRPr="00A26B1B">
        <w:rPr>
          <w:rFonts w:ascii="Arial" w:hAnsi="Arial" w:cs="Arial"/>
          <w:color w:val="000000"/>
          <w:sz w:val="22"/>
          <w:szCs w:val="22"/>
        </w:rPr>
        <w:t>anglo-American</w:t>
      </w:r>
      <w:proofErr w:type="spellEnd"/>
      <w:r w:rsidRPr="00A26B1B">
        <w:rPr>
          <w:rFonts w:ascii="Arial" w:hAnsi="Arial" w:cs="Arial"/>
          <w:color w:val="000000"/>
          <w:sz w:val="22"/>
          <w:szCs w:val="22"/>
        </w:rPr>
        <w:t xml:space="preserve"> and European contexts; and graphic novels from a non-Western perspective. Students have the opportunity to examine these different cultural contexts further in their assessments (two coursework essays) as well.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BA453C" w:rsidTr="006A585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304"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9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82562" w:rsidRPr="00302082" w:rsidTr="006A585E">
        <w:trPr>
          <w:trHeight w:val="305"/>
        </w:trPr>
        <w:tc>
          <w:tcPr>
            <w:tcW w:w="1526" w:type="dxa"/>
          </w:tcPr>
          <w:p w:rsidR="00882562" w:rsidRPr="00A26B1B" w:rsidRDefault="00882562" w:rsidP="00882562">
            <w:pPr>
              <w:spacing w:after="120"/>
              <w:ind w:right="-330"/>
              <w:rPr>
                <w:rFonts w:ascii="Arial" w:hAnsi="Arial" w:cs="Arial"/>
                <w:sz w:val="18"/>
              </w:rPr>
            </w:pPr>
            <w:r>
              <w:rPr>
                <w:rFonts w:ascii="Arial" w:hAnsi="Arial" w:cs="Arial"/>
                <w:sz w:val="18"/>
              </w:rPr>
              <w:t>07/02/17</w:t>
            </w:r>
          </w:p>
        </w:tc>
        <w:tc>
          <w:tcPr>
            <w:tcW w:w="1304" w:type="dxa"/>
          </w:tcPr>
          <w:p w:rsidR="00882562" w:rsidRPr="00A26B1B" w:rsidRDefault="00882562" w:rsidP="00882562">
            <w:pPr>
              <w:spacing w:after="120"/>
              <w:ind w:right="-330"/>
              <w:rPr>
                <w:rFonts w:ascii="Arial" w:hAnsi="Arial" w:cs="Arial"/>
                <w:sz w:val="18"/>
              </w:rPr>
            </w:pPr>
            <w:r>
              <w:rPr>
                <w:rFonts w:ascii="Arial" w:hAnsi="Arial" w:cs="Arial"/>
                <w:sz w:val="18"/>
              </w:rPr>
              <w:t>Minor</w:t>
            </w:r>
          </w:p>
        </w:tc>
        <w:tc>
          <w:tcPr>
            <w:tcW w:w="2268" w:type="dxa"/>
          </w:tcPr>
          <w:p w:rsidR="00882562" w:rsidRPr="00A26B1B" w:rsidRDefault="00882562" w:rsidP="00882562">
            <w:pPr>
              <w:spacing w:after="120"/>
              <w:ind w:right="-330"/>
              <w:rPr>
                <w:rFonts w:ascii="Arial" w:hAnsi="Arial" w:cs="Arial"/>
                <w:sz w:val="18"/>
              </w:rPr>
            </w:pPr>
            <w:r>
              <w:rPr>
                <w:rFonts w:ascii="Arial" w:hAnsi="Arial" w:cs="Arial"/>
                <w:sz w:val="18"/>
              </w:rPr>
              <w:t>September 2017</w:t>
            </w:r>
          </w:p>
        </w:tc>
        <w:tc>
          <w:tcPr>
            <w:tcW w:w="2987" w:type="dxa"/>
          </w:tcPr>
          <w:p w:rsidR="00882562" w:rsidRPr="00A26B1B" w:rsidRDefault="00882562" w:rsidP="00882562">
            <w:pPr>
              <w:spacing w:after="120"/>
              <w:ind w:right="-330"/>
              <w:rPr>
                <w:rFonts w:ascii="Arial" w:hAnsi="Arial" w:cs="Arial"/>
                <w:sz w:val="18"/>
              </w:rPr>
            </w:pPr>
            <w:r>
              <w:rPr>
                <w:rFonts w:ascii="Arial" w:hAnsi="Arial" w:cs="Arial"/>
                <w:sz w:val="18"/>
              </w:rPr>
              <w:t>6, 11 + new template</w:t>
            </w:r>
          </w:p>
        </w:tc>
        <w:tc>
          <w:tcPr>
            <w:tcW w:w="2597" w:type="dxa"/>
          </w:tcPr>
          <w:p w:rsidR="00882562" w:rsidRPr="00A26B1B" w:rsidRDefault="00882562" w:rsidP="00882562">
            <w:pPr>
              <w:spacing w:after="120"/>
              <w:ind w:right="-330"/>
              <w:rPr>
                <w:rFonts w:ascii="Arial" w:hAnsi="Arial" w:cs="Arial"/>
                <w:sz w:val="18"/>
              </w:rPr>
            </w:pPr>
            <w:r>
              <w:rPr>
                <w:rFonts w:ascii="Arial" w:hAnsi="Arial" w:cs="Arial"/>
                <w:sz w:val="18"/>
              </w:rPr>
              <w:t>No</w:t>
            </w:r>
          </w:p>
        </w:tc>
      </w:tr>
      <w:tr w:rsidR="006A585E" w:rsidRPr="00302082" w:rsidTr="006A585E">
        <w:trPr>
          <w:trHeight w:val="305"/>
        </w:trPr>
        <w:tc>
          <w:tcPr>
            <w:tcW w:w="1526"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05/03/18</w:t>
            </w:r>
            <w:bookmarkStart w:id="0" w:name="_GoBack"/>
            <w:bookmarkEnd w:id="0"/>
          </w:p>
        </w:tc>
        <w:tc>
          <w:tcPr>
            <w:tcW w:w="1304"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Major</w:t>
            </w:r>
          </w:p>
        </w:tc>
        <w:tc>
          <w:tcPr>
            <w:tcW w:w="2268"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September 2018</w:t>
            </w:r>
          </w:p>
        </w:tc>
        <w:tc>
          <w:tcPr>
            <w:tcW w:w="2987"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13 (optional dissertation removed)</w:t>
            </w:r>
          </w:p>
        </w:tc>
        <w:tc>
          <w:tcPr>
            <w:tcW w:w="2597"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3E" w:rsidRDefault="009F0D3E" w:rsidP="009A2D37">
      <w:pPr>
        <w:spacing w:after="0" w:line="240" w:lineRule="auto"/>
      </w:pPr>
      <w:r>
        <w:separator/>
      </w:r>
    </w:p>
  </w:endnote>
  <w:endnote w:type="continuationSeparator" w:id="0">
    <w:p w:rsidR="009F0D3E" w:rsidRDefault="009F0D3E" w:rsidP="009A2D37">
      <w:pPr>
        <w:spacing w:after="0" w:line="240" w:lineRule="auto"/>
      </w:pPr>
      <w:r>
        <w:continuationSeparator/>
      </w:r>
    </w:p>
  </w:endnote>
  <w:endnote w:type="continuationNotice" w:id="1">
    <w:p w:rsidR="009F0D3E" w:rsidRDefault="009F0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A585E">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3E" w:rsidRDefault="009F0D3E" w:rsidP="009A2D37">
      <w:pPr>
        <w:spacing w:after="0" w:line="240" w:lineRule="auto"/>
      </w:pPr>
      <w:r>
        <w:separator/>
      </w:r>
    </w:p>
  </w:footnote>
  <w:footnote w:type="continuationSeparator" w:id="0">
    <w:p w:rsidR="009F0D3E" w:rsidRDefault="009F0D3E" w:rsidP="009A2D37">
      <w:pPr>
        <w:spacing w:after="0" w:line="240" w:lineRule="auto"/>
      </w:pPr>
      <w:r>
        <w:continuationSeparator/>
      </w:r>
    </w:p>
  </w:footnote>
  <w:footnote w:type="continuationNotice" w:id="1">
    <w:p w:rsidR="009F0D3E" w:rsidRDefault="009F0D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03D0"/>
    <w:rsid w:val="000F6C56"/>
    <w:rsid w:val="000F7FBF"/>
    <w:rsid w:val="001033A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92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85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56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D3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3F8935-F2FD-4905-A5AF-8E9A2715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98E39-C315-445B-99D8-BAD3CB85C493}">
  <ds:schemaRefs>
    <ds:schemaRef ds:uri="http://schemas.openxmlformats.org/officeDocument/2006/bibliography"/>
  </ds:schemaRefs>
</ds:datastoreItem>
</file>

<file path=customXml/itemProps2.xml><?xml version="1.0" encoding="utf-8"?>
<ds:datastoreItem xmlns:ds="http://schemas.openxmlformats.org/officeDocument/2006/customXml" ds:itemID="{FC329592-123B-47DA-969D-DAB64B3730E0}"/>
</file>

<file path=customXml/itemProps3.xml><?xml version="1.0" encoding="utf-8"?>
<ds:datastoreItem xmlns:ds="http://schemas.openxmlformats.org/officeDocument/2006/customXml" ds:itemID="{DCAABDFE-4474-4A1F-9A3D-D159031219DE}"/>
</file>

<file path=customXml/itemProps4.xml><?xml version="1.0" encoding="utf-8"?>
<ds:datastoreItem xmlns:ds="http://schemas.openxmlformats.org/officeDocument/2006/customXml" ds:itemID="{73DB6C9E-37EF-4BF4-9539-78D44EB2171B}"/>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3</cp:revision>
  <cp:lastPrinted>2015-09-09T08:37:00Z</cp:lastPrinted>
  <dcterms:created xsi:type="dcterms:W3CDTF">2018-02-20T16:05:00Z</dcterms:created>
  <dcterms:modified xsi:type="dcterms:W3CDTF">2018-03-07T11:28:00Z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