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1E4FE"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14:paraId="661AAC94" w14:textId="77777777" w:rsidR="009A2D37" w:rsidRPr="008B7D28" w:rsidRDefault="008B26B3" w:rsidP="00696FF5">
      <w:pPr>
        <w:spacing w:after="120" w:line="240" w:lineRule="auto"/>
        <w:ind w:left="567" w:right="260"/>
        <w:jc w:val="both"/>
        <w:rPr>
          <w:rFonts w:cs="Arial"/>
          <w:iCs/>
        </w:rPr>
      </w:pPr>
      <w:r>
        <w:rPr>
          <w:rFonts w:cs="Arial"/>
        </w:rPr>
        <w:t xml:space="preserve">ENGL6330 (EN633): </w:t>
      </w:r>
      <w:r w:rsidRPr="008D6D6C">
        <w:rPr>
          <w:rFonts w:cs="Arial"/>
        </w:rPr>
        <w:t>Bodies of Evidence: Reading the Body in Eighteenth-Century Literature</w:t>
      </w:r>
    </w:p>
    <w:p w14:paraId="285B8E79"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5B75703A" w14:textId="77777777"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14:paraId="435F4AB8"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39C25308" w14:textId="77777777"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14:paraId="6EF819BE"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3F0084EF" w14:textId="77777777"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11F8A8DB"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14:paraId="0B729FD8" w14:textId="77777777" w:rsidR="009A2D37" w:rsidRPr="008B7D28" w:rsidRDefault="009A2D37" w:rsidP="00696FF5">
      <w:pPr>
        <w:spacing w:after="120" w:line="240" w:lineRule="auto"/>
        <w:ind w:left="567" w:right="260"/>
        <w:jc w:val="both"/>
        <w:rPr>
          <w:rFonts w:cs="Arial"/>
          <w:iCs/>
        </w:rPr>
      </w:pPr>
      <w:r w:rsidRPr="008B26B3">
        <w:rPr>
          <w:rFonts w:cs="Arial"/>
          <w:iCs/>
        </w:rPr>
        <w:t>Autumn or Spring</w:t>
      </w:r>
    </w:p>
    <w:p w14:paraId="476AE37B" w14:textId="77777777"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14:paraId="6AA5C07F" w14:textId="47C1F774" w:rsidR="008B7D28" w:rsidRPr="008B7D28" w:rsidRDefault="008B7D28" w:rsidP="008B7D28">
      <w:pPr>
        <w:spacing w:after="120" w:line="240" w:lineRule="auto"/>
        <w:ind w:left="567" w:right="260"/>
        <w:jc w:val="both"/>
        <w:rPr>
          <w:rFonts w:cs="Arial"/>
        </w:rPr>
      </w:pPr>
      <w:r w:rsidRPr="008B7D28">
        <w:rPr>
          <w:rFonts w:cs="Arial"/>
        </w:rPr>
        <w:t>None</w:t>
      </w:r>
    </w:p>
    <w:p w14:paraId="73D6A7AB"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14:paraId="0CEB3BAB" w14:textId="77777777" w:rsidR="00B9109B" w:rsidRPr="008B7D28" w:rsidRDefault="008B26B3" w:rsidP="00696FF5">
      <w:pPr>
        <w:spacing w:after="120" w:line="240" w:lineRule="auto"/>
        <w:ind w:left="567" w:right="260"/>
        <w:rPr>
          <w:rFonts w:cs="Arial"/>
          <w:iCs/>
        </w:rPr>
      </w:pPr>
      <w:r w:rsidRPr="008D6D6C">
        <w:rPr>
          <w:rFonts w:cs="Arial"/>
        </w:rPr>
        <w:t xml:space="preserve">BA in English and American Literature, BA in English and American Literature </w:t>
      </w:r>
      <w:r>
        <w:rPr>
          <w:rFonts w:cs="Arial"/>
        </w:rPr>
        <w:t>and</w:t>
      </w:r>
      <w:r w:rsidRPr="008D6D6C">
        <w:rPr>
          <w:rFonts w:cs="Arial"/>
        </w:rPr>
        <w:t xml:space="preserve"> Creative Writing, BA in English, American and Postcolonial Literatures</w:t>
      </w:r>
    </w:p>
    <w:p w14:paraId="375CBC01" w14:textId="77777777" w:rsidR="009A2D37"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7BA544A2" w14:textId="77777777" w:rsidR="008B26B3" w:rsidRPr="008B26B3" w:rsidRDefault="008B26B3" w:rsidP="008B26B3">
      <w:pPr>
        <w:spacing w:after="120" w:line="240" w:lineRule="auto"/>
        <w:ind w:left="630" w:right="260" w:hanging="630"/>
        <w:rPr>
          <w:rFonts w:cs="Arial"/>
        </w:rPr>
      </w:pPr>
      <w:r w:rsidRPr="008B26B3">
        <w:rPr>
          <w:rFonts w:cs="Arial"/>
        </w:rPr>
        <w:t>8.1</w:t>
      </w:r>
      <w:r w:rsidRPr="008B26B3">
        <w:rPr>
          <w:rFonts w:cs="Arial"/>
        </w:rPr>
        <w:tab/>
        <w:t>read and respond to eighteenth century literature</w:t>
      </w:r>
    </w:p>
    <w:p w14:paraId="0E46E5A1" w14:textId="77777777" w:rsidR="008B26B3" w:rsidRPr="008B26B3" w:rsidRDefault="008B26B3" w:rsidP="008B26B3">
      <w:pPr>
        <w:spacing w:after="120" w:line="240" w:lineRule="auto"/>
        <w:ind w:left="630" w:right="260" w:hanging="630"/>
        <w:rPr>
          <w:rFonts w:cs="Arial"/>
        </w:rPr>
      </w:pPr>
      <w:r w:rsidRPr="008B26B3">
        <w:rPr>
          <w:rFonts w:cs="Arial"/>
        </w:rPr>
        <w:t>8.2</w:t>
      </w:r>
      <w:r w:rsidRPr="008B26B3">
        <w:rPr>
          <w:rFonts w:cs="Arial"/>
        </w:rPr>
        <w:tab/>
        <w:t>consider the body is a cultural construct</w:t>
      </w:r>
    </w:p>
    <w:p w14:paraId="50E3FED2" w14:textId="77777777" w:rsidR="008B26B3" w:rsidRPr="008B26B3" w:rsidRDefault="008B26B3" w:rsidP="008B26B3">
      <w:pPr>
        <w:spacing w:after="120" w:line="240" w:lineRule="auto"/>
        <w:ind w:left="630" w:right="260" w:hanging="630"/>
        <w:rPr>
          <w:rFonts w:cs="Arial"/>
        </w:rPr>
      </w:pPr>
      <w:r w:rsidRPr="008B26B3">
        <w:rPr>
          <w:rFonts w:cs="Arial"/>
        </w:rPr>
        <w:t>8.3</w:t>
      </w:r>
      <w:r w:rsidRPr="008B26B3">
        <w:rPr>
          <w:rFonts w:cs="Arial"/>
        </w:rPr>
        <w:tab/>
        <w:t>read the set texts within their relevant historical, literary and cultural contexts</w:t>
      </w:r>
    </w:p>
    <w:p w14:paraId="55B39402" w14:textId="77777777" w:rsidR="008B26B3" w:rsidRPr="008B26B3" w:rsidRDefault="008B26B3" w:rsidP="008B26B3">
      <w:pPr>
        <w:spacing w:after="120" w:line="240" w:lineRule="auto"/>
        <w:ind w:left="630" w:right="260" w:hanging="630"/>
        <w:rPr>
          <w:rFonts w:cs="Arial"/>
        </w:rPr>
      </w:pPr>
      <w:r w:rsidRPr="008B26B3">
        <w:rPr>
          <w:rFonts w:cs="Arial"/>
        </w:rPr>
        <w:t>8.4</w:t>
      </w:r>
      <w:r w:rsidRPr="008B26B3">
        <w:rPr>
          <w:rFonts w:cs="Arial"/>
        </w:rPr>
        <w:tab/>
        <w:t xml:space="preserve">both apply and interrogate critical and theoretical strategies appropriate to the study of the body in the eighteenth century </w:t>
      </w:r>
    </w:p>
    <w:p w14:paraId="6541E2C5" w14:textId="77777777" w:rsidR="008B26B3" w:rsidRPr="008B26B3" w:rsidRDefault="008B26B3" w:rsidP="008B26B3">
      <w:pPr>
        <w:spacing w:after="120" w:line="240" w:lineRule="auto"/>
        <w:ind w:left="630" w:right="260" w:hanging="630"/>
        <w:rPr>
          <w:rFonts w:cs="Arial"/>
        </w:rPr>
      </w:pPr>
      <w:r w:rsidRPr="008B26B3">
        <w:rPr>
          <w:rFonts w:cs="Arial"/>
        </w:rPr>
        <w:t>8.5</w:t>
      </w:r>
      <w:r w:rsidRPr="008B26B3">
        <w:rPr>
          <w:rFonts w:cs="Arial"/>
        </w:rPr>
        <w:tab/>
        <w:t>discuss and write about visual culture and consider the relationship between print culture and the visual arts</w:t>
      </w:r>
    </w:p>
    <w:p w14:paraId="2BA59BCD" w14:textId="77777777" w:rsidR="009A2D37" w:rsidRDefault="009A2D37" w:rsidP="008B26B3">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0B56C119" w14:textId="77777777" w:rsidR="008B26B3" w:rsidRPr="00ED5181" w:rsidRDefault="008B26B3" w:rsidP="008B26B3">
      <w:pPr>
        <w:pStyle w:val="Default"/>
        <w:numPr>
          <w:ilvl w:val="0"/>
          <w:numId w:val="10"/>
        </w:numPr>
        <w:ind w:left="630" w:right="261" w:hanging="627"/>
        <w:rPr>
          <w:color w:val="auto"/>
          <w:sz w:val="22"/>
          <w:szCs w:val="22"/>
        </w:rPr>
      </w:pPr>
      <w:r w:rsidRPr="00ED5181">
        <w:rPr>
          <w:color w:val="auto"/>
          <w:sz w:val="22"/>
          <w:szCs w:val="22"/>
        </w:rPr>
        <w:t>develop their abilities to analyse texts critically and make comparisons across a range of reading</w:t>
      </w:r>
    </w:p>
    <w:p w14:paraId="1A3A8359" w14:textId="77777777" w:rsidR="008B26B3" w:rsidRPr="00ED5181" w:rsidRDefault="008B26B3" w:rsidP="008B26B3">
      <w:pPr>
        <w:pStyle w:val="Default"/>
        <w:numPr>
          <w:ilvl w:val="0"/>
          <w:numId w:val="10"/>
        </w:numPr>
        <w:ind w:left="630" w:right="261" w:hanging="627"/>
        <w:rPr>
          <w:color w:val="auto"/>
          <w:sz w:val="22"/>
          <w:szCs w:val="22"/>
        </w:rPr>
      </w:pPr>
      <w:r w:rsidRPr="00ED5181">
        <w:rPr>
          <w:color w:val="auto"/>
          <w:sz w:val="22"/>
          <w:szCs w:val="22"/>
        </w:rPr>
        <w:t>develop their command of written and spoken English and their abilities to articulate coherent critical arguments</w:t>
      </w:r>
    </w:p>
    <w:p w14:paraId="51CDA7B3" w14:textId="77777777" w:rsidR="008B26B3" w:rsidRPr="00ED5181" w:rsidRDefault="008B26B3" w:rsidP="008B26B3">
      <w:pPr>
        <w:pStyle w:val="Default"/>
        <w:numPr>
          <w:ilvl w:val="0"/>
          <w:numId w:val="10"/>
        </w:numPr>
        <w:ind w:left="630" w:right="261" w:hanging="627"/>
        <w:rPr>
          <w:color w:val="auto"/>
          <w:sz w:val="22"/>
          <w:szCs w:val="22"/>
        </w:rPr>
      </w:pPr>
      <w:r w:rsidRPr="00ED5181">
        <w:rPr>
          <w:color w:val="auto"/>
          <w:sz w:val="22"/>
          <w:szCs w:val="22"/>
        </w:rPr>
        <w:t>understand and interrogate various critical approaches and the theoretical assumptions that underpin these approaches</w:t>
      </w:r>
    </w:p>
    <w:p w14:paraId="06BFB059" w14:textId="77777777" w:rsidR="008B26B3" w:rsidRDefault="008B26B3" w:rsidP="008B26B3">
      <w:pPr>
        <w:pStyle w:val="Default"/>
        <w:numPr>
          <w:ilvl w:val="0"/>
          <w:numId w:val="10"/>
        </w:numPr>
        <w:ind w:left="630" w:right="261" w:hanging="627"/>
        <w:rPr>
          <w:color w:val="auto"/>
          <w:sz w:val="22"/>
          <w:szCs w:val="22"/>
        </w:rPr>
      </w:pPr>
      <w:r w:rsidRPr="00ED5181">
        <w:rPr>
          <w:color w:val="auto"/>
          <w:sz w:val="22"/>
          <w:szCs w:val="22"/>
        </w:rPr>
        <w:t>develop their abilities to carry out independent research</w:t>
      </w:r>
    </w:p>
    <w:p w14:paraId="02DCEA4D" w14:textId="77777777" w:rsidR="008B26B3" w:rsidRDefault="008B26B3" w:rsidP="008B26B3">
      <w:pPr>
        <w:pStyle w:val="Default"/>
        <w:ind w:left="630" w:right="261" w:hanging="627"/>
        <w:rPr>
          <w:color w:val="auto"/>
          <w:sz w:val="22"/>
          <w:szCs w:val="22"/>
        </w:rPr>
      </w:pPr>
    </w:p>
    <w:p w14:paraId="1005BC8F"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A synopsis of the curriculum</w:t>
      </w:r>
    </w:p>
    <w:p w14:paraId="471F6A47" w14:textId="77777777" w:rsidR="008B26B3" w:rsidRPr="008B26B3" w:rsidRDefault="008B26B3" w:rsidP="008B26B3">
      <w:pPr>
        <w:spacing w:after="120" w:line="240" w:lineRule="auto"/>
        <w:ind w:left="567" w:right="260"/>
        <w:jc w:val="both"/>
        <w:rPr>
          <w:rFonts w:cs="Arial"/>
          <w:iCs/>
        </w:rPr>
      </w:pPr>
      <w:r w:rsidRPr="008B26B3">
        <w:rPr>
          <w:rFonts w:cs="Arial"/>
          <w:iCs/>
        </w:rPr>
        <w:t xml:space="preserve">This module explores the eighteenth century fascination with bodies and the truths (or lies) bodies were supposed to reveal. Our focus will be on the ways in which the body is read and constructed in eighteenth-century literature and how these readings and constructions reflect various concerns about class, race, gender and sexuality. Efforts to regulate the body (particularly the female, plebeian and racialised body) became the focus of many reformers and philanthropists in the period who sought to recuperate the productive (and reproductive) labour of idle or transgressive bodies to serve the nation's moral and financial economies. Other writers, however, emphasised the body’s potential to work against social and cultural norms, focusing on events such as the masquerade, in which women dressed as men and aristocrat’s as chimney sweeps. </w:t>
      </w:r>
    </w:p>
    <w:p w14:paraId="1B3D05B4" w14:textId="77777777" w:rsidR="00C57028" w:rsidRPr="008B7D28" w:rsidRDefault="008B26B3" w:rsidP="008B26B3">
      <w:pPr>
        <w:spacing w:after="120" w:line="240" w:lineRule="auto"/>
        <w:ind w:left="567" w:right="260"/>
        <w:jc w:val="both"/>
        <w:rPr>
          <w:rFonts w:cs="Arial"/>
          <w:iCs/>
        </w:rPr>
      </w:pPr>
      <w:r w:rsidRPr="008B26B3">
        <w:rPr>
          <w:rFonts w:cs="Arial"/>
          <w:iCs/>
        </w:rPr>
        <w:t xml:space="preserve">Through the course of this module we will examine a range of literary representations of the body which seek both the control the body and to celebrate its disruptive potential. We will read texts from a variety of genres including medical literature, misogynist satire, sentimental novels, popular fiction, </w:t>
      </w:r>
      <w:r w:rsidRPr="008B26B3">
        <w:rPr>
          <w:rFonts w:cs="Arial"/>
          <w:iCs/>
        </w:rPr>
        <w:lastRenderedPageBreak/>
        <w:t xml:space="preserve">travel writing and pornography. Primary texts will be read alongside recent critical work by Thomas Lacquer, Michel Foucault, Roy Porter, and Peter </w:t>
      </w:r>
      <w:proofErr w:type="spellStart"/>
      <w:r w:rsidRPr="008B26B3">
        <w:rPr>
          <w:rFonts w:cs="Arial"/>
          <w:iCs/>
        </w:rPr>
        <w:t>Stallybrass</w:t>
      </w:r>
      <w:proofErr w:type="spellEnd"/>
      <w:r w:rsidRPr="008B26B3">
        <w:rPr>
          <w:rFonts w:cs="Arial"/>
          <w:iCs/>
        </w:rPr>
        <w:t xml:space="preserve"> and </w:t>
      </w:r>
      <w:proofErr w:type="spellStart"/>
      <w:r w:rsidRPr="008B26B3">
        <w:rPr>
          <w:rFonts w:cs="Arial"/>
          <w:iCs/>
        </w:rPr>
        <w:t>Allon</w:t>
      </w:r>
      <w:proofErr w:type="spellEnd"/>
      <w:r w:rsidRPr="008B26B3">
        <w:rPr>
          <w:rFonts w:cs="Arial"/>
          <w:iCs/>
        </w:rPr>
        <w:t xml:space="preserve"> White, which illuminate the ideological stakes writers played for when writing about the body. Topics for discussion will include disability and deformity, race, the sentimental body, dress and the body, the body as text and the relationship between the body and the body politic. The primary focus of this option will be literature, but we will also examine visual representations of the body in caricature and satire as well as in the portraiture</w:t>
      </w:r>
      <w:r w:rsidR="00C57028" w:rsidRPr="008B7D28">
        <w:rPr>
          <w:rFonts w:cs="Arial"/>
          <w:iCs/>
        </w:rPr>
        <w:t xml:space="preserve"> </w:t>
      </w:r>
    </w:p>
    <w:p w14:paraId="0F10910D"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09995E37" w14:textId="77777777" w:rsidR="008B26B3" w:rsidRPr="008B26B3" w:rsidRDefault="008B26B3" w:rsidP="008B26B3">
      <w:pPr>
        <w:spacing w:after="120" w:line="240" w:lineRule="auto"/>
        <w:ind w:left="567" w:right="260"/>
        <w:jc w:val="both"/>
        <w:rPr>
          <w:rFonts w:cs="Arial"/>
        </w:rPr>
      </w:pPr>
      <w:r w:rsidRPr="008B26B3">
        <w:rPr>
          <w:rFonts w:cs="Arial"/>
        </w:rPr>
        <w:t>Batchelor, J. (2005). Dress, Distress and Desire: Reading the Body in Eighteenth-Century Literature. Basingstoke: Palgrave Macmillan.</w:t>
      </w:r>
    </w:p>
    <w:p w14:paraId="5BC02A30" w14:textId="77777777" w:rsidR="008B26B3" w:rsidRPr="008B26B3" w:rsidRDefault="008B26B3" w:rsidP="008B26B3">
      <w:pPr>
        <w:spacing w:after="120" w:line="240" w:lineRule="auto"/>
        <w:ind w:left="567" w:right="260"/>
        <w:jc w:val="both"/>
        <w:rPr>
          <w:rFonts w:cs="Arial"/>
        </w:rPr>
      </w:pPr>
      <w:r w:rsidRPr="008B26B3">
        <w:rPr>
          <w:rFonts w:cs="Arial"/>
        </w:rPr>
        <w:t>Foucault, M. (1978), The History of Sexuality: Volume 1 An Introduction, trans. Robert Hurley. Harmondsworth: Penguin.</w:t>
      </w:r>
    </w:p>
    <w:p w14:paraId="761F54D7" w14:textId="77777777" w:rsidR="008B26B3" w:rsidRPr="008B26B3" w:rsidRDefault="008B26B3" w:rsidP="008B26B3">
      <w:pPr>
        <w:spacing w:after="120" w:line="240" w:lineRule="auto"/>
        <w:ind w:left="567" w:right="260"/>
        <w:jc w:val="both"/>
        <w:rPr>
          <w:rFonts w:cs="Arial"/>
        </w:rPr>
      </w:pPr>
      <w:r w:rsidRPr="008B26B3">
        <w:rPr>
          <w:rFonts w:cs="Arial"/>
        </w:rPr>
        <w:t>McMaster, J. (2003). Reading the Body in the Eighteenth-Century Novel. Basingstoke: Macmillan.</w:t>
      </w:r>
    </w:p>
    <w:p w14:paraId="2B06C168" w14:textId="77777777" w:rsidR="008B26B3" w:rsidRPr="008B26B3" w:rsidRDefault="008B26B3" w:rsidP="008B26B3">
      <w:pPr>
        <w:spacing w:after="120" w:line="240" w:lineRule="auto"/>
        <w:ind w:left="567" w:right="260"/>
        <w:jc w:val="both"/>
        <w:rPr>
          <w:rFonts w:cs="Arial"/>
        </w:rPr>
      </w:pPr>
      <w:r w:rsidRPr="008B26B3">
        <w:rPr>
          <w:rFonts w:cs="Arial"/>
        </w:rPr>
        <w:t>Richardson, S. (2002). Pamela, Harmondsworth: Penguin</w:t>
      </w:r>
    </w:p>
    <w:p w14:paraId="3D366BA7" w14:textId="77777777" w:rsidR="008B26B3" w:rsidRPr="008B26B3" w:rsidRDefault="008B26B3" w:rsidP="008B26B3">
      <w:pPr>
        <w:spacing w:after="120" w:line="240" w:lineRule="auto"/>
        <w:ind w:left="567" w:right="260"/>
        <w:jc w:val="both"/>
        <w:rPr>
          <w:rFonts w:cs="Arial"/>
        </w:rPr>
      </w:pPr>
      <w:r w:rsidRPr="008B26B3">
        <w:rPr>
          <w:rFonts w:cs="Arial"/>
        </w:rPr>
        <w:t xml:space="preserve">Scott, S. (1995). </w:t>
      </w:r>
      <w:proofErr w:type="spellStart"/>
      <w:r w:rsidRPr="008B26B3">
        <w:rPr>
          <w:rFonts w:cs="Arial"/>
        </w:rPr>
        <w:t>Millenium</w:t>
      </w:r>
      <w:proofErr w:type="spellEnd"/>
      <w:r w:rsidRPr="008B26B3">
        <w:rPr>
          <w:rFonts w:cs="Arial"/>
        </w:rPr>
        <w:t xml:space="preserve"> Hall. Peterborough: Broadview.</w:t>
      </w:r>
    </w:p>
    <w:p w14:paraId="6BCCBA56" w14:textId="77777777" w:rsidR="008B26B3" w:rsidRPr="008B26B3" w:rsidRDefault="008B26B3" w:rsidP="008B26B3">
      <w:pPr>
        <w:spacing w:after="120" w:line="240" w:lineRule="auto"/>
        <w:ind w:left="567" w:right="260"/>
        <w:jc w:val="both"/>
        <w:rPr>
          <w:rFonts w:cs="Arial"/>
        </w:rPr>
      </w:pPr>
      <w:proofErr w:type="spellStart"/>
      <w:r w:rsidRPr="008B26B3">
        <w:rPr>
          <w:rFonts w:cs="Arial"/>
        </w:rPr>
        <w:t>Stallybrass</w:t>
      </w:r>
      <w:proofErr w:type="spellEnd"/>
      <w:r w:rsidRPr="008B26B3">
        <w:rPr>
          <w:rFonts w:cs="Arial"/>
        </w:rPr>
        <w:t xml:space="preserve">, P, and A. White (1986). The Politics and Poetics of Transgression. New York: Cornell University Press. </w:t>
      </w:r>
    </w:p>
    <w:p w14:paraId="281558D3" w14:textId="77777777" w:rsidR="009A2D37" w:rsidRPr="008B7D28" w:rsidRDefault="008B26B3" w:rsidP="008B26B3">
      <w:pPr>
        <w:spacing w:after="120" w:line="240" w:lineRule="auto"/>
        <w:ind w:left="567" w:right="260"/>
        <w:jc w:val="both"/>
        <w:rPr>
          <w:rFonts w:cs="Arial"/>
        </w:rPr>
      </w:pPr>
      <w:r w:rsidRPr="008B26B3">
        <w:rPr>
          <w:rFonts w:cs="Arial"/>
        </w:rPr>
        <w:t xml:space="preserve">Sterne, L. (2003). Tristram </w:t>
      </w:r>
      <w:proofErr w:type="spellStart"/>
      <w:r w:rsidRPr="008B26B3">
        <w:rPr>
          <w:rFonts w:cs="Arial"/>
        </w:rPr>
        <w:t>Shandy</w:t>
      </w:r>
      <w:proofErr w:type="spellEnd"/>
      <w:r w:rsidRPr="008B26B3">
        <w:rPr>
          <w:rFonts w:cs="Arial"/>
        </w:rPr>
        <w:t>. Harmondsworth: Penguin,</w:t>
      </w:r>
    </w:p>
    <w:p w14:paraId="55FD5990" w14:textId="77777777"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7361CB04" w14:textId="49EA596F"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CE3912">
        <w:rPr>
          <w:rFonts w:cs="Arial"/>
          <w:iCs/>
        </w:rPr>
        <w:t>32</w:t>
      </w:r>
    </w:p>
    <w:p w14:paraId="09B65344" w14:textId="6BC1FD93"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CE3912">
        <w:rPr>
          <w:rFonts w:cs="Arial"/>
          <w:iCs/>
        </w:rPr>
        <w:t>268</w:t>
      </w:r>
    </w:p>
    <w:p w14:paraId="32A50017" w14:textId="77777777" w:rsidR="00C57028" w:rsidRPr="008B7D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8B26B3">
        <w:rPr>
          <w:rFonts w:cs="Arial"/>
          <w:iCs/>
        </w:rPr>
        <w:t>300</w:t>
      </w:r>
    </w:p>
    <w:p w14:paraId="7F014885" w14:textId="77777777"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14:paraId="6F48122C"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4ECBB233" w14:textId="77777777" w:rsidR="008B26B3" w:rsidRDefault="008B26B3" w:rsidP="008B26B3">
      <w:pPr>
        <w:spacing w:after="120" w:line="240" w:lineRule="auto"/>
        <w:ind w:right="260" w:firstLine="567"/>
        <w:rPr>
          <w:rFonts w:cs="Arial"/>
        </w:rPr>
      </w:pPr>
      <w:r>
        <w:rPr>
          <w:rFonts w:cs="Arial"/>
        </w:rPr>
        <w:t>Two</w:t>
      </w:r>
      <w:r w:rsidRPr="00ED5181">
        <w:rPr>
          <w:rFonts w:cs="Arial"/>
        </w:rPr>
        <w:t xml:space="preserve"> essays </w:t>
      </w:r>
      <w:r>
        <w:rPr>
          <w:rFonts w:cs="Arial"/>
        </w:rPr>
        <w:tab/>
      </w:r>
      <w:r>
        <w:rPr>
          <w:rFonts w:cs="Arial"/>
        </w:rPr>
        <w:tab/>
      </w:r>
      <w:r>
        <w:rPr>
          <w:rFonts w:cs="Arial"/>
        </w:rPr>
        <w:tab/>
        <w:t>6,000 words</w:t>
      </w:r>
      <w:r>
        <w:rPr>
          <w:rFonts w:cs="Arial"/>
        </w:rPr>
        <w:tab/>
      </w:r>
      <w:r>
        <w:rPr>
          <w:rFonts w:cs="Arial"/>
        </w:rPr>
        <w:tab/>
      </w:r>
      <w:r>
        <w:rPr>
          <w:rFonts w:cs="Arial"/>
        </w:rPr>
        <w:tab/>
      </w:r>
      <w:r>
        <w:rPr>
          <w:rFonts w:cs="Arial"/>
        </w:rPr>
        <w:tab/>
      </w:r>
      <w:r w:rsidRPr="00ED5181">
        <w:rPr>
          <w:rFonts w:cs="Arial"/>
        </w:rPr>
        <w:t xml:space="preserve">90% </w:t>
      </w:r>
    </w:p>
    <w:p w14:paraId="778022F8" w14:textId="77777777" w:rsidR="008B26B3" w:rsidRDefault="008B26B3" w:rsidP="008B26B3">
      <w:pPr>
        <w:spacing w:after="120" w:line="240" w:lineRule="auto"/>
        <w:ind w:right="260" w:firstLine="567"/>
        <w:rPr>
          <w:rFonts w:cs="Arial"/>
        </w:rPr>
      </w:pPr>
      <w:r>
        <w:rPr>
          <w:rFonts w:cs="Arial"/>
        </w:rPr>
        <w:t xml:space="preserve">Seminar performance </w:t>
      </w:r>
      <w:r>
        <w:rPr>
          <w:rFonts w:cs="Arial"/>
        </w:rPr>
        <w:tab/>
      </w:r>
      <w:r>
        <w:rPr>
          <w:rFonts w:cs="Arial"/>
        </w:rPr>
        <w:tab/>
      </w:r>
      <w:r>
        <w:rPr>
          <w:rFonts w:cs="Arial"/>
        </w:rPr>
        <w:tab/>
      </w:r>
      <w:r>
        <w:rPr>
          <w:rFonts w:cs="Arial"/>
        </w:rPr>
        <w:tab/>
      </w:r>
      <w:r>
        <w:rPr>
          <w:rFonts w:cs="Arial"/>
        </w:rPr>
        <w:tab/>
      </w:r>
      <w:r>
        <w:rPr>
          <w:rFonts w:cs="Arial"/>
        </w:rPr>
        <w:tab/>
      </w:r>
      <w:r>
        <w:rPr>
          <w:rFonts w:cs="Arial"/>
        </w:rPr>
        <w:tab/>
        <w:t>10%</w:t>
      </w:r>
    </w:p>
    <w:p w14:paraId="14602B2C"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4864FD0B" w14:textId="77777777" w:rsidR="00C57028" w:rsidRPr="008B7D28" w:rsidRDefault="00BC5144" w:rsidP="00C57028">
      <w:pPr>
        <w:spacing w:after="120" w:line="240" w:lineRule="auto"/>
        <w:ind w:left="567" w:right="260"/>
        <w:jc w:val="both"/>
        <w:rPr>
          <w:rFonts w:cs="Arial"/>
          <w:b/>
          <w:iCs/>
        </w:rPr>
      </w:pPr>
      <w:r w:rsidRPr="00031DF7">
        <w:rPr>
          <w:rFonts w:cs="Arial"/>
          <w:iCs/>
        </w:rPr>
        <w:t>Like for Like.</w:t>
      </w:r>
      <w:r w:rsidR="00C57028" w:rsidRPr="008B7D28">
        <w:rPr>
          <w:rFonts w:cs="Arial"/>
          <w:iCs/>
        </w:rPr>
        <w:t xml:space="preserve"> </w:t>
      </w:r>
    </w:p>
    <w:p w14:paraId="654C6277" w14:textId="77777777"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8380" w:type="dxa"/>
        <w:tblInd w:w="108" w:type="dxa"/>
        <w:tblLayout w:type="fixed"/>
        <w:tblLook w:val="04A0" w:firstRow="1" w:lastRow="0" w:firstColumn="1" w:lastColumn="0" w:noHBand="0" w:noVBand="1"/>
      </w:tblPr>
      <w:tblGrid>
        <w:gridCol w:w="3637"/>
        <w:gridCol w:w="527"/>
        <w:gridCol w:w="527"/>
        <w:gridCol w:w="527"/>
        <w:gridCol w:w="527"/>
        <w:gridCol w:w="527"/>
        <w:gridCol w:w="527"/>
        <w:gridCol w:w="527"/>
        <w:gridCol w:w="527"/>
        <w:gridCol w:w="527"/>
      </w:tblGrid>
      <w:tr w:rsidR="00CE3912" w:rsidRPr="008B7D28" w14:paraId="5A2F43DB" w14:textId="77777777" w:rsidTr="002111BC">
        <w:trPr>
          <w:trHeight w:val="356"/>
        </w:trPr>
        <w:tc>
          <w:tcPr>
            <w:tcW w:w="3637" w:type="dxa"/>
            <w:shd w:val="clear" w:color="auto" w:fill="D9D9D9" w:themeFill="background1" w:themeFillShade="D9"/>
          </w:tcPr>
          <w:p w14:paraId="3E6A5668" w14:textId="77777777" w:rsidR="00CE3912" w:rsidRPr="008B7D28" w:rsidRDefault="00CE3912" w:rsidP="00031DF7">
            <w:pPr>
              <w:spacing w:after="120"/>
              <w:ind w:left="33"/>
              <w:rPr>
                <w:rFonts w:cs="Arial"/>
                <w:b/>
              </w:rPr>
            </w:pPr>
            <w:r w:rsidRPr="008B7D28">
              <w:rPr>
                <w:rFonts w:cs="Arial"/>
                <w:b/>
              </w:rPr>
              <w:t>Module learning outcome</w:t>
            </w:r>
          </w:p>
        </w:tc>
        <w:tc>
          <w:tcPr>
            <w:tcW w:w="527" w:type="dxa"/>
          </w:tcPr>
          <w:p w14:paraId="1081B232" w14:textId="77777777" w:rsidR="00CE3912" w:rsidRPr="00105E5D" w:rsidRDefault="00CE3912" w:rsidP="00031DF7">
            <w:pPr>
              <w:spacing w:after="120"/>
              <w:rPr>
                <w:rFonts w:cs="Arial"/>
                <w:i/>
              </w:rPr>
            </w:pPr>
            <w:r w:rsidRPr="00105E5D">
              <w:rPr>
                <w:rFonts w:cs="Arial"/>
                <w:i/>
              </w:rPr>
              <w:t>8.1</w:t>
            </w:r>
          </w:p>
        </w:tc>
        <w:tc>
          <w:tcPr>
            <w:tcW w:w="527" w:type="dxa"/>
          </w:tcPr>
          <w:p w14:paraId="5A9DD68B" w14:textId="77777777" w:rsidR="00CE3912" w:rsidRPr="00105E5D" w:rsidRDefault="00CE3912" w:rsidP="00031DF7">
            <w:pPr>
              <w:spacing w:after="120"/>
              <w:rPr>
                <w:rFonts w:cs="Arial"/>
                <w:i/>
              </w:rPr>
            </w:pPr>
            <w:r w:rsidRPr="00105E5D">
              <w:rPr>
                <w:rFonts w:cs="Arial"/>
                <w:i/>
              </w:rPr>
              <w:t>8.2</w:t>
            </w:r>
          </w:p>
        </w:tc>
        <w:tc>
          <w:tcPr>
            <w:tcW w:w="527" w:type="dxa"/>
          </w:tcPr>
          <w:p w14:paraId="743C7D0B" w14:textId="77777777" w:rsidR="00CE3912" w:rsidRPr="00105E5D" w:rsidRDefault="00CE3912" w:rsidP="00031DF7">
            <w:pPr>
              <w:spacing w:after="120"/>
              <w:rPr>
                <w:rFonts w:cs="Arial"/>
                <w:i/>
              </w:rPr>
            </w:pPr>
            <w:r w:rsidRPr="00105E5D">
              <w:rPr>
                <w:rFonts w:cs="Arial"/>
                <w:i/>
              </w:rPr>
              <w:t>8.3</w:t>
            </w:r>
          </w:p>
        </w:tc>
        <w:tc>
          <w:tcPr>
            <w:tcW w:w="527" w:type="dxa"/>
          </w:tcPr>
          <w:p w14:paraId="4F95F413" w14:textId="77777777" w:rsidR="00CE3912" w:rsidRPr="00105E5D" w:rsidRDefault="00CE3912" w:rsidP="00031DF7">
            <w:pPr>
              <w:spacing w:after="120"/>
              <w:rPr>
                <w:rFonts w:cs="Arial"/>
                <w:i/>
              </w:rPr>
            </w:pPr>
            <w:r w:rsidRPr="00105E5D">
              <w:rPr>
                <w:rFonts w:cs="Arial"/>
                <w:i/>
              </w:rPr>
              <w:t>8.4</w:t>
            </w:r>
          </w:p>
        </w:tc>
        <w:tc>
          <w:tcPr>
            <w:tcW w:w="527" w:type="dxa"/>
          </w:tcPr>
          <w:p w14:paraId="46C15817" w14:textId="77777777" w:rsidR="00CE3912" w:rsidRPr="00105E5D" w:rsidRDefault="00CE3912" w:rsidP="00031DF7">
            <w:pPr>
              <w:spacing w:after="120"/>
              <w:rPr>
                <w:rFonts w:cs="Arial"/>
                <w:i/>
              </w:rPr>
            </w:pPr>
            <w:r w:rsidRPr="00105E5D">
              <w:rPr>
                <w:rFonts w:cs="Arial"/>
                <w:i/>
              </w:rPr>
              <w:t>8.5</w:t>
            </w:r>
          </w:p>
        </w:tc>
        <w:tc>
          <w:tcPr>
            <w:tcW w:w="527" w:type="dxa"/>
          </w:tcPr>
          <w:p w14:paraId="025D465F" w14:textId="77777777" w:rsidR="00CE3912" w:rsidRPr="00105E5D" w:rsidRDefault="00CE3912" w:rsidP="00031DF7">
            <w:pPr>
              <w:spacing w:after="120"/>
              <w:rPr>
                <w:rFonts w:cs="Arial"/>
                <w:i/>
              </w:rPr>
            </w:pPr>
            <w:r w:rsidRPr="00105E5D">
              <w:rPr>
                <w:rFonts w:cs="Arial"/>
                <w:i/>
              </w:rPr>
              <w:t>9.1</w:t>
            </w:r>
          </w:p>
        </w:tc>
        <w:tc>
          <w:tcPr>
            <w:tcW w:w="527" w:type="dxa"/>
          </w:tcPr>
          <w:p w14:paraId="4F616016" w14:textId="77777777" w:rsidR="00CE3912" w:rsidRPr="00105E5D" w:rsidRDefault="00CE3912" w:rsidP="00031DF7">
            <w:pPr>
              <w:spacing w:after="120"/>
              <w:rPr>
                <w:rFonts w:cs="Arial"/>
                <w:i/>
              </w:rPr>
            </w:pPr>
            <w:r w:rsidRPr="00105E5D">
              <w:rPr>
                <w:rFonts w:cs="Arial"/>
                <w:i/>
              </w:rPr>
              <w:t>9.2</w:t>
            </w:r>
          </w:p>
        </w:tc>
        <w:tc>
          <w:tcPr>
            <w:tcW w:w="527" w:type="dxa"/>
          </w:tcPr>
          <w:p w14:paraId="65B000F6" w14:textId="77777777" w:rsidR="00CE3912" w:rsidRPr="00105E5D" w:rsidRDefault="00CE3912" w:rsidP="00031DF7">
            <w:pPr>
              <w:spacing w:after="120"/>
              <w:rPr>
                <w:rFonts w:cs="Arial"/>
                <w:i/>
              </w:rPr>
            </w:pPr>
            <w:r w:rsidRPr="00105E5D">
              <w:rPr>
                <w:rFonts w:cs="Arial"/>
                <w:i/>
              </w:rPr>
              <w:t>9.3</w:t>
            </w:r>
          </w:p>
        </w:tc>
        <w:tc>
          <w:tcPr>
            <w:tcW w:w="527" w:type="dxa"/>
          </w:tcPr>
          <w:p w14:paraId="27D3F785" w14:textId="2FDEFE83" w:rsidR="00CE3912" w:rsidRPr="00031DF7" w:rsidRDefault="00CE3912" w:rsidP="00031DF7">
            <w:pPr>
              <w:spacing w:after="120"/>
              <w:rPr>
                <w:rFonts w:cs="Arial"/>
                <w:i/>
                <w:highlight w:val="yellow"/>
              </w:rPr>
            </w:pPr>
            <w:r w:rsidRPr="005A746A">
              <w:rPr>
                <w:rFonts w:cs="Arial"/>
                <w:i/>
              </w:rPr>
              <w:t>9.</w:t>
            </w:r>
            <w:r>
              <w:rPr>
                <w:rFonts w:cs="Arial"/>
                <w:i/>
              </w:rPr>
              <w:t>4</w:t>
            </w:r>
          </w:p>
        </w:tc>
      </w:tr>
      <w:tr w:rsidR="00CE3912" w:rsidRPr="008B7D28" w14:paraId="1A449150" w14:textId="77777777" w:rsidTr="002111BC">
        <w:trPr>
          <w:trHeight w:val="66"/>
        </w:trPr>
        <w:tc>
          <w:tcPr>
            <w:tcW w:w="3637" w:type="dxa"/>
            <w:shd w:val="clear" w:color="auto" w:fill="D9D9D9" w:themeFill="background1" w:themeFillShade="D9"/>
          </w:tcPr>
          <w:p w14:paraId="624B108F" w14:textId="77777777" w:rsidR="00CE3912" w:rsidRPr="008B7D28" w:rsidRDefault="00CE3912" w:rsidP="00031DF7">
            <w:pPr>
              <w:spacing w:after="120"/>
              <w:rPr>
                <w:rFonts w:cs="Arial"/>
                <w:b/>
              </w:rPr>
            </w:pPr>
            <w:r w:rsidRPr="008B7D28">
              <w:rPr>
                <w:rFonts w:cs="Arial"/>
                <w:b/>
              </w:rPr>
              <w:t>Learning/ teaching method</w:t>
            </w:r>
          </w:p>
        </w:tc>
        <w:tc>
          <w:tcPr>
            <w:tcW w:w="527" w:type="dxa"/>
          </w:tcPr>
          <w:p w14:paraId="74C71C48" w14:textId="77777777" w:rsidR="00CE3912" w:rsidRPr="00105E5D" w:rsidRDefault="00CE3912" w:rsidP="00031DF7">
            <w:pPr>
              <w:spacing w:after="120"/>
              <w:rPr>
                <w:rFonts w:cs="Arial"/>
                <w:b/>
              </w:rPr>
            </w:pPr>
          </w:p>
        </w:tc>
        <w:tc>
          <w:tcPr>
            <w:tcW w:w="527" w:type="dxa"/>
          </w:tcPr>
          <w:p w14:paraId="1594EA4C" w14:textId="77777777" w:rsidR="00CE3912" w:rsidRPr="00105E5D" w:rsidRDefault="00CE3912" w:rsidP="00031DF7">
            <w:pPr>
              <w:spacing w:after="120"/>
              <w:rPr>
                <w:rFonts w:cs="Arial"/>
                <w:b/>
              </w:rPr>
            </w:pPr>
          </w:p>
        </w:tc>
        <w:tc>
          <w:tcPr>
            <w:tcW w:w="527" w:type="dxa"/>
          </w:tcPr>
          <w:p w14:paraId="0CED2E12" w14:textId="77777777" w:rsidR="00CE3912" w:rsidRPr="00105E5D" w:rsidRDefault="00CE3912" w:rsidP="00031DF7">
            <w:pPr>
              <w:spacing w:after="120"/>
              <w:rPr>
                <w:rFonts w:cs="Arial"/>
                <w:b/>
              </w:rPr>
            </w:pPr>
          </w:p>
        </w:tc>
        <w:tc>
          <w:tcPr>
            <w:tcW w:w="527" w:type="dxa"/>
          </w:tcPr>
          <w:p w14:paraId="020D0E75" w14:textId="77777777" w:rsidR="00CE3912" w:rsidRPr="00105E5D" w:rsidRDefault="00CE3912" w:rsidP="00031DF7">
            <w:pPr>
              <w:spacing w:after="120"/>
              <w:rPr>
                <w:rFonts w:cs="Arial"/>
                <w:b/>
              </w:rPr>
            </w:pPr>
          </w:p>
        </w:tc>
        <w:tc>
          <w:tcPr>
            <w:tcW w:w="527" w:type="dxa"/>
          </w:tcPr>
          <w:p w14:paraId="49F04E88" w14:textId="77777777" w:rsidR="00CE3912" w:rsidRPr="00105E5D" w:rsidRDefault="00CE3912" w:rsidP="00031DF7">
            <w:pPr>
              <w:spacing w:after="120"/>
              <w:rPr>
                <w:rFonts w:cs="Arial"/>
                <w:b/>
              </w:rPr>
            </w:pPr>
          </w:p>
        </w:tc>
        <w:tc>
          <w:tcPr>
            <w:tcW w:w="527" w:type="dxa"/>
          </w:tcPr>
          <w:p w14:paraId="2301A1CF" w14:textId="77777777" w:rsidR="00CE3912" w:rsidRPr="00105E5D" w:rsidRDefault="00CE3912" w:rsidP="00031DF7">
            <w:pPr>
              <w:spacing w:after="120"/>
              <w:rPr>
                <w:rFonts w:cs="Arial"/>
                <w:b/>
              </w:rPr>
            </w:pPr>
          </w:p>
        </w:tc>
        <w:tc>
          <w:tcPr>
            <w:tcW w:w="527" w:type="dxa"/>
          </w:tcPr>
          <w:p w14:paraId="10A949FC" w14:textId="77777777" w:rsidR="00CE3912" w:rsidRPr="00105E5D" w:rsidRDefault="00CE3912" w:rsidP="00031DF7">
            <w:pPr>
              <w:spacing w:after="120"/>
              <w:rPr>
                <w:rFonts w:cs="Arial"/>
                <w:b/>
              </w:rPr>
            </w:pPr>
          </w:p>
        </w:tc>
        <w:tc>
          <w:tcPr>
            <w:tcW w:w="527" w:type="dxa"/>
          </w:tcPr>
          <w:p w14:paraId="4987FC79" w14:textId="77777777" w:rsidR="00CE3912" w:rsidRPr="00105E5D" w:rsidRDefault="00CE3912" w:rsidP="00031DF7">
            <w:pPr>
              <w:spacing w:after="120"/>
              <w:rPr>
                <w:rFonts w:cs="Arial"/>
                <w:b/>
              </w:rPr>
            </w:pPr>
          </w:p>
        </w:tc>
        <w:tc>
          <w:tcPr>
            <w:tcW w:w="527" w:type="dxa"/>
          </w:tcPr>
          <w:p w14:paraId="32CA56EE" w14:textId="77777777" w:rsidR="00CE3912" w:rsidRPr="00031DF7" w:rsidRDefault="00CE3912" w:rsidP="00031DF7">
            <w:pPr>
              <w:spacing w:after="120"/>
              <w:rPr>
                <w:rFonts w:cs="Arial"/>
                <w:b/>
                <w:highlight w:val="yellow"/>
              </w:rPr>
            </w:pPr>
          </w:p>
        </w:tc>
      </w:tr>
      <w:tr w:rsidR="00CE3912" w:rsidRPr="008B7D28" w14:paraId="04AFB96D" w14:textId="77777777" w:rsidTr="002111BC">
        <w:trPr>
          <w:trHeight w:val="335"/>
        </w:trPr>
        <w:tc>
          <w:tcPr>
            <w:tcW w:w="3637" w:type="dxa"/>
          </w:tcPr>
          <w:p w14:paraId="53877C25" w14:textId="77777777" w:rsidR="00CE3912" w:rsidRPr="00031DF7" w:rsidRDefault="00CE3912" w:rsidP="00031DF7">
            <w:pPr>
              <w:spacing w:after="120"/>
              <w:rPr>
                <w:rFonts w:cs="Arial"/>
              </w:rPr>
            </w:pPr>
            <w:r w:rsidRPr="00031DF7">
              <w:rPr>
                <w:rFonts w:cs="Arial"/>
              </w:rPr>
              <w:t>Private Study</w:t>
            </w:r>
          </w:p>
        </w:tc>
        <w:tc>
          <w:tcPr>
            <w:tcW w:w="527" w:type="dxa"/>
          </w:tcPr>
          <w:p w14:paraId="0FB283FA" w14:textId="77777777" w:rsidR="00CE3912" w:rsidRPr="00105E5D" w:rsidRDefault="00CE3912" w:rsidP="00031DF7">
            <w:pPr>
              <w:spacing w:after="120"/>
              <w:rPr>
                <w:rFonts w:cs="Arial"/>
                <w:b/>
              </w:rPr>
            </w:pPr>
            <w:r w:rsidRPr="00105E5D">
              <w:rPr>
                <w:rFonts w:cs="Arial"/>
                <w:b/>
              </w:rPr>
              <w:t>x</w:t>
            </w:r>
          </w:p>
        </w:tc>
        <w:tc>
          <w:tcPr>
            <w:tcW w:w="527" w:type="dxa"/>
          </w:tcPr>
          <w:p w14:paraId="4E7DD899" w14:textId="77777777" w:rsidR="00CE3912" w:rsidRPr="00105E5D" w:rsidRDefault="00CE3912" w:rsidP="00031DF7">
            <w:pPr>
              <w:spacing w:after="120"/>
              <w:rPr>
                <w:rFonts w:cs="Arial"/>
                <w:b/>
              </w:rPr>
            </w:pPr>
            <w:r w:rsidRPr="00105E5D">
              <w:rPr>
                <w:rFonts w:cs="Arial"/>
                <w:b/>
              </w:rPr>
              <w:t>x</w:t>
            </w:r>
          </w:p>
        </w:tc>
        <w:tc>
          <w:tcPr>
            <w:tcW w:w="527" w:type="dxa"/>
          </w:tcPr>
          <w:p w14:paraId="4CEB4A0F" w14:textId="77777777" w:rsidR="00CE3912" w:rsidRPr="00105E5D" w:rsidRDefault="00CE3912" w:rsidP="00031DF7">
            <w:pPr>
              <w:spacing w:after="120"/>
              <w:rPr>
                <w:rFonts w:cs="Arial"/>
                <w:b/>
              </w:rPr>
            </w:pPr>
          </w:p>
        </w:tc>
        <w:tc>
          <w:tcPr>
            <w:tcW w:w="527" w:type="dxa"/>
          </w:tcPr>
          <w:p w14:paraId="7985118A" w14:textId="77777777" w:rsidR="00CE3912" w:rsidRPr="00105E5D" w:rsidRDefault="00CE3912" w:rsidP="00031DF7">
            <w:pPr>
              <w:spacing w:after="120"/>
              <w:rPr>
                <w:rFonts w:cs="Arial"/>
                <w:b/>
              </w:rPr>
            </w:pPr>
            <w:r w:rsidRPr="00105E5D">
              <w:rPr>
                <w:rFonts w:cs="Arial"/>
                <w:b/>
              </w:rPr>
              <w:t>x</w:t>
            </w:r>
          </w:p>
        </w:tc>
        <w:tc>
          <w:tcPr>
            <w:tcW w:w="527" w:type="dxa"/>
          </w:tcPr>
          <w:p w14:paraId="00FED126" w14:textId="77777777" w:rsidR="00CE3912" w:rsidRPr="00105E5D" w:rsidRDefault="00CE3912" w:rsidP="00031DF7">
            <w:pPr>
              <w:spacing w:after="120"/>
              <w:rPr>
                <w:rFonts w:cs="Arial"/>
                <w:b/>
              </w:rPr>
            </w:pPr>
          </w:p>
        </w:tc>
        <w:tc>
          <w:tcPr>
            <w:tcW w:w="527" w:type="dxa"/>
          </w:tcPr>
          <w:p w14:paraId="4AAA5594" w14:textId="77777777" w:rsidR="00CE3912" w:rsidRPr="00105E5D" w:rsidRDefault="00CE3912" w:rsidP="00031DF7">
            <w:pPr>
              <w:spacing w:after="120"/>
              <w:rPr>
                <w:rFonts w:cs="Arial"/>
                <w:b/>
              </w:rPr>
            </w:pPr>
            <w:r w:rsidRPr="00105E5D">
              <w:rPr>
                <w:rFonts w:cs="Arial"/>
                <w:b/>
              </w:rPr>
              <w:t>x</w:t>
            </w:r>
          </w:p>
        </w:tc>
        <w:tc>
          <w:tcPr>
            <w:tcW w:w="527" w:type="dxa"/>
          </w:tcPr>
          <w:p w14:paraId="03A1E025" w14:textId="77777777" w:rsidR="00CE3912" w:rsidRPr="00105E5D" w:rsidRDefault="00CE3912" w:rsidP="00031DF7">
            <w:pPr>
              <w:spacing w:after="120"/>
              <w:rPr>
                <w:rFonts w:cs="Arial"/>
                <w:b/>
              </w:rPr>
            </w:pPr>
          </w:p>
        </w:tc>
        <w:tc>
          <w:tcPr>
            <w:tcW w:w="527" w:type="dxa"/>
          </w:tcPr>
          <w:p w14:paraId="74208E0E" w14:textId="77777777" w:rsidR="00CE3912" w:rsidRPr="00105E5D" w:rsidRDefault="00CE3912" w:rsidP="00031DF7">
            <w:pPr>
              <w:spacing w:after="120"/>
              <w:rPr>
                <w:rFonts w:cs="Arial"/>
                <w:b/>
              </w:rPr>
            </w:pPr>
            <w:r w:rsidRPr="00105E5D">
              <w:rPr>
                <w:rFonts w:cs="Arial"/>
                <w:b/>
              </w:rPr>
              <w:t>x</w:t>
            </w:r>
          </w:p>
        </w:tc>
        <w:tc>
          <w:tcPr>
            <w:tcW w:w="527" w:type="dxa"/>
          </w:tcPr>
          <w:p w14:paraId="5536C10F" w14:textId="77777777" w:rsidR="00CE3912" w:rsidRPr="00031DF7" w:rsidRDefault="00CE3912" w:rsidP="00031DF7">
            <w:pPr>
              <w:spacing w:after="120"/>
              <w:rPr>
                <w:rFonts w:cs="Arial"/>
                <w:b/>
                <w:highlight w:val="yellow"/>
              </w:rPr>
            </w:pPr>
          </w:p>
        </w:tc>
      </w:tr>
      <w:tr w:rsidR="00CE3912" w:rsidRPr="008B7D28" w14:paraId="0164A3D1" w14:textId="77777777" w:rsidTr="002111BC">
        <w:trPr>
          <w:trHeight w:val="350"/>
        </w:trPr>
        <w:tc>
          <w:tcPr>
            <w:tcW w:w="3637" w:type="dxa"/>
          </w:tcPr>
          <w:p w14:paraId="64692AD1" w14:textId="77777777" w:rsidR="00CE3912" w:rsidRPr="00031DF7" w:rsidRDefault="00CE3912" w:rsidP="00031DF7">
            <w:pPr>
              <w:spacing w:after="120"/>
              <w:rPr>
                <w:rFonts w:cs="Arial"/>
              </w:rPr>
            </w:pPr>
            <w:r w:rsidRPr="00031DF7">
              <w:rPr>
                <w:rFonts w:cs="Arial"/>
              </w:rPr>
              <w:t>Seminars</w:t>
            </w:r>
          </w:p>
        </w:tc>
        <w:tc>
          <w:tcPr>
            <w:tcW w:w="527" w:type="dxa"/>
          </w:tcPr>
          <w:p w14:paraId="319C71D0" w14:textId="77777777" w:rsidR="00CE3912" w:rsidRPr="00105E5D" w:rsidRDefault="00CE3912" w:rsidP="00031DF7">
            <w:pPr>
              <w:spacing w:after="120"/>
              <w:rPr>
                <w:rFonts w:cs="Arial"/>
                <w:b/>
              </w:rPr>
            </w:pPr>
            <w:r w:rsidRPr="00105E5D">
              <w:rPr>
                <w:rFonts w:cs="Arial"/>
                <w:b/>
              </w:rPr>
              <w:t>x</w:t>
            </w:r>
          </w:p>
        </w:tc>
        <w:tc>
          <w:tcPr>
            <w:tcW w:w="527" w:type="dxa"/>
          </w:tcPr>
          <w:p w14:paraId="59C702E4" w14:textId="77777777" w:rsidR="00CE3912" w:rsidRPr="00105E5D" w:rsidRDefault="00CE3912" w:rsidP="00031DF7">
            <w:pPr>
              <w:spacing w:after="120"/>
              <w:rPr>
                <w:rFonts w:cs="Arial"/>
                <w:b/>
              </w:rPr>
            </w:pPr>
            <w:r w:rsidRPr="00105E5D">
              <w:rPr>
                <w:rFonts w:cs="Arial"/>
                <w:b/>
              </w:rPr>
              <w:t>x</w:t>
            </w:r>
          </w:p>
        </w:tc>
        <w:tc>
          <w:tcPr>
            <w:tcW w:w="527" w:type="dxa"/>
          </w:tcPr>
          <w:p w14:paraId="42C6C5DC" w14:textId="77777777" w:rsidR="00CE3912" w:rsidRPr="00105E5D" w:rsidRDefault="00CE3912" w:rsidP="00031DF7">
            <w:pPr>
              <w:spacing w:after="120"/>
              <w:rPr>
                <w:rFonts w:cs="Arial"/>
                <w:b/>
              </w:rPr>
            </w:pPr>
            <w:r w:rsidRPr="00105E5D">
              <w:rPr>
                <w:rFonts w:cs="Arial"/>
                <w:b/>
              </w:rPr>
              <w:t>x</w:t>
            </w:r>
          </w:p>
        </w:tc>
        <w:tc>
          <w:tcPr>
            <w:tcW w:w="527" w:type="dxa"/>
          </w:tcPr>
          <w:p w14:paraId="5EA16B60" w14:textId="77777777" w:rsidR="00CE3912" w:rsidRPr="00105E5D" w:rsidRDefault="00CE3912" w:rsidP="00031DF7">
            <w:pPr>
              <w:spacing w:after="120"/>
              <w:rPr>
                <w:rFonts w:cs="Arial"/>
                <w:b/>
              </w:rPr>
            </w:pPr>
            <w:r w:rsidRPr="00105E5D">
              <w:rPr>
                <w:rFonts w:cs="Arial"/>
                <w:b/>
              </w:rPr>
              <w:t>x</w:t>
            </w:r>
          </w:p>
        </w:tc>
        <w:tc>
          <w:tcPr>
            <w:tcW w:w="527" w:type="dxa"/>
          </w:tcPr>
          <w:p w14:paraId="71A135A3" w14:textId="77777777" w:rsidR="00CE3912" w:rsidRPr="00105E5D" w:rsidRDefault="00CE3912" w:rsidP="00031DF7">
            <w:pPr>
              <w:spacing w:after="120"/>
              <w:rPr>
                <w:rFonts w:cs="Arial"/>
                <w:b/>
              </w:rPr>
            </w:pPr>
          </w:p>
        </w:tc>
        <w:tc>
          <w:tcPr>
            <w:tcW w:w="527" w:type="dxa"/>
          </w:tcPr>
          <w:p w14:paraId="5093A068" w14:textId="77777777" w:rsidR="00CE3912" w:rsidRPr="00105E5D" w:rsidRDefault="00CE3912" w:rsidP="00031DF7">
            <w:pPr>
              <w:spacing w:after="120"/>
              <w:rPr>
                <w:rFonts w:cs="Arial"/>
                <w:b/>
              </w:rPr>
            </w:pPr>
            <w:r w:rsidRPr="00105E5D">
              <w:rPr>
                <w:rFonts w:cs="Arial"/>
                <w:b/>
              </w:rPr>
              <w:t>x</w:t>
            </w:r>
          </w:p>
        </w:tc>
        <w:tc>
          <w:tcPr>
            <w:tcW w:w="527" w:type="dxa"/>
          </w:tcPr>
          <w:p w14:paraId="4A7D88BA" w14:textId="77777777" w:rsidR="00CE3912" w:rsidRPr="00105E5D" w:rsidRDefault="00CE3912" w:rsidP="00031DF7">
            <w:pPr>
              <w:spacing w:after="120"/>
              <w:rPr>
                <w:rFonts w:cs="Arial"/>
                <w:b/>
              </w:rPr>
            </w:pPr>
            <w:r w:rsidRPr="00105E5D">
              <w:rPr>
                <w:rFonts w:cs="Arial"/>
                <w:b/>
              </w:rPr>
              <w:t>x</w:t>
            </w:r>
          </w:p>
        </w:tc>
        <w:tc>
          <w:tcPr>
            <w:tcW w:w="527" w:type="dxa"/>
          </w:tcPr>
          <w:p w14:paraId="4CF32455" w14:textId="77777777" w:rsidR="00CE3912" w:rsidRPr="00105E5D" w:rsidRDefault="00CE3912" w:rsidP="00031DF7">
            <w:pPr>
              <w:spacing w:after="120"/>
              <w:rPr>
                <w:rFonts w:cs="Arial"/>
                <w:b/>
              </w:rPr>
            </w:pPr>
            <w:r w:rsidRPr="00105E5D">
              <w:rPr>
                <w:rFonts w:cs="Arial"/>
                <w:b/>
              </w:rPr>
              <w:t>x</w:t>
            </w:r>
          </w:p>
        </w:tc>
        <w:tc>
          <w:tcPr>
            <w:tcW w:w="527" w:type="dxa"/>
          </w:tcPr>
          <w:p w14:paraId="07756F0E" w14:textId="77777777" w:rsidR="00CE3912" w:rsidRPr="00031DF7" w:rsidRDefault="00CE3912" w:rsidP="00031DF7">
            <w:pPr>
              <w:spacing w:after="120"/>
              <w:rPr>
                <w:rFonts w:cs="Arial"/>
                <w:b/>
                <w:highlight w:val="yellow"/>
              </w:rPr>
            </w:pPr>
          </w:p>
        </w:tc>
      </w:tr>
      <w:tr w:rsidR="00CE3912" w:rsidRPr="008B7D28" w14:paraId="08604031" w14:textId="77777777" w:rsidTr="002111BC">
        <w:trPr>
          <w:trHeight w:val="350"/>
        </w:trPr>
        <w:tc>
          <w:tcPr>
            <w:tcW w:w="3637" w:type="dxa"/>
          </w:tcPr>
          <w:p w14:paraId="0CED3091" w14:textId="77777777" w:rsidR="00CE3912" w:rsidRPr="00031DF7" w:rsidRDefault="00CE3912" w:rsidP="00031DF7">
            <w:pPr>
              <w:spacing w:after="120"/>
              <w:rPr>
                <w:rFonts w:cs="Arial"/>
              </w:rPr>
            </w:pPr>
            <w:r w:rsidRPr="00031DF7">
              <w:rPr>
                <w:rFonts w:cs="Arial"/>
              </w:rPr>
              <w:t>Workshops</w:t>
            </w:r>
          </w:p>
        </w:tc>
        <w:tc>
          <w:tcPr>
            <w:tcW w:w="527" w:type="dxa"/>
          </w:tcPr>
          <w:p w14:paraId="026CE187" w14:textId="77777777" w:rsidR="00CE3912" w:rsidRPr="00105E5D" w:rsidRDefault="00CE3912" w:rsidP="00031DF7">
            <w:pPr>
              <w:spacing w:after="120"/>
              <w:rPr>
                <w:rFonts w:cs="Arial"/>
                <w:b/>
              </w:rPr>
            </w:pPr>
            <w:r w:rsidRPr="00105E5D">
              <w:rPr>
                <w:rFonts w:cs="Arial"/>
                <w:b/>
              </w:rPr>
              <w:t>x</w:t>
            </w:r>
          </w:p>
        </w:tc>
        <w:tc>
          <w:tcPr>
            <w:tcW w:w="527" w:type="dxa"/>
          </w:tcPr>
          <w:p w14:paraId="2614B586" w14:textId="77777777" w:rsidR="00CE3912" w:rsidRPr="00105E5D" w:rsidRDefault="00CE3912" w:rsidP="00031DF7">
            <w:pPr>
              <w:spacing w:after="120"/>
              <w:rPr>
                <w:rFonts w:cs="Arial"/>
                <w:b/>
              </w:rPr>
            </w:pPr>
            <w:r w:rsidRPr="00105E5D">
              <w:rPr>
                <w:rFonts w:cs="Arial"/>
                <w:b/>
              </w:rPr>
              <w:t>x</w:t>
            </w:r>
          </w:p>
        </w:tc>
        <w:tc>
          <w:tcPr>
            <w:tcW w:w="527" w:type="dxa"/>
          </w:tcPr>
          <w:p w14:paraId="03849DBB" w14:textId="77777777" w:rsidR="00CE3912" w:rsidRPr="00105E5D" w:rsidRDefault="00CE3912" w:rsidP="00031DF7">
            <w:pPr>
              <w:spacing w:after="120"/>
              <w:rPr>
                <w:rFonts w:cs="Arial"/>
                <w:b/>
              </w:rPr>
            </w:pPr>
            <w:r w:rsidRPr="00105E5D">
              <w:rPr>
                <w:rFonts w:cs="Arial"/>
                <w:b/>
              </w:rPr>
              <w:t>x</w:t>
            </w:r>
          </w:p>
        </w:tc>
        <w:tc>
          <w:tcPr>
            <w:tcW w:w="527" w:type="dxa"/>
          </w:tcPr>
          <w:p w14:paraId="11A3B8B6" w14:textId="77777777" w:rsidR="00CE3912" w:rsidRPr="00105E5D" w:rsidRDefault="00CE3912" w:rsidP="00031DF7">
            <w:pPr>
              <w:spacing w:after="120"/>
              <w:rPr>
                <w:rFonts w:cs="Arial"/>
                <w:b/>
              </w:rPr>
            </w:pPr>
            <w:r w:rsidRPr="00105E5D">
              <w:rPr>
                <w:rFonts w:cs="Arial"/>
                <w:b/>
              </w:rPr>
              <w:t>x</w:t>
            </w:r>
          </w:p>
        </w:tc>
        <w:tc>
          <w:tcPr>
            <w:tcW w:w="527" w:type="dxa"/>
          </w:tcPr>
          <w:p w14:paraId="50F1C890" w14:textId="77777777" w:rsidR="00CE3912" w:rsidRPr="00105E5D" w:rsidRDefault="00CE3912" w:rsidP="00031DF7">
            <w:pPr>
              <w:spacing w:after="120"/>
              <w:rPr>
                <w:rFonts w:cs="Arial"/>
                <w:b/>
              </w:rPr>
            </w:pPr>
            <w:r w:rsidRPr="00105E5D">
              <w:rPr>
                <w:rFonts w:cs="Arial"/>
                <w:b/>
              </w:rPr>
              <w:t>x</w:t>
            </w:r>
          </w:p>
        </w:tc>
        <w:tc>
          <w:tcPr>
            <w:tcW w:w="527" w:type="dxa"/>
          </w:tcPr>
          <w:p w14:paraId="66A82579" w14:textId="77777777" w:rsidR="00CE3912" w:rsidRPr="00105E5D" w:rsidRDefault="00CE3912" w:rsidP="00031DF7">
            <w:pPr>
              <w:spacing w:after="120"/>
              <w:rPr>
                <w:rFonts w:cs="Arial"/>
                <w:b/>
              </w:rPr>
            </w:pPr>
            <w:r w:rsidRPr="00105E5D">
              <w:rPr>
                <w:rFonts w:cs="Arial"/>
                <w:b/>
              </w:rPr>
              <w:t>x</w:t>
            </w:r>
          </w:p>
        </w:tc>
        <w:tc>
          <w:tcPr>
            <w:tcW w:w="527" w:type="dxa"/>
          </w:tcPr>
          <w:p w14:paraId="5BB27D5B" w14:textId="77777777" w:rsidR="00CE3912" w:rsidRPr="00105E5D" w:rsidRDefault="00CE3912" w:rsidP="00031DF7">
            <w:pPr>
              <w:spacing w:after="120"/>
              <w:rPr>
                <w:rFonts w:cs="Arial"/>
                <w:b/>
              </w:rPr>
            </w:pPr>
            <w:r w:rsidRPr="00105E5D">
              <w:rPr>
                <w:rFonts w:cs="Arial"/>
                <w:b/>
              </w:rPr>
              <w:t>x</w:t>
            </w:r>
          </w:p>
        </w:tc>
        <w:tc>
          <w:tcPr>
            <w:tcW w:w="527" w:type="dxa"/>
          </w:tcPr>
          <w:p w14:paraId="697FE333" w14:textId="77777777" w:rsidR="00CE3912" w:rsidRPr="00105E5D" w:rsidRDefault="00CE3912" w:rsidP="00031DF7">
            <w:pPr>
              <w:spacing w:after="120"/>
              <w:rPr>
                <w:rFonts w:cs="Arial"/>
                <w:b/>
              </w:rPr>
            </w:pPr>
            <w:r w:rsidRPr="00105E5D">
              <w:rPr>
                <w:rFonts w:cs="Arial"/>
                <w:b/>
              </w:rPr>
              <w:t>x</w:t>
            </w:r>
          </w:p>
        </w:tc>
        <w:tc>
          <w:tcPr>
            <w:tcW w:w="527" w:type="dxa"/>
          </w:tcPr>
          <w:p w14:paraId="1AADF866" w14:textId="77777777" w:rsidR="00CE3912" w:rsidRPr="00031DF7" w:rsidRDefault="00CE3912" w:rsidP="00031DF7">
            <w:pPr>
              <w:spacing w:after="120"/>
              <w:rPr>
                <w:rFonts w:cs="Arial"/>
                <w:b/>
                <w:highlight w:val="yellow"/>
              </w:rPr>
            </w:pPr>
          </w:p>
        </w:tc>
      </w:tr>
      <w:tr w:rsidR="00CE3912" w:rsidRPr="008B7D28" w14:paraId="3363B57E" w14:textId="77777777" w:rsidTr="002111BC">
        <w:trPr>
          <w:trHeight w:val="225"/>
        </w:trPr>
        <w:tc>
          <w:tcPr>
            <w:tcW w:w="3637" w:type="dxa"/>
            <w:shd w:val="clear" w:color="auto" w:fill="D9D9D9" w:themeFill="background1" w:themeFillShade="D9"/>
          </w:tcPr>
          <w:p w14:paraId="6F8B4A4D" w14:textId="77777777" w:rsidR="00CE3912" w:rsidRPr="008B7D28" w:rsidRDefault="00CE3912" w:rsidP="00031DF7">
            <w:pPr>
              <w:spacing w:after="120"/>
              <w:rPr>
                <w:rFonts w:cs="Arial"/>
                <w:b/>
              </w:rPr>
            </w:pPr>
            <w:r w:rsidRPr="008B7D28">
              <w:rPr>
                <w:rFonts w:cs="Arial"/>
                <w:b/>
              </w:rPr>
              <w:t>Assessment method</w:t>
            </w:r>
          </w:p>
        </w:tc>
        <w:tc>
          <w:tcPr>
            <w:tcW w:w="527" w:type="dxa"/>
          </w:tcPr>
          <w:p w14:paraId="4DAE5625" w14:textId="77777777" w:rsidR="00CE3912" w:rsidRPr="00105E5D" w:rsidRDefault="00CE3912" w:rsidP="00031DF7">
            <w:pPr>
              <w:spacing w:after="120"/>
              <w:rPr>
                <w:rFonts w:cs="Arial"/>
                <w:b/>
              </w:rPr>
            </w:pPr>
          </w:p>
        </w:tc>
        <w:tc>
          <w:tcPr>
            <w:tcW w:w="527" w:type="dxa"/>
          </w:tcPr>
          <w:p w14:paraId="342BB21E" w14:textId="77777777" w:rsidR="00CE3912" w:rsidRPr="00105E5D" w:rsidRDefault="00CE3912" w:rsidP="00031DF7">
            <w:pPr>
              <w:spacing w:after="120"/>
              <w:rPr>
                <w:rFonts w:cs="Arial"/>
                <w:b/>
              </w:rPr>
            </w:pPr>
          </w:p>
        </w:tc>
        <w:tc>
          <w:tcPr>
            <w:tcW w:w="527" w:type="dxa"/>
          </w:tcPr>
          <w:p w14:paraId="0B5CF93A" w14:textId="77777777" w:rsidR="00CE3912" w:rsidRPr="00105E5D" w:rsidRDefault="00CE3912" w:rsidP="00031DF7">
            <w:pPr>
              <w:spacing w:after="120"/>
              <w:rPr>
                <w:rFonts w:cs="Arial"/>
                <w:b/>
              </w:rPr>
            </w:pPr>
          </w:p>
        </w:tc>
        <w:tc>
          <w:tcPr>
            <w:tcW w:w="527" w:type="dxa"/>
          </w:tcPr>
          <w:p w14:paraId="08D1CEC3" w14:textId="77777777" w:rsidR="00CE3912" w:rsidRPr="00105E5D" w:rsidRDefault="00CE3912" w:rsidP="00031DF7">
            <w:pPr>
              <w:spacing w:after="120"/>
              <w:rPr>
                <w:rFonts w:cs="Arial"/>
                <w:b/>
              </w:rPr>
            </w:pPr>
          </w:p>
        </w:tc>
        <w:tc>
          <w:tcPr>
            <w:tcW w:w="527" w:type="dxa"/>
          </w:tcPr>
          <w:p w14:paraId="73F5B427" w14:textId="77777777" w:rsidR="00CE3912" w:rsidRPr="00105E5D" w:rsidRDefault="00CE3912" w:rsidP="00031DF7">
            <w:pPr>
              <w:spacing w:after="120"/>
              <w:rPr>
                <w:rFonts w:cs="Arial"/>
                <w:b/>
              </w:rPr>
            </w:pPr>
          </w:p>
        </w:tc>
        <w:tc>
          <w:tcPr>
            <w:tcW w:w="527" w:type="dxa"/>
          </w:tcPr>
          <w:p w14:paraId="340D278B" w14:textId="77777777" w:rsidR="00CE3912" w:rsidRPr="00105E5D" w:rsidRDefault="00CE3912" w:rsidP="00031DF7">
            <w:pPr>
              <w:spacing w:after="120"/>
              <w:rPr>
                <w:rFonts w:cs="Arial"/>
                <w:b/>
              </w:rPr>
            </w:pPr>
          </w:p>
        </w:tc>
        <w:tc>
          <w:tcPr>
            <w:tcW w:w="527" w:type="dxa"/>
          </w:tcPr>
          <w:p w14:paraId="77B2BE35" w14:textId="77777777" w:rsidR="00CE3912" w:rsidRPr="00105E5D" w:rsidRDefault="00CE3912" w:rsidP="00031DF7">
            <w:pPr>
              <w:spacing w:after="120"/>
              <w:rPr>
                <w:rFonts w:cs="Arial"/>
                <w:b/>
              </w:rPr>
            </w:pPr>
          </w:p>
        </w:tc>
        <w:tc>
          <w:tcPr>
            <w:tcW w:w="527" w:type="dxa"/>
          </w:tcPr>
          <w:p w14:paraId="1F37F8BB" w14:textId="77777777" w:rsidR="00CE3912" w:rsidRPr="00105E5D" w:rsidRDefault="00CE3912" w:rsidP="00031DF7">
            <w:pPr>
              <w:spacing w:after="120"/>
              <w:rPr>
                <w:rFonts w:cs="Arial"/>
                <w:b/>
              </w:rPr>
            </w:pPr>
          </w:p>
        </w:tc>
        <w:tc>
          <w:tcPr>
            <w:tcW w:w="527" w:type="dxa"/>
          </w:tcPr>
          <w:p w14:paraId="666F40E0" w14:textId="77777777" w:rsidR="00CE3912" w:rsidRPr="00105E5D" w:rsidRDefault="00CE3912" w:rsidP="00031DF7">
            <w:pPr>
              <w:spacing w:after="120"/>
              <w:rPr>
                <w:rFonts w:cs="Arial"/>
                <w:b/>
              </w:rPr>
            </w:pPr>
          </w:p>
        </w:tc>
      </w:tr>
      <w:tr w:rsidR="00CE3912" w:rsidRPr="008B7D28" w14:paraId="051E4059" w14:textId="77777777" w:rsidTr="002111BC">
        <w:trPr>
          <w:trHeight w:val="335"/>
        </w:trPr>
        <w:tc>
          <w:tcPr>
            <w:tcW w:w="3637" w:type="dxa"/>
          </w:tcPr>
          <w:p w14:paraId="133669BC" w14:textId="77777777" w:rsidR="00CE3912" w:rsidRPr="00031DF7" w:rsidRDefault="00CE3912" w:rsidP="00031DF7">
            <w:pPr>
              <w:spacing w:after="120"/>
              <w:rPr>
                <w:rFonts w:cs="Arial"/>
              </w:rPr>
            </w:pPr>
            <w:r w:rsidRPr="00031DF7">
              <w:rPr>
                <w:rFonts w:cs="Arial"/>
              </w:rPr>
              <w:t>Essays</w:t>
            </w:r>
          </w:p>
        </w:tc>
        <w:tc>
          <w:tcPr>
            <w:tcW w:w="527" w:type="dxa"/>
          </w:tcPr>
          <w:p w14:paraId="2983054C" w14:textId="77777777" w:rsidR="00CE3912" w:rsidRPr="00105E5D" w:rsidRDefault="00CE3912" w:rsidP="00031DF7">
            <w:pPr>
              <w:spacing w:after="120"/>
              <w:rPr>
                <w:rFonts w:cs="Arial"/>
                <w:b/>
              </w:rPr>
            </w:pPr>
            <w:r w:rsidRPr="00105E5D">
              <w:rPr>
                <w:rFonts w:cs="Arial"/>
                <w:b/>
              </w:rPr>
              <w:t>x</w:t>
            </w:r>
          </w:p>
        </w:tc>
        <w:tc>
          <w:tcPr>
            <w:tcW w:w="527" w:type="dxa"/>
          </w:tcPr>
          <w:p w14:paraId="226F10B3" w14:textId="77777777" w:rsidR="00CE3912" w:rsidRPr="00105E5D" w:rsidRDefault="00CE3912" w:rsidP="00031DF7">
            <w:pPr>
              <w:spacing w:after="120"/>
              <w:rPr>
                <w:rFonts w:cs="Arial"/>
                <w:b/>
              </w:rPr>
            </w:pPr>
            <w:r w:rsidRPr="00105E5D">
              <w:rPr>
                <w:rFonts w:cs="Arial"/>
                <w:b/>
              </w:rPr>
              <w:t>x</w:t>
            </w:r>
          </w:p>
        </w:tc>
        <w:tc>
          <w:tcPr>
            <w:tcW w:w="527" w:type="dxa"/>
          </w:tcPr>
          <w:p w14:paraId="19E05F92" w14:textId="77777777" w:rsidR="00CE3912" w:rsidRPr="00105E5D" w:rsidRDefault="00CE3912" w:rsidP="00031DF7">
            <w:pPr>
              <w:spacing w:after="120"/>
              <w:rPr>
                <w:rFonts w:cs="Arial"/>
                <w:b/>
              </w:rPr>
            </w:pPr>
            <w:r w:rsidRPr="00105E5D">
              <w:rPr>
                <w:rFonts w:cs="Arial"/>
                <w:b/>
              </w:rPr>
              <w:t>x</w:t>
            </w:r>
          </w:p>
        </w:tc>
        <w:tc>
          <w:tcPr>
            <w:tcW w:w="527" w:type="dxa"/>
          </w:tcPr>
          <w:p w14:paraId="4FBF34E3" w14:textId="77777777" w:rsidR="00CE3912" w:rsidRPr="00105E5D" w:rsidRDefault="00CE3912" w:rsidP="00031DF7">
            <w:pPr>
              <w:spacing w:after="120"/>
              <w:rPr>
                <w:rFonts w:cs="Arial"/>
                <w:b/>
              </w:rPr>
            </w:pPr>
            <w:r w:rsidRPr="00105E5D">
              <w:rPr>
                <w:rFonts w:cs="Arial"/>
                <w:b/>
              </w:rPr>
              <w:t>x</w:t>
            </w:r>
          </w:p>
        </w:tc>
        <w:tc>
          <w:tcPr>
            <w:tcW w:w="527" w:type="dxa"/>
          </w:tcPr>
          <w:p w14:paraId="755CC1ED" w14:textId="77777777" w:rsidR="00CE3912" w:rsidRPr="00105E5D" w:rsidRDefault="00CE3912" w:rsidP="00031DF7">
            <w:pPr>
              <w:spacing w:after="120"/>
              <w:rPr>
                <w:rFonts w:cs="Arial"/>
                <w:b/>
              </w:rPr>
            </w:pPr>
            <w:r w:rsidRPr="00105E5D">
              <w:rPr>
                <w:rFonts w:cs="Arial"/>
                <w:b/>
              </w:rPr>
              <w:t>x</w:t>
            </w:r>
          </w:p>
        </w:tc>
        <w:tc>
          <w:tcPr>
            <w:tcW w:w="527" w:type="dxa"/>
          </w:tcPr>
          <w:p w14:paraId="02889CA9" w14:textId="77777777" w:rsidR="00CE3912" w:rsidRPr="00105E5D" w:rsidRDefault="00CE3912" w:rsidP="00031DF7">
            <w:pPr>
              <w:spacing w:after="120"/>
              <w:rPr>
                <w:rFonts w:cs="Arial"/>
                <w:b/>
              </w:rPr>
            </w:pPr>
            <w:r w:rsidRPr="00105E5D">
              <w:rPr>
                <w:rFonts w:cs="Arial"/>
                <w:b/>
              </w:rPr>
              <w:t>x</w:t>
            </w:r>
          </w:p>
        </w:tc>
        <w:tc>
          <w:tcPr>
            <w:tcW w:w="527" w:type="dxa"/>
          </w:tcPr>
          <w:p w14:paraId="4DEEA0BD" w14:textId="77777777" w:rsidR="00CE3912" w:rsidRPr="00105E5D" w:rsidRDefault="00CE3912" w:rsidP="00031DF7">
            <w:pPr>
              <w:spacing w:after="120"/>
              <w:rPr>
                <w:rFonts w:cs="Arial"/>
                <w:b/>
              </w:rPr>
            </w:pPr>
            <w:r w:rsidRPr="00105E5D">
              <w:rPr>
                <w:rFonts w:cs="Arial"/>
                <w:b/>
              </w:rPr>
              <w:t>x</w:t>
            </w:r>
          </w:p>
        </w:tc>
        <w:tc>
          <w:tcPr>
            <w:tcW w:w="527" w:type="dxa"/>
          </w:tcPr>
          <w:p w14:paraId="569945FB" w14:textId="77777777" w:rsidR="00CE3912" w:rsidRPr="00105E5D" w:rsidRDefault="00CE3912" w:rsidP="00031DF7">
            <w:pPr>
              <w:spacing w:after="120"/>
              <w:rPr>
                <w:rFonts w:cs="Arial"/>
                <w:b/>
              </w:rPr>
            </w:pPr>
            <w:r w:rsidRPr="00105E5D">
              <w:rPr>
                <w:rFonts w:cs="Arial"/>
                <w:b/>
              </w:rPr>
              <w:t>x</w:t>
            </w:r>
          </w:p>
        </w:tc>
        <w:tc>
          <w:tcPr>
            <w:tcW w:w="527" w:type="dxa"/>
          </w:tcPr>
          <w:p w14:paraId="1EB0992F" w14:textId="77777777" w:rsidR="00CE3912" w:rsidRPr="00105E5D" w:rsidRDefault="00CE3912" w:rsidP="00031DF7">
            <w:pPr>
              <w:spacing w:after="120"/>
              <w:rPr>
                <w:rFonts w:cs="Arial"/>
                <w:b/>
              </w:rPr>
            </w:pPr>
            <w:r w:rsidRPr="00105E5D">
              <w:rPr>
                <w:rFonts w:cs="Arial"/>
                <w:b/>
              </w:rPr>
              <w:t>x</w:t>
            </w:r>
          </w:p>
        </w:tc>
      </w:tr>
      <w:tr w:rsidR="00CE3912" w:rsidRPr="008B7D28" w14:paraId="5E4CAB10" w14:textId="77777777" w:rsidTr="002111BC">
        <w:trPr>
          <w:trHeight w:val="350"/>
        </w:trPr>
        <w:tc>
          <w:tcPr>
            <w:tcW w:w="3637" w:type="dxa"/>
          </w:tcPr>
          <w:p w14:paraId="749750FF" w14:textId="77777777" w:rsidR="00CE3912" w:rsidRPr="00031DF7" w:rsidRDefault="00CE3912" w:rsidP="00031DF7">
            <w:pPr>
              <w:spacing w:after="120"/>
              <w:rPr>
                <w:rFonts w:cs="Arial"/>
              </w:rPr>
            </w:pPr>
            <w:r w:rsidRPr="00031DF7">
              <w:rPr>
                <w:rFonts w:cs="Arial"/>
              </w:rPr>
              <w:t>Seminar performance</w:t>
            </w:r>
          </w:p>
        </w:tc>
        <w:tc>
          <w:tcPr>
            <w:tcW w:w="527" w:type="dxa"/>
          </w:tcPr>
          <w:p w14:paraId="6C0B4F74" w14:textId="77777777" w:rsidR="00CE3912" w:rsidRPr="00105E5D" w:rsidRDefault="00CE3912" w:rsidP="00031DF7">
            <w:pPr>
              <w:spacing w:after="120"/>
              <w:rPr>
                <w:rFonts w:cs="Arial"/>
                <w:b/>
              </w:rPr>
            </w:pPr>
            <w:r w:rsidRPr="00105E5D">
              <w:rPr>
                <w:rFonts w:cs="Arial"/>
                <w:b/>
              </w:rPr>
              <w:t>x</w:t>
            </w:r>
          </w:p>
        </w:tc>
        <w:tc>
          <w:tcPr>
            <w:tcW w:w="527" w:type="dxa"/>
          </w:tcPr>
          <w:p w14:paraId="08F4090F" w14:textId="77777777" w:rsidR="00CE3912" w:rsidRPr="00105E5D" w:rsidRDefault="00CE3912" w:rsidP="00031DF7">
            <w:pPr>
              <w:spacing w:after="120"/>
              <w:rPr>
                <w:rFonts w:cs="Arial"/>
                <w:b/>
              </w:rPr>
            </w:pPr>
            <w:r w:rsidRPr="00105E5D">
              <w:rPr>
                <w:rFonts w:cs="Arial"/>
                <w:b/>
              </w:rPr>
              <w:t>x</w:t>
            </w:r>
          </w:p>
        </w:tc>
        <w:tc>
          <w:tcPr>
            <w:tcW w:w="527" w:type="dxa"/>
          </w:tcPr>
          <w:p w14:paraId="150C37EE" w14:textId="77777777" w:rsidR="00CE3912" w:rsidRPr="00105E5D" w:rsidRDefault="00CE3912" w:rsidP="00031DF7">
            <w:pPr>
              <w:spacing w:after="120"/>
              <w:rPr>
                <w:rFonts w:cs="Arial"/>
                <w:b/>
              </w:rPr>
            </w:pPr>
            <w:r w:rsidRPr="00105E5D">
              <w:rPr>
                <w:rFonts w:cs="Arial"/>
                <w:b/>
              </w:rPr>
              <w:t>x</w:t>
            </w:r>
          </w:p>
        </w:tc>
        <w:tc>
          <w:tcPr>
            <w:tcW w:w="527" w:type="dxa"/>
          </w:tcPr>
          <w:p w14:paraId="10CA50C6" w14:textId="77777777" w:rsidR="00CE3912" w:rsidRPr="00105E5D" w:rsidRDefault="00CE3912" w:rsidP="00031DF7">
            <w:pPr>
              <w:spacing w:after="120"/>
              <w:rPr>
                <w:rFonts w:cs="Arial"/>
                <w:b/>
              </w:rPr>
            </w:pPr>
            <w:r w:rsidRPr="00105E5D">
              <w:rPr>
                <w:rFonts w:cs="Arial"/>
                <w:b/>
              </w:rPr>
              <w:t>x</w:t>
            </w:r>
          </w:p>
        </w:tc>
        <w:tc>
          <w:tcPr>
            <w:tcW w:w="527" w:type="dxa"/>
          </w:tcPr>
          <w:p w14:paraId="3C896EF5" w14:textId="77777777" w:rsidR="00CE3912" w:rsidRPr="00105E5D" w:rsidRDefault="00CE3912" w:rsidP="00031DF7">
            <w:pPr>
              <w:spacing w:after="120"/>
              <w:rPr>
                <w:rFonts w:cs="Arial"/>
                <w:b/>
              </w:rPr>
            </w:pPr>
          </w:p>
        </w:tc>
        <w:tc>
          <w:tcPr>
            <w:tcW w:w="527" w:type="dxa"/>
          </w:tcPr>
          <w:p w14:paraId="7F727B3A" w14:textId="77777777" w:rsidR="00CE3912" w:rsidRPr="00105E5D" w:rsidRDefault="00CE3912" w:rsidP="00031DF7">
            <w:pPr>
              <w:spacing w:after="120"/>
              <w:rPr>
                <w:rFonts w:cs="Arial"/>
                <w:b/>
              </w:rPr>
            </w:pPr>
            <w:r w:rsidRPr="00105E5D">
              <w:rPr>
                <w:rFonts w:cs="Arial"/>
                <w:b/>
              </w:rPr>
              <w:t>x</w:t>
            </w:r>
          </w:p>
        </w:tc>
        <w:tc>
          <w:tcPr>
            <w:tcW w:w="527" w:type="dxa"/>
          </w:tcPr>
          <w:p w14:paraId="65EE522F" w14:textId="77777777" w:rsidR="00CE3912" w:rsidRPr="00105E5D" w:rsidRDefault="00CE3912" w:rsidP="00031DF7">
            <w:pPr>
              <w:spacing w:after="120"/>
              <w:rPr>
                <w:rFonts w:cs="Arial"/>
                <w:b/>
              </w:rPr>
            </w:pPr>
            <w:r w:rsidRPr="00105E5D">
              <w:rPr>
                <w:rFonts w:cs="Arial"/>
                <w:b/>
              </w:rPr>
              <w:t>x</w:t>
            </w:r>
          </w:p>
        </w:tc>
        <w:tc>
          <w:tcPr>
            <w:tcW w:w="527" w:type="dxa"/>
          </w:tcPr>
          <w:p w14:paraId="02D3C77E" w14:textId="77777777" w:rsidR="00CE3912" w:rsidRPr="00105E5D" w:rsidRDefault="00CE3912" w:rsidP="00031DF7">
            <w:pPr>
              <w:spacing w:after="120"/>
              <w:rPr>
                <w:rFonts w:cs="Arial"/>
                <w:b/>
              </w:rPr>
            </w:pPr>
            <w:r w:rsidRPr="00105E5D">
              <w:rPr>
                <w:rFonts w:cs="Arial"/>
                <w:b/>
              </w:rPr>
              <w:t>x</w:t>
            </w:r>
          </w:p>
        </w:tc>
        <w:tc>
          <w:tcPr>
            <w:tcW w:w="527" w:type="dxa"/>
          </w:tcPr>
          <w:p w14:paraId="32F950BE" w14:textId="77777777" w:rsidR="00CE3912" w:rsidRPr="00105E5D" w:rsidRDefault="00CE3912" w:rsidP="00031DF7">
            <w:pPr>
              <w:spacing w:after="120"/>
              <w:rPr>
                <w:rFonts w:cs="Arial"/>
                <w:b/>
              </w:rPr>
            </w:pPr>
          </w:p>
        </w:tc>
      </w:tr>
    </w:tbl>
    <w:p w14:paraId="5810EDB7" w14:textId="77777777"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14:paraId="1C7C6ED5"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lastRenderedPageBreak/>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B4A3B0"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68F88D9F"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225E022D"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0B864407"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38EC858D"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64CC5739" w14:textId="77777777"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14:paraId="0E3B2038" w14:textId="773EF3D4" w:rsidR="008B7D28" w:rsidRPr="008B7D28" w:rsidRDefault="000C7EA6" w:rsidP="008B7D28">
      <w:pPr>
        <w:spacing w:after="120" w:line="240" w:lineRule="auto"/>
        <w:ind w:left="567" w:right="261"/>
        <w:jc w:val="both"/>
        <w:rPr>
          <w:rFonts w:cs="Arial"/>
          <w:b/>
        </w:rPr>
      </w:pPr>
      <w:r w:rsidRPr="005A746A">
        <w:rPr>
          <w:rFonts w:cs="Arial"/>
        </w:rPr>
        <w:t xml:space="preserve">This module looks at representations of the body in eighteenth-century British texts, and while this may be specific in focus we also read about how discursive constructions of the body for punishment, medicine, science, and labour have been used around the world to make the body a subject of both knowledge and power.  </w:t>
      </w:r>
      <w:r w:rsidR="00547644" w:rsidRPr="005A746A">
        <w:rPr>
          <w:rFonts w:cs="Arial"/>
        </w:rPr>
        <w:t xml:space="preserve">We also consider the ways that non-elite people around the world have celebrated the disruptive potential in the body through festivals and carnivals. </w:t>
      </w:r>
    </w:p>
    <w:p w14:paraId="0D4FB726" w14:textId="77777777" w:rsidR="00883204" w:rsidRPr="008B7D28" w:rsidRDefault="00883204" w:rsidP="00883204">
      <w:pPr>
        <w:spacing w:after="120" w:line="240" w:lineRule="auto"/>
        <w:ind w:right="260"/>
        <w:rPr>
          <w:rFonts w:cs="Arial"/>
          <w:b/>
        </w:rPr>
      </w:pPr>
    </w:p>
    <w:p w14:paraId="4631E620" w14:textId="77777777" w:rsidR="00641D6D" w:rsidRPr="008B7D28" w:rsidRDefault="00641D6D" w:rsidP="00302082">
      <w:pPr>
        <w:pBdr>
          <w:bottom w:val="single" w:sz="6" w:space="1" w:color="auto"/>
        </w:pBdr>
        <w:spacing w:after="120" w:line="240" w:lineRule="auto"/>
        <w:ind w:right="260"/>
        <w:rPr>
          <w:rFonts w:cs="Arial"/>
        </w:rPr>
      </w:pPr>
    </w:p>
    <w:p w14:paraId="035631BF"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1CBF10E1"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68F74CD2" w14:textId="77777777"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14:paraId="5FB9A4A7" w14:textId="77777777" w:rsidTr="005A746A">
        <w:trPr>
          <w:trHeight w:val="317"/>
        </w:trPr>
        <w:tc>
          <w:tcPr>
            <w:tcW w:w="1526" w:type="dxa"/>
          </w:tcPr>
          <w:p w14:paraId="724B0042" w14:textId="77777777" w:rsidR="00422B69" w:rsidRPr="008B7D28" w:rsidRDefault="00422B69" w:rsidP="00302082">
            <w:pPr>
              <w:spacing w:after="120"/>
              <w:ind w:right="-330"/>
              <w:rPr>
                <w:rFonts w:cs="Arial"/>
                <w:sz w:val="18"/>
              </w:rPr>
            </w:pPr>
            <w:r w:rsidRPr="008B7D28">
              <w:rPr>
                <w:rFonts w:cs="Arial"/>
                <w:sz w:val="18"/>
              </w:rPr>
              <w:t>Date approved</w:t>
            </w:r>
          </w:p>
        </w:tc>
        <w:tc>
          <w:tcPr>
            <w:tcW w:w="1304" w:type="dxa"/>
          </w:tcPr>
          <w:p w14:paraId="4255DA5D" w14:textId="77777777" w:rsidR="00422B69" w:rsidRPr="008B7D28" w:rsidRDefault="00422B69" w:rsidP="00302082">
            <w:pPr>
              <w:spacing w:after="120"/>
              <w:rPr>
                <w:rFonts w:cs="Arial"/>
                <w:sz w:val="18"/>
              </w:rPr>
            </w:pPr>
            <w:r w:rsidRPr="008B7D28">
              <w:rPr>
                <w:rFonts w:cs="Arial"/>
                <w:sz w:val="18"/>
              </w:rPr>
              <w:t>Major/minor revision</w:t>
            </w:r>
          </w:p>
        </w:tc>
        <w:tc>
          <w:tcPr>
            <w:tcW w:w="2268" w:type="dxa"/>
          </w:tcPr>
          <w:p w14:paraId="72A6FB52"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14:paraId="0B047B51"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45FB9616"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5A746A" w14:paraId="615EFD1D" w14:textId="77777777" w:rsidTr="005A746A">
        <w:trPr>
          <w:trHeight w:val="305"/>
        </w:trPr>
        <w:tc>
          <w:tcPr>
            <w:tcW w:w="1526" w:type="dxa"/>
            <w:hideMark/>
          </w:tcPr>
          <w:p w14:paraId="3CCECFFC" w14:textId="77777777" w:rsidR="005A746A" w:rsidRDefault="005A746A">
            <w:pPr>
              <w:spacing w:after="120"/>
              <w:ind w:right="-330"/>
              <w:rPr>
                <w:rFonts w:cs="Arial"/>
                <w:sz w:val="18"/>
                <w:szCs w:val="18"/>
              </w:rPr>
            </w:pPr>
            <w:r>
              <w:rPr>
                <w:rFonts w:cs="Arial"/>
                <w:sz w:val="18"/>
                <w:szCs w:val="18"/>
              </w:rPr>
              <w:t>05/03/18</w:t>
            </w:r>
          </w:p>
        </w:tc>
        <w:tc>
          <w:tcPr>
            <w:tcW w:w="1304" w:type="dxa"/>
            <w:hideMark/>
          </w:tcPr>
          <w:p w14:paraId="650DD3E8" w14:textId="77777777" w:rsidR="005A746A" w:rsidRDefault="005A746A">
            <w:pPr>
              <w:spacing w:after="120"/>
              <w:ind w:right="-330"/>
              <w:rPr>
                <w:rFonts w:cs="Arial"/>
                <w:sz w:val="18"/>
                <w:szCs w:val="18"/>
              </w:rPr>
            </w:pPr>
            <w:r>
              <w:rPr>
                <w:rFonts w:cs="Arial"/>
                <w:sz w:val="18"/>
                <w:szCs w:val="18"/>
              </w:rPr>
              <w:t>Major</w:t>
            </w:r>
          </w:p>
        </w:tc>
        <w:tc>
          <w:tcPr>
            <w:tcW w:w="2268" w:type="dxa"/>
            <w:hideMark/>
          </w:tcPr>
          <w:p w14:paraId="5E87688F" w14:textId="77777777" w:rsidR="005A746A" w:rsidRDefault="005A746A">
            <w:pPr>
              <w:spacing w:after="120"/>
              <w:ind w:right="-330"/>
              <w:rPr>
                <w:rFonts w:cs="Arial"/>
                <w:sz w:val="18"/>
                <w:szCs w:val="18"/>
              </w:rPr>
            </w:pPr>
            <w:r>
              <w:rPr>
                <w:rFonts w:cs="Arial"/>
                <w:sz w:val="18"/>
                <w:szCs w:val="18"/>
              </w:rPr>
              <w:t>September 2018</w:t>
            </w:r>
          </w:p>
        </w:tc>
        <w:tc>
          <w:tcPr>
            <w:tcW w:w="2987" w:type="dxa"/>
            <w:hideMark/>
          </w:tcPr>
          <w:p w14:paraId="0BC32AC4" w14:textId="77777777" w:rsidR="005A746A" w:rsidRDefault="005A746A">
            <w:pPr>
              <w:spacing w:after="120"/>
              <w:ind w:right="-330"/>
              <w:rPr>
                <w:rFonts w:cs="Arial"/>
                <w:sz w:val="18"/>
                <w:szCs w:val="18"/>
              </w:rPr>
            </w:pPr>
            <w:r>
              <w:rPr>
                <w:rFonts w:cs="Arial"/>
                <w:sz w:val="18"/>
                <w:szCs w:val="18"/>
              </w:rPr>
              <w:t>13 (optional dissertation removed)</w:t>
            </w:r>
          </w:p>
        </w:tc>
        <w:tc>
          <w:tcPr>
            <w:tcW w:w="2597" w:type="dxa"/>
            <w:hideMark/>
          </w:tcPr>
          <w:p w14:paraId="594C5B7F" w14:textId="77777777" w:rsidR="005A746A" w:rsidRDefault="005A746A">
            <w:pPr>
              <w:spacing w:after="120"/>
              <w:ind w:right="-330"/>
              <w:rPr>
                <w:rFonts w:cs="Arial"/>
                <w:sz w:val="18"/>
                <w:szCs w:val="18"/>
              </w:rPr>
            </w:pPr>
            <w:r>
              <w:rPr>
                <w:rFonts w:cs="Arial"/>
                <w:sz w:val="18"/>
                <w:szCs w:val="18"/>
              </w:rPr>
              <w:t>No</w:t>
            </w:r>
          </w:p>
        </w:tc>
      </w:tr>
      <w:tr w:rsidR="002111BC" w:rsidRPr="008B7D28" w14:paraId="2142390E" w14:textId="77777777" w:rsidTr="005A746A">
        <w:trPr>
          <w:trHeight w:val="305"/>
        </w:trPr>
        <w:tc>
          <w:tcPr>
            <w:tcW w:w="1526" w:type="dxa"/>
          </w:tcPr>
          <w:p w14:paraId="3EE5C708" w14:textId="29F0FB50" w:rsidR="002111BC" w:rsidRPr="005A746A" w:rsidRDefault="002111BC" w:rsidP="002111BC">
            <w:pPr>
              <w:spacing w:after="120"/>
              <w:ind w:right="-330"/>
              <w:rPr>
                <w:rFonts w:cs="Arial"/>
                <w:sz w:val="18"/>
                <w:szCs w:val="18"/>
              </w:rPr>
            </w:pPr>
            <w:r>
              <w:rPr>
                <w:rFonts w:cs="Arial"/>
                <w:sz w:val="18"/>
              </w:rPr>
              <w:t>Sep 2020</w:t>
            </w:r>
          </w:p>
        </w:tc>
        <w:tc>
          <w:tcPr>
            <w:tcW w:w="1304" w:type="dxa"/>
          </w:tcPr>
          <w:p w14:paraId="1011653C" w14:textId="1CE5F319" w:rsidR="002111BC" w:rsidRPr="005A746A" w:rsidRDefault="002111BC" w:rsidP="002111BC">
            <w:pPr>
              <w:spacing w:after="120"/>
              <w:ind w:right="-330"/>
              <w:rPr>
                <w:rFonts w:cs="Arial"/>
                <w:sz w:val="18"/>
                <w:szCs w:val="18"/>
              </w:rPr>
            </w:pPr>
            <w:r>
              <w:rPr>
                <w:rFonts w:cs="Arial"/>
                <w:sz w:val="18"/>
              </w:rPr>
              <w:t>Minor</w:t>
            </w:r>
          </w:p>
        </w:tc>
        <w:tc>
          <w:tcPr>
            <w:tcW w:w="2268" w:type="dxa"/>
          </w:tcPr>
          <w:p w14:paraId="066574C9" w14:textId="3CABC10D" w:rsidR="002111BC" w:rsidRPr="005A746A" w:rsidRDefault="002111BC" w:rsidP="002111BC">
            <w:pPr>
              <w:spacing w:after="120"/>
              <w:ind w:right="-330"/>
              <w:rPr>
                <w:rFonts w:cs="Arial"/>
                <w:sz w:val="18"/>
                <w:szCs w:val="18"/>
              </w:rPr>
            </w:pPr>
            <w:r>
              <w:rPr>
                <w:rFonts w:cs="Arial"/>
                <w:sz w:val="18"/>
              </w:rPr>
              <w:t>September 2020</w:t>
            </w:r>
          </w:p>
        </w:tc>
        <w:tc>
          <w:tcPr>
            <w:tcW w:w="2987" w:type="dxa"/>
          </w:tcPr>
          <w:p w14:paraId="7D3DE928" w14:textId="38637658" w:rsidR="002111BC" w:rsidRPr="005A746A" w:rsidRDefault="002111BC" w:rsidP="002111BC">
            <w:pPr>
              <w:spacing w:after="120"/>
              <w:ind w:right="-330"/>
              <w:rPr>
                <w:rFonts w:cs="Arial"/>
                <w:sz w:val="18"/>
                <w:szCs w:val="18"/>
              </w:rPr>
            </w:pPr>
            <w:r>
              <w:rPr>
                <w:rFonts w:cs="Arial"/>
                <w:sz w:val="18"/>
              </w:rPr>
              <w:t>9</w:t>
            </w:r>
          </w:p>
        </w:tc>
        <w:tc>
          <w:tcPr>
            <w:tcW w:w="2597" w:type="dxa"/>
          </w:tcPr>
          <w:p w14:paraId="4B268ED4" w14:textId="10DA2E38" w:rsidR="002111BC" w:rsidRPr="005A746A" w:rsidRDefault="002111BC" w:rsidP="002111BC">
            <w:pPr>
              <w:spacing w:after="120"/>
              <w:ind w:right="-330"/>
              <w:rPr>
                <w:rFonts w:cs="Arial"/>
                <w:sz w:val="18"/>
                <w:szCs w:val="18"/>
              </w:rPr>
            </w:pPr>
            <w:r>
              <w:rPr>
                <w:rFonts w:cs="Arial"/>
                <w:sz w:val="18"/>
              </w:rPr>
              <w:t>No</w:t>
            </w:r>
          </w:p>
        </w:tc>
      </w:tr>
    </w:tbl>
    <w:p w14:paraId="04937FFE" w14:textId="77777777" w:rsidR="00D83563" w:rsidRPr="008B7D28" w:rsidRDefault="00D83563" w:rsidP="00302082">
      <w:pPr>
        <w:spacing w:after="120" w:line="240" w:lineRule="auto"/>
        <w:ind w:right="-330"/>
        <w:rPr>
          <w:rFonts w:cs="Arial"/>
        </w:rPr>
      </w:pPr>
    </w:p>
    <w:p w14:paraId="29A1E5B4" w14:textId="18D6C088"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 xml:space="preserve">Revised FSO </w:t>
      </w:r>
      <w:r w:rsidR="002111BC">
        <w:rPr>
          <w:rFonts w:cs="Arial"/>
        </w:rPr>
        <w:t>Sep 2020</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4998" w14:textId="77777777" w:rsidR="004B3016" w:rsidRDefault="004B3016" w:rsidP="009A2D37">
      <w:pPr>
        <w:spacing w:after="0" w:line="240" w:lineRule="auto"/>
      </w:pPr>
      <w:r>
        <w:separator/>
      </w:r>
    </w:p>
  </w:endnote>
  <w:endnote w:type="continuationSeparator" w:id="0">
    <w:p w14:paraId="2D929ECF" w14:textId="77777777" w:rsidR="004B3016" w:rsidRDefault="004B3016" w:rsidP="009A2D37">
      <w:pPr>
        <w:spacing w:after="0" w:line="240" w:lineRule="auto"/>
      </w:pPr>
      <w:r>
        <w:continuationSeparator/>
      </w:r>
    </w:p>
  </w:endnote>
  <w:endnote w:type="continuationNotice" w:id="1">
    <w:p w14:paraId="61E2D016" w14:textId="77777777" w:rsidR="004B3016" w:rsidRDefault="004B3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D1CF761" w14:textId="4DB81959" w:rsidR="000C7EA6" w:rsidRDefault="000C7EA6" w:rsidP="009A2D37">
        <w:pPr>
          <w:pStyle w:val="Footer"/>
          <w:jc w:val="center"/>
        </w:pPr>
        <w:r>
          <w:fldChar w:fldCharType="begin"/>
        </w:r>
        <w:r>
          <w:instrText xml:space="preserve"> PAGE   \* MERGEFORMAT </w:instrText>
        </w:r>
        <w:r>
          <w:fldChar w:fldCharType="separate"/>
        </w:r>
        <w:r w:rsidR="00CE3912">
          <w:rPr>
            <w:noProof/>
          </w:rPr>
          <w:t>2</w:t>
        </w:r>
        <w:r>
          <w:rPr>
            <w:noProof/>
          </w:rPr>
          <w:fldChar w:fldCharType="end"/>
        </w:r>
      </w:p>
    </w:sdtContent>
  </w:sdt>
  <w:p w14:paraId="0B4B27AC" w14:textId="77777777" w:rsidR="000C7EA6" w:rsidRPr="007B7724" w:rsidRDefault="000C7EA6" w:rsidP="007B7724">
    <w:pPr>
      <w:pStyle w:val="Footer"/>
      <w:spacing w:after="120"/>
      <w:ind w:right="-330"/>
      <w:rPr>
        <w:sz w:val="18"/>
      </w:rPr>
    </w:pPr>
    <w:r w:rsidRPr="007B7724">
      <w:rPr>
        <w:sz w:val="18"/>
      </w:rPr>
      <w:t>Module Specification Template</w:t>
    </w:r>
    <w:r>
      <w:rPr>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06AF" w14:textId="77777777" w:rsidR="004B3016" w:rsidRDefault="004B3016" w:rsidP="009A2D37">
      <w:pPr>
        <w:spacing w:after="0" w:line="240" w:lineRule="auto"/>
      </w:pPr>
      <w:r>
        <w:separator/>
      </w:r>
    </w:p>
  </w:footnote>
  <w:footnote w:type="continuationSeparator" w:id="0">
    <w:p w14:paraId="685C1751" w14:textId="77777777" w:rsidR="004B3016" w:rsidRDefault="004B3016" w:rsidP="009A2D37">
      <w:pPr>
        <w:spacing w:after="0" w:line="240" w:lineRule="auto"/>
      </w:pPr>
      <w:r>
        <w:continuationSeparator/>
      </w:r>
    </w:p>
  </w:footnote>
  <w:footnote w:type="continuationNotice" w:id="1">
    <w:p w14:paraId="3F441767" w14:textId="77777777" w:rsidR="004B3016" w:rsidRDefault="004B3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5CB9" w14:textId="77777777" w:rsidR="000C7EA6" w:rsidRPr="0075408A" w:rsidRDefault="000C7EA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31C38EE0" wp14:editId="364D07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w:t>
    </w:r>
  </w:p>
  <w:p w14:paraId="6E2F1F1D" w14:textId="77777777" w:rsidR="000C7EA6" w:rsidRPr="008C00F8" w:rsidRDefault="000C7EA6" w:rsidP="005E6D38">
    <w:pPr>
      <w:pStyle w:val="Heading1"/>
      <w:spacing w:before="60" w:after="60"/>
      <w:rPr>
        <w:rFonts w:ascii="Arial" w:hAnsi="Arial" w:cs="Arial"/>
      </w:rPr>
    </w:pPr>
  </w:p>
  <w:p w14:paraId="20C989C2" w14:textId="77777777" w:rsidR="000C7EA6" w:rsidRDefault="000C7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C074" w14:textId="77777777" w:rsidR="000C7EA6" w:rsidRPr="0075408A" w:rsidRDefault="000C7EA6"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4420220C" wp14:editId="1FC7071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0D0EF5D7" w14:textId="77777777" w:rsidR="000C7EA6" w:rsidRPr="000F7FBF" w:rsidRDefault="000C7E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6315"/>
    <w:multiLevelType w:val="hybridMultilevel"/>
    <w:tmpl w:val="3F38DB82"/>
    <w:lvl w:ilvl="0" w:tplc="50006D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DB11FF7"/>
    <w:multiLevelType w:val="hybridMultilevel"/>
    <w:tmpl w:val="1B40CABA"/>
    <w:lvl w:ilvl="0" w:tplc="B310FD04">
      <w:start w:val="1"/>
      <w:numFmt w:val="decimal"/>
      <w:lvlText w:val="9.%1"/>
      <w:lvlJc w:val="left"/>
      <w:pPr>
        <w:ind w:left="2700" w:hanging="360"/>
      </w:pPr>
      <w:rPr>
        <w:rFonts w:hint="default"/>
      </w:rPr>
    </w:lvl>
    <w:lvl w:ilvl="1" w:tplc="08090019">
      <w:start w:val="1"/>
      <w:numFmt w:val="lowerLetter"/>
      <w:lvlText w:val="%2."/>
      <w:lvlJc w:val="left"/>
      <w:pPr>
        <w:ind w:left="3420" w:hanging="360"/>
      </w:pPr>
    </w:lvl>
    <w:lvl w:ilvl="2" w:tplc="B310FD04">
      <w:start w:val="1"/>
      <w:numFmt w:val="decimal"/>
      <w:lvlText w:val="9.%3"/>
      <w:lvlJc w:val="left"/>
      <w:pPr>
        <w:ind w:left="4140" w:hanging="180"/>
      </w:pPr>
      <w:rPr>
        <w:rFonts w:hint="default"/>
      </w:r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7E"/>
    <w:rsid w:val="00000C8C"/>
    <w:rsid w:val="000017F2"/>
    <w:rsid w:val="0000456B"/>
    <w:rsid w:val="00005661"/>
    <w:rsid w:val="00010A16"/>
    <w:rsid w:val="0001243F"/>
    <w:rsid w:val="00021EA0"/>
    <w:rsid w:val="00025992"/>
    <w:rsid w:val="00027937"/>
    <w:rsid w:val="00030C9E"/>
    <w:rsid w:val="00031DF7"/>
    <w:rsid w:val="00031E67"/>
    <w:rsid w:val="000408CC"/>
    <w:rsid w:val="00045373"/>
    <w:rsid w:val="00063A2F"/>
    <w:rsid w:val="000678D3"/>
    <w:rsid w:val="000800CF"/>
    <w:rsid w:val="00094810"/>
    <w:rsid w:val="00096DA4"/>
    <w:rsid w:val="000B58FD"/>
    <w:rsid w:val="000C0294"/>
    <w:rsid w:val="000C7A1C"/>
    <w:rsid w:val="000C7EA6"/>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11BC"/>
    <w:rsid w:val="0021578E"/>
    <w:rsid w:val="0021580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223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0EC"/>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016"/>
    <w:rsid w:val="004B5D03"/>
    <w:rsid w:val="004C1EC4"/>
    <w:rsid w:val="004D035C"/>
    <w:rsid w:val="004F3C18"/>
    <w:rsid w:val="004F4328"/>
    <w:rsid w:val="005005E4"/>
    <w:rsid w:val="00513689"/>
    <w:rsid w:val="0051375A"/>
    <w:rsid w:val="00521097"/>
    <w:rsid w:val="0053059E"/>
    <w:rsid w:val="00532F6F"/>
    <w:rsid w:val="00533663"/>
    <w:rsid w:val="005460C2"/>
    <w:rsid w:val="00547644"/>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46A"/>
    <w:rsid w:val="005B5A98"/>
    <w:rsid w:val="005C1A4F"/>
    <w:rsid w:val="005C27D7"/>
    <w:rsid w:val="005D7CD0"/>
    <w:rsid w:val="005E1A3A"/>
    <w:rsid w:val="005E6ADC"/>
    <w:rsid w:val="005E6D10"/>
    <w:rsid w:val="005E6D38"/>
    <w:rsid w:val="005E7B3F"/>
    <w:rsid w:val="005F040F"/>
    <w:rsid w:val="005F2C42"/>
    <w:rsid w:val="006043FC"/>
    <w:rsid w:val="0060457E"/>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1F2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6B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9E6"/>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3912"/>
    <w:rsid w:val="00CE4574"/>
    <w:rsid w:val="00CE70E6"/>
    <w:rsid w:val="00CF2E1E"/>
    <w:rsid w:val="00D02E99"/>
    <w:rsid w:val="00D13357"/>
    <w:rsid w:val="00D13A13"/>
    <w:rsid w:val="00D2689A"/>
    <w:rsid w:val="00D46199"/>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01E1A"/>
    <w:rsid w:val="00F116CE"/>
    <w:rsid w:val="00F176DE"/>
    <w:rsid w:val="00F21C47"/>
    <w:rsid w:val="00F21E99"/>
    <w:rsid w:val="00F244E2"/>
    <w:rsid w:val="00F24F9D"/>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9469DB"/>
  <w15:docId w15:val="{EDEA0EDD-5B8A-4D44-828E-A750553E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701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715041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BECDD-E286-43D8-B8B9-67DB90920AAE}">
  <ds:schemaRefs>
    <ds:schemaRef ds:uri="http://schemas.openxmlformats.org/officeDocument/2006/bibliography"/>
  </ds:schemaRefs>
</ds:datastoreItem>
</file>

<file path=customXml/itemProps2.xml><?xml version="1.0" encoding="utf-8"?>
<ds:datastoreItem xmlns:ds="http://schemas.openxmlformats.org/officeDocument/2006/customXml" ds:itemID="{601F9E34-2388-4910-8FAE-E33605D8DDE4}"/>
</file>

<file path=customXml/itemProps3.xml><?xml version="1.0" encoding="utf-8"?>
<ds:datastoreItem xmlns:ds="http://schemas.openxmlformats.org/officeDocument/2006/customXml" ds:itemID="{DFCF3CD2-172D-4989-B007-A1C940F38165}"/>
</file>

<file path=customXml/itemProps4.xml><?xml version="1.0" encoding="utf-8"?>
<ds:datastoreItem xmlns:ds="http://schemas.openxmlformats.org/officeDocument/2006/customXml" ds:itemID="{2ECC1B65-6543-4720-8A1B-EB1CBFC3CB16}"/>
</file>

<file path=docProps/app.xml><?xml version="1.0" encoding="utf-8"?>
<Properties xmlns="http://schemas.openxmlformats.org/officeDocument/2006/extended-properties" xmlns:vt="http://schemas.openxmlformats.org/officeDocument/2006/docPropsVTypes">
  <Template>Title of the module</Template>
  <TotalTime>23</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Laura Dack</cp:lastModifiedBy>
  <cp:revision>4</cp:revision>
  <cp:lastPrinted>2015-09-09T08:37:00Z</cp:lastPrinted>
  <dcterms:created xsi:type="dcterms:W3CDTF">2020-07-28T13:33:00Z</dcterms:created>
  <dcterms:modified xsi:type="dcterms:W3CDTF">2020-09-09T15:18:00Z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