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rsidR="009A2D37" w:rsidRPr="008B7D28" w:rsidRDefault="0012737B" w:rsidP="00696FF5">
      <w:pPr>
        <w:spacing w:after="120" w:line="240" w:lineRule="auto"/>
        <w:ind w:left="567" w:right="260"/>
        <w:jc w:val="both"/>
        <w:rPr>
          <w:rFonts w:cs="Arial"/>
          <w:iCs/>
        </w:rPr>
      </w:pPr>
      <w:r>
        <w:rPr>
          <w:rFonts w:cs="Arial"/>
        </w:rPr>
        <w:t>ENGL6040 (EN604)</w:t>
      </w:r>
      <w:r w:rsidRPr="00FE6675">
        <w:rPr>
          <w:rFonts w:cs="Arial"/>
          <w:b/>
        </w:rPr>
        <w:t xml:space="preserve">: </w:t>
      </w:r>
      <w:r w:rsidRPr="00FE6675">
        <w:rPr>
          <w:rFonts w:cs="Arial"/>
        </w:rPr>
        <w:t>The Unknown: Reading and Writing</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rsidR="009A2D37" w:rsidRPr="00BA42AF" w:rsidRDefault="00BA42AF" w:rsidP="00696FF5">
      <w:pPr>
        <w:spacing w:after="120" w:line="240" w:lineRule="auto"/>
        <w:ind w:left="567" w:right="260"/>
        <w:jc w:val="both"/>
        <w:rPr>
          <w:rFonts w:cs="Arial"/>
        </w:rPr>
      </w:pPr>
      <w:r w:rsidRPr="00BA42AF">
        <w:rPr>
          <w:rFonts w:cs="Arial"/>
        </w:rPr>
        <w:t>Level 6</w:t>
      </w:r>
      <w:r w:rsidR="009A2D37" w:rsidRPr="00BA42AF">
        <w:rPr>
          <w:rFonts w:cs="Arial"/>
        </w:rPr>
        <w:t xml:space="preserve"> </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rsidR="009A2D37" w:rsidRPr="008B7D28" w:rsidRDefault="009A2D37" w:rsidP="00696FF5">
      <w:pPr>
        <w:spacing w:after="120" w:line="240" w:lineRule="auto"/>
        <w:ind w:left="567" w:right="260"/>
        <w:jc w:val="both"/>
        <w:rPr>
          <w:rFonts w:cs="Arial"/>
          <w:iCs/>
        </w:rPr>
      </w:pPr>
      <w:r w:rsidRPr="0012737B">
        <w:rPr>
          <w:rFonts w:cs="Arial"/>
          <w:iCs/>
        </w:rPr>
        <w:t xml:space="preserve">Autumn or </w:t>
      </w:r>
      <w:proofErr w:type="gramStart"/>
      <w:r w:rsidRPr="0012737B">
        <w:rPr>
          <w:rFonts w:cs="Arial"/>
          <w:iCs/>
        </w:rPr>
        <w:t>Spring</w:t>
      </w:r>
      <w:proofErr w:type="gramEnd"/>
    </w:p>
    <w:p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rsidR="008B7D28" w:rsidRPr="008B7D28" w:rsidRDefault="008B7D28" w:rsidP="008B7D28">
      <w:pPr>
        <w:spacing w:after="120" w:line="240" w:lineRule="auto"/>
        <w:ind w:left="567" w:right="260"/>
        <w:jc w:val="both"/>
        <w:rPr>
          <w:rFonts w:cs="Arial"/>
        </w:rPr>
      </w:pPr>
      <w:r w:rsidRPr="008B7D28">
        <w:rPr>
          <w:rFonts w:cs="Arial"/>
        </w:rPr>
        <w:t>None</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rsidR="00B9109B" w:rsidRPr="008B7D28" w:rsidRDefault="0012737B" w:rsidP="00696FF5">
      <w:pPr>
        <w:spacing w:after="120" w:line="240" w:lineRule="auto"/>
        <w:ind w:left="567" w:right="260"/>
        <w:rPr>
          <w:rFonts w:cs="Arial"/>
          <w:iCs/>
        </w:rPr>
      </w:pPr>
      <w:r w:rsidRPr="00FE6675">
        <w:rPr>
          <w:rFonts w:cs="Arial"/>
          <w:iCs/>
        </w:rPr>
        <w:t xml:space="preserve">BA in: English and American Literature; English, American and Postcolonial Literatures; English and American Literature </w:t>
      </w:r>
      <w:r>
        <w:rPr>
          <w:rFonts w:cs="Arial"/>
          <w:iCs/>
        </w:rPr>
        <w:t>and Creative Writing, Contemporary Literature</w:t>
      </w:r>
    </w:p>
    <w:p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rsidR="0012737B" w:rsidRPr="0012737B" w:rsidRDefault="0012737B" w:rsidP="0012737B">
      <w:pPr>
        <w:spacing w:after="120" w:line="240" w:lineRule="auto"/>
        <w:ind w:left="540" w:right="260" w:hanging="540"/>
        <w:rPr>
          <w:rFonts w:cs="Arial"/>
          <w:iCs/>
        </w:rPr>
      </w:pPr>
      <w:r w:rsidRPr="0012737B">
        <w:rPr>
          <w:rFonts w:cs="Arial"/>
          <w:iCs/>
        </w:rPr>
        <w:t>8.1</w:t>
      </w:r>
      <w:r w:rsidRPr="0012737B">
        <w:rPr>
          <w:rFonts w:cs="Arial"/>
          <w:iCs/>
        </w:rPr>
        <w:tab/>
        <w:t xml:space="preserve">demonstrate wide-ranging knowledge of writings about the unknown;  </w:t>
      </w:r>
    </w:p>
    <w:p w:rsidR="0012737B" w:rsidRPr="0012737B" w:rsidRDefault="0012737B" w:rsidP="0012737B">
      <w:pPr>
        <w:spacing w:after="120" w:line="240" w:lineRule="auto"/>
        <w:ind w:left="540" w:right="260" w:hanging="540"/>
        <w:rPr>
          <w:rFonts w:cs="Arial"/>
          <w:iCs/>
        </w:rPr>
      </w:pPr>
      <w:r w:rsidRPr="0012737B">
        <w:rPr>
          <w:rFonts w:cs="Arial"/>
          <w:iCs/>
        </w:rPr>
        <w:t>8.2</w:t>
      </w:r>
      <w:r w:rsidRPr="0012737B">
        <w:rPr>
          <w:rFonts w:cs="Arial"/>
          <w:iCs/>
        </w:rPr>
        <w:tab/>
        <w:t>demonstrate an ability to relate the unknown to various forms of knowledge;</w:t>
      </w:r>
    </w:p>
    <w:p w:rsidR="0012737B" w:rsidRPr="0012737B" w:rsidRDefault="0012737B" w:rsidP="0012737B">
      <w:pPr>
        <w:spacing w:after="120" w:line="240" w:lineRule="auto"/>
        <w:ind w:left="540" w:right="260" w:hanging="540"/>
        <w:rPr>
          <w:rFonts w:cs="Arial"/>
          <w:iCs/>
        </w:rPr>
      </w:pPr>
      <w:r w:rsidRPr="0012737B">
        <w:rPr>
          <w:rFonts w:cs="Arial"/>
          <w:iCs/>
        </w:rPr>
        <w:t>8.3</w:t>
      </w:r>
      <w:r w:rsidRPr="0012737B">
        <w:rPr>
          <w:rFonts w:cs="Arial"/>
          <w:iCs/>
        </w:rPr>
        <w:tab/>
        <w:t>demonstrate sophisticated analytic skills, including close textual analysis;</w:t>
      </w:r>
    </w:p>
    <w:p w:rsidR="0012737B" w:rsidRPr="0012737B" w:rsidRDefault="0012737B" w:rsidP="0012737B">
      <w:pPr>
        <w:spacing w:after="120" w:line="240" w:lineRule="auto"/>
        <w:ind w:left="540" w:right="260" w:hanging="540"/>
        <w:rPr>
          <w:rFonts w:cs="Arial"/>
          <w:iCs/>
        </w:rPr>
      </w:pPr>
      <w:r w:rsidRPr="0012737B">
        <w:rPr>
          <w:rFonts w:cs="Arial"/>
          <w:iCs/>
        </w:rPr>
        <w:t>8.4</w:t>
      </w:r>
      <w:r w:rsidRPr="0012737B">
        <w:rPr>
          <w:rFonts w:cs="Arial"/>
          <w:iCs/>
        </w:rPr>
        <w:tab/>
        <w:t xml:space="preserve">demonstrate a thorough understanding of critical and creative approaches to writing; </w:t>
      </w:r>
    </w:p>
    <w:p w:rsidR="0012737B" w:rsidRPr="0012737B" w:rsidRDefault="0012737B" w:rsidP="0012737B">
      <w:pPr>
        <w:spacing w:after="120" w:line="240" w:lineRule="auto"/>
        <w:ind w:left="540" w:right="260" w:hanging="540"/>
        <w:rPr>
          <w:rFonts w:cs="Arial"/>
          <w:iCs/>
        </w:rPr>
      </w:pPr>
      <w:r w:rsidRPr="0012737B">
        <w:rPr>
          <w:rFonts w:cs="Arial"/>
          <w:iCs/>
        </w:rPr>
        <w:t>8.5</w:t>
      </w:r>
      <w:r w:rsidRPr="0012737B">
        <w:rPr>
          <w:rFonts w:cs="Arial"/>
          <w:iCs/>
        </w:rPr>
        <w:tab/>
        <w:t>demonstrate an understanding of some of creative criticism’s effects in the wider context of literature, criticism and theory</w:t>
      </w:r>
    </w:p>
    <w:p w:rsidR="009A2D37" w:rsidRPr="008B7D28" w:rsidRDefault="0012737B" w:rsidP="0012737B">
      <w:pPr>
        <w:spacing w:after="120" w:line="240" w:lineRule="auto"/>
        <w:ind w:left="540" w:right="260" w:hanging="540"/>
        <w:rPr>
          <w:rFonts w:cs="Arial"/>
        </w:rPr>
      </w:pPr>
      <w:r w:rsidRPr="0012737B">
        <w:rPr>
          <w:rFonts w:cs="Arial"/>
          <w:iCs/>
        </w:rPr>
        <w:t>8.6</w:t>
      </w:r>
      <w:r w:rsidRPr="0012737B">
        <w:rPr>
          <w:rFonts w:cs="Arial"/>
          <w:iCs/>
        </w:rPr>
        <w:tab/>
        <w:t>demonstrate a capacity for creative and inventive use of language</w:t>
      </w:r>
    </w:p>
    <w:p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rsidR="0012737B" w:rsidRPr="0012737B" w:rsidRDefault="0012737B" w:rsidP="0012737B">
      <w:pPr>
        <w:spacing w:after="120" w:line="240" w:lineRule="auto"/>
        <w:ind w:left="540" w:right="260" w:hanging="540"/>
        <w:jc w:val="both"/>
        <w:rPr>
          <w:rFonts w:cs="Arial"/>
        </w:rPr>
      </w:pPr>
      <w:r w:rsidRPr="0012737B">
        <w:rPr>
          <w:rFonts w:cs="Arial"/>
        </w:rPr>
        <w:t>9.1</w:t>
      </w:r>
      <w:r w:rsidRPr="0012737B">
        <w:rPr>
          <w:rFonts w:cs="Arial"/>
        </w:rPr>
        <w:tab/>
        <w:t xml:space="preserve">apply sophisticated close reading techniques to a range of literary and theoretical texts and to make productive and complex comparisons between them; </w:t>
      </w:r>
    </w:p>
    <w:p w:rsidR="0012737B" w:rsidRPr="0012737B" w:rsidRDefault="0012737B" w:rsidP="0012737B">
      <w:pPr>
        <w:spacing w:after="120" w:line="240" w:lineRule="auto"/>
        <w:ind w:left="540" w:right="260" w:hanging="540"/>
        <w:jc w:val="both"/>
        <w:rPr>
          <w:rFonts w:cs="Arial"/>
        </w:rPr>
      </w:pPr>
      <w:r w:rsidRPr="0012737B">
        <w:rPr>
          <w:rFonts w:cs="Arial"/>
        </w:rPr>
        <w:t>9.2</w:t>
      </w:r>
      <w:r w:rsidRPr="0012737B">
        <w:rPr>
          <w:rFonts w:cs="Arial"/>
        </w:rPr>
        <w:tab/>
        <w:t xml:space="preserve">display strong presentation skills and an ability to actively participate in group discussions; </w:t>
      </w:r>
    </w:p>
    <w:p w:rsidR="0012737B" w:rsidRPr="0012737B" w:rsidRDefault="0012737B" w:rsidP="0012737B">
      <w:pPr>
        <w:spacing w:after="120" w:line="240" w:lineRule="auto"/>
        <w:ind w:left="540" w:right="260" w:hanging="540"/>
        <w:jc w:val="both"/>
        <w:rPr>
          <w:rFonts w:cs="Arial"/>
        </w:rPr>
      </w:pPr>
      <w:r w:rsidRPr="0012737B">
        <w:rPr>
          <w:rFonts w:cs="Arial"/>
        </w:rPr>
        <w:t>9.3</w:t>
      </w:r>
      <w:r w:rsidRPr="0012737B">
        <w:rPr>
          <w:rFonts w:cs="Arial"/>
        </w:rPr>
        <w:tab/>
        <w:t>show an increased capacity for self-directed research and the ability to discuss, evaluate and creatively deploy creative, critical and theoretical perspectives making use of appropriate sources;</w:t>
      </w:r>
    </w:p>
    <w:p w:rsidR="009A2D37" w:rsidRDefault="0012737B" w:rsidP="0012737B">
      <w:pPr>
        <w:spacing w:after="120" w:line="240" w:lineRule="auto"/>
        <w:ind w:left="540" w:right="260" w:hanging="540"/>
        <w:jc w:val="both"/>
        <w:rPr>
          <w:rFonts w:cs="Arial"/>
        </w:rPr>
      </w:pPr>
      <w:r w:rsidRPr="0012737B">
        <w:rPr>
          <w:rFonts w:cs="Arial"/>
        </w:rPr>
        <w:t>9.4</w:t>
      </w:r>
      <w:r w:rsidRPr="0012737B">
        <w:rPr>
          <w:rFonts w:cs="Arial"/>
        </w:rPr>
        <w:tab/>
        <w:t>frame and identify appropriate research questions and to construct original, clear and well-substantiated arguments.</w:t>
      </w:r>
      <w:r w:rsidR="009A2D37" w:rsidRPr="008B7D28">
        <w:rPr>
          <w:rFonts w:cs="Arial"/>
        </w:rPr>
        <w:t xml:space="preserve"> </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A synopsis of the curriculum</w:t>
      </w:r>
    </w:p>
    <w:p w:rsidR="00C57028" w:rsidRPr="008B7D28" w:rsidRDefault="0012737B" w:rsidP="00696FF5">
      <w:pPr>
        <w:spacing w:after="120" w:line="240" w:lineRule="auto"/>
        <w:ind w:left="567" w:right="260"/>
        <w:jc w:val="both"/>
        <w:rPr>
          <w:rFonts w:cs="Arial"/>
          <w:iCs/>
        </w:rPr>
      </w:pPr>
      <w:r w:rsidRPr="00FE6675">
        <w:rPr>
          <w:rFonts w:cs="Arial"/>
          <w:iCs/>
        </w:rPr>
        <w:t>The Unknown asks you to think creatively and analytically and to learn by a combination of careful reading and experimental writing. You will be able to read a variety of important literary and critical texts</w:t>
      </w:r>
      <w:r>
        <w:rPr>
          <w:rFonts w:cs="Arial"/>
          <w:iCs/>
        </w:rPr>
        <w:t xml:space="preserve"> </w:t>
      </w:r>
      <w:r w:rsidRPr="00A377A4">
        <w:rPr>
          <w:rFonts w:cs="Arial"/>
        </w:rPr>
        <w:t xml:space="preserve">published over the last 200 years – mostly in the last 50 </w:t>
      </w:r>
      <w:r w:rsidRPr="007D4811">
        <w:rPr>
          <w:rFonts w:cs="Arial"/>
        </w:rPr>
        <w:t>years.</w:t>
      </w:r>
      <w:r w:rsidRPr="00FE6675">
        <w:rPr>
          <w:rFonts w:cs="Arial"/>
          <w:iCs/>
        </w:rPr>
        <w:t xml:space="preserve"> </w:t>
      </w:r>
      <w:r>
        <w:rPr>
          <w:rFonts w:cs="Arial"/>
          <w:iCs/>
        </w:rPr>
        <w:t xml:space="preserve"> You will be asked to </w:t>
      </w:r>
      <w:r w:rsidRPr="00FE6675">
        <w:rPr>
          <w:rFonts w:cs="Arial"/>
          <w:iCs/>
        </w:rPr>
        <w:t>use the skills of critical analysis and close reading developed elsewhere in your degree in new ways and to take a fresh look at the study of literature. The course draws on the ideas writers have about writing, as well as on psychoanalysis, literary theory, fiction, poetry, drama and film. It asks you to think deeply about how, and why, you read and write</w:t>
      </w:r>
      <w:r>
        <w:rPr>
          <w:rFonts w:cs="Arial"/>
          <w:iCs/>
        </w:rPr>
        <w:t>.</w:t>
      </w:r>
      <w:r w:rsidR="00C57028" w:rsidRPr="008B7D28">
        <w:rPr>
          <w:rFonts w:cs="Arial"/>
          <w:iCs/>
        </w:rPr>
        <w:t xml:space="preserve"> </w:t>
      </w:r>
    </w:p>
    <w:p w:rsidR="008042AA" w:rsidRDefault="008042AA">
      <w:pPr>
        <w:rPr>
          <w:rFonts w:cs="Arial"/>
          <w:b/>
        </w:rPr>
      </w:pPr>
      <w:r>
        <w:rPr>
          <w:rFonts w:cs="Arial"/>
          <w:b/>
        </w:rPr>
        <w:br w:type="page"/>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lastRenderedPageBreak/>
        <w:t>Reading l</w:t>
      </w:r>
      <w:r w:rsidR="009A2D37" w:rsidRPr="008B7D28">
        <w:rPr>
          <w:rFonts w:cs="Arial"/>
          <w:b/>
        </w:rPr>
        <w:t xml:space="preserve">ist </w:t>
      </w:r>
      <w:r w:rsidR="00274ED7" w:rsidRPr="008B7D28">
        <w:rPr>
          <w:rFonts w:cs="Arial"/>
          <w:b/>
        </w:rPr>
        <w:t>(Indicative list, current at time of publication. Reading lists will be published annually)</w:t>
      </w:r>
    </w:p>
    <w:p w:rsidR="0012737B" w:rsidRPr="0012737B" w:rsidRDefault="0012737B" w:rsidP="0012737B">
      <w:pPr>
        <w:spacing w:after="120" w:line="240" w:lineRule="auto"/>
        <w:ind w:left="567" w:right="260"/>
        <w:jc w:val="both"/>
        <w:rPr>
          <w:rFonts w:cs="Arial"/>
        </w:rPr>
      </w:pPr>
      <w:r w:rsidRPr="0012737B">
        <w:rPr>
          <w:rFonts w:cs="Arial"/>
        </w:rPr>
        <w:t>Dyer, G. (2012), ‘Hotel Oblivion’ from Yoga for People Who Can’t Be Bothered to Do It. Canongate. Edinburgh.</w:t>
      </w:r>
    </w:p>
    <w:p w:rsidR="0012737B" w:rsidRPr="0012737B" w:rsidRDefault="0012737B" w:rsidP="0012737B">
      <w:pPr>
        <w:spacing w:after="120" w:line="240" w:lineRule="auto"/>
        <w:ind w:left="567" w:right="260"/>
        <w:jc w:val="both"/>
        <w:rPr>
          <w:rFonts w:cs="Arial"/>
        </w:rPr>
      </w:pPr>
      <w:r w:rsidRPr="0012737B">
        <w:rPr>
          <w:rFonts w:cs="Arial"/>
        </w:rPr>
        <w:t xml:space="preserve">Smith, A. (2016), ‘The Detainee’s Tale’ (2016) from Refugee Tales. </w:t>
      </w:r>
      <w:proofErr w:type="gramStart"/>
      <w:r w:rsidRPr="0012737B">
        <w:rPr>
          <w:rFonts w:cs="Arial"/>
        </w:rPr>
        <w:t>ed</w:t>
      </w:r>
      <w:proofErr w:type="gramEnd"/>
      <w:r w:rsidRPr="0012737B">
        <w:rPr>
          <w:rFonts w:cs="Arial"/>
        </w:rPr>
        <w:t xml:space="preserve">. David Herd and Anna </w:t>
      </w:r>
      <w:proofErr w:type="spellStart"/>
      <w:r w:rsidRPr="0012737B">
        <w:rPr>
          <w:rFonts w:cs="Arial"/>
        </w:rPr>
        <w:t>Pincus</w:t>
      </w:r>
      <w:proofErr w:type="spellEnd"/>
      <w:r w:rsidRPr="0012737B">
        <w:rPr>
          <w:rFonts w:cs="Arial"/>
        </w:rPr>
        <w:t>. Comma Press. Kent.</w:t>
      </w:r>
    </w:p>
    <w:p w:rsidR="0012737B" w:rsidRPr="0012737B" w:rsidRDefault="0012737B" w:rsidP="0012737B">
      <w:pPr>
        <w:spacing w:after="120" w:line="240" w:lineRule="auto"/>
        <w:ind w:left="567" w:right="260"/>
        <w:jc w:val="both"/>
        <w:rPr>
          <w:rFonts w:cs="Arial"/>
        </w:rPr>
      </w:pPr>
      <w:proofErr w:type="spellStart"/>
      <w:r w:rsidRPr="0012737B">
        <w:rPr>
          <w:rFonts w:cs="Arial"/>
        </w:rPr>
        <w:t>Cixous</w:t>
      </w:r>
      <w:proofErr w:type="spellEnd"/>
      <w:r w:rsidRPr="0012737B">
        <w:rPr>
          <w:rFonts w:cs="Arial"/>
        </w:rPr>
        <w:t xml:space="preserve"> H. [2003], (2013</w:t>
      </w:r>
      <w:proofErr w:type="gramStart"/>
      <w:r w:rsidRPr="0012737B">
        <w:rPr>
          <w:rFonts w:cs="Arial"/>
        </w:rPr>
        <w:t>)‘A</w:t>
      </w:r>
      <w:proofErr w:type="gramEnd"/>
      <w:r w:rsidRPr="0012737B">
        <w:rPr>
          <w:rFonts w:cs="Arial"/>
        </w:rPr>
        <w:t xml:space="preserve"> Refugee’ from The Animal Question in Deconstruction, ed. Lynn Turner. Edinburgh University Press. Edinburgh.</w:t>
      </w:r>
    </w:p>
    <w:p w:rsidR="0012737B" w:rsidRPr="0012737B" w:rsidRDefault="0012737B" w:rsidP="0012737B">
      <w:pPr>
        <w:spacing w:after="120" w:line="240" w:lineRule="auto"/>
        <w:ind w:left="567" w:right="260"/>
        <w:jc w:val="both"/>
        <w:rPr>
          <w:rFonts w:cs="Arial"/>
        </w:rPr>
      </w:pPr>
      <w:r w:rsidRPr="0012737B">
        <w:rPr>
          <w:rFonts w:cs="Arial"/>
        </w:rPr>
        <w:t xml:space="preserve">Bennett, A. and N. </w:t>
      </w:r>
      <w:proofErr w:type="spellStart"/>
      <w:r w:rsidRPr="0012737B">
        <w:rPr>
          <w:rFonts w:cs="Arial"/>
        </w:rPr>
        <w:t>Royle</w:t>
      </w:r>
      <w:proofErr w:type="spellEnd"/>
      <w:r w:rsidRPr="0012737B">
        <w:rPr>
          <w:rFonts w:cs="Arial"/>
        </w:rPr>
        <w:t xml:space="preserve"> (2016) ‘Creative Writing’ from </w:t>
      </w:r>
      <w:proofErr w:type="gramStart"/>
      <w:r w:rsidRPr="0012737B">
        <w:rPr>
          <w:rFonts w:cs="Arial"/>
        </w:rPr>
        <w:t>An</w:t>
      </w:r>
      <w:proofErr w:type="gramEnd"/>
      <w:r w:rsidRPr="0012737B">
        <w:rPr>
          <w:rFonts w:cs="Arial"/>
        </w:rPr>
        <w:t xml:space="preserve"> Introduction to Literature, Literature, Criticism and Theory. Routledge. London.</w:t>
      </w:r>
    </w:p>
    <w:p w:rsidR="009A2D37" w:rsidRDefault="0012737B" w:rsidP="0012737B">
      <w:pPr>
        <w:spacing w:after="120" w:line="240" w:lineRule="auto"/>
        <w:ind w:left="567" w:right="260"/>
        <w:jc w:val="both"/>
        <w:rPr>
          <w:rFonts w:cs="Arial"/>
        </w:rPr>
      </w:pPr>
      <w:r w:rsidRPr="0012737B">
        <w:rPr>
          <w:rFonts w:cs="Arial"/>
        </w:rPr>
        <w:t>Derrida, J. [1988] ‘“</w:t>
      </w:r>
      <w:proofErr w:type="spellStart"/>
      <w:r w:rsidRPr="0012737B">
        <w:rPr>
          <w:rFonts w:cs="Arial"/>
        </w:rPr>
        <w:t>Che</w:t>
      </w:r>
      <w:proofErr w:type="spellEnd"/>
      <w:r w:rsidRPr="0012737B">
        <w:rPr>
          <w:rFonts w:cs="Arial"/>
        </w:rPr>
        <w:t xml:space="preserve"> </w:t>
      </w:r>
      <w:proofErr w:type="spellStart"/>
      <w:r w:rsidRPr="0012737B">
        <w:rPr>
          <w:rFonts w:cs="Arial"/>
        </w:rPr>
        <w:t>cos’è</w:t>
      </w:r>
      <w:proofErr w:type="spellEnd"/>
      <w:r w:rsidRPr="0012737B">
        <w:rPr>
          <w:rFonts w:cs="Arial"/>
        </w:rPr>
        <w:t xml:space="preserve"> la </w:t>
      </w:r>
      <w:proofErr w:type="spellStart"/>
      <w:r w:rsidRPr="0012737B">
        <w:rPr>
          <w:rFonts w:cs="Arial"/>
        </w:rPr>
        <w:t>poesia</w:t>
      </w:r>
      <w:proofErr w:type="spellEnd"/>
      <w:r w:rsidRPr="0012737B">
        <w:rPr>
          <w:rFonts w:cs="Arial"/>
        </w:rPr>
        <w:t xml:space="preserve">?” [“What is poetry?”]’ </w:t>
      </w:r>
      <w:proofErr w:type="gramStart"/>
      <w:r w:rsidRPr="0012737B">
        <w:rPr>
          <w:rFonts w:cs="Arial"/>
        </w:rPr>
        <w:t>from</w:t>
      </w:r>
      <w:proofErr w:type="gramEnd"/>
      <w:r w:rsidRPr="0012737B">
        <w:rPr>
          <w:rFonts w:cs="Arial"/>
        </w:rPr>
        <w:t xml:space="preserve"> Between the Blinds: A Derrida Reader, ed. Peggy </w:t>
      </w:r>
      <w:proofErr w:type="spellStart"/>
      <w:r w:rsidRPr="0012737B">
        <w:rPr>
          <w:rFonts w:cs="Arial"/>
        </w:rPr>
        <w:t>Kamuf</w:t>
      </w:r>
      <w:proofErr w:type="spellEnd"/>
      <w:r w:rsidRPr="0012737B">
        <w:rPr>
          <w:rFonts w:cs="Arial"/>
        </w:rPr>
        <w:t>. Columbia University Press. New York.</w:t>
      </w:r>
    </w:p>
    <w:p w:rsidR="00FD3A16" w:rsidRPr="008B7D28" w:rsidRDefault="00FD3A16" w:rsidP="0012737B">
      <w:pPr>
        <w:spacing w:after="120" w:line="240" w:lineRule="auto"/>
        <w:ind w:left="567" w:right="260"/>
        <w:jc w:val="both"/>
        <w:rPr>
          <w:rFonts w:cs="Arial"/>
        </w:rPr>
      </w:pPr>
    </w:p>
    <w:p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12737B">
        <w:rPr>
          <w:rFonts w:cs="Arial"/>
          <w:iCs/>
        </w:rPr>
        <w:t>30</w:t>
      </w:r>
    </w:p>
    <w:p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12737B">
        <w:rPr>
          <w:rFonts w:cs="Arial"/>
          <w:iCs/>
        </w:rPr>
        <w:t>270</w:t>
      </w:r>
    </w:p>
    <w:p w:rsidR="00C570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12737B">
        <w:rPr>
          <w:rFonts w:cs="Arial"/>
          <w:iCs/>
        </w:rPr>
        <w:t>300</w:t>
      </w:r>
    </w:p>
    <w:p w:rsidR="00FD3A16" w:rsidRPr="008B7D28" w:rsidRDefault="00FD3A16" w:rsidP="00C57028">
      <w:pPr>
        <w:spacing w:after="120" w:line="240" w:lineRule="auto"/>
        <w:ind w:left="567" w:right="260"/>
        <w:jc w:val="both"/>
        <w:rPr>
          <w:rFonts w:cs="Arial"/>
          <w:iCs/>
        </w:rPr>
      </w:pPr>
    </w:p>
    <w:p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rsidR="0012737B" w:rsidRDefault="0012737B">
      <w:pPr>
        <w:spacing w:after="120" w:line="240" w:lineRule="auto"/>
        <w:ind w:left="567" w:right="260"/>
        <w:rPr>
          <w:rFonts w:cs="Arial"/>
          <w:iCs/>
        </w:rPr>
      </w:pPr>
      <w:r>
        <w:rPr>
          <w:rFonts w:cs="Arial"/>
          <w:iCs/>
        </w:rPr>
        <w:t>T</w:t>
      </w:r>
      <w:r w:rsidRPr="002638EE">
        <w:rPr>
          <w:rFonts w:cs="Arial"/>
          <w:iCs/>
        </w:rPr>
        <w:t xml:space="preserve">wo pieces of writing </w:t>
      </w:r>
      <w:r>
        <w:rPr>
          <w:rFonts w:cs="Arial"/>
          <w:iCs/>
        </w:rPr>
        <w:tab/>
      </w:r>
      <w:r>
        <w:rPr>
          <w:rFonts w:cs="Arial"/>
          <w:iCs/>
        </w:rPr>
        <w:tab/>
        <w:t>6,0</w:t>
      </w:r>
      <w:r w:rsidRPr="002638EE">
        <w:rPr>
          <w:rFonts w:cs="Arial"/>
          <w:iCs/>
        </w:rPr>
        <w:t>00 words</w:t>
      </w:r>
      <w:r>
        <w:rPr>
          <w:rFonts w:cs="Arial"/>
          <w:iCs/>
        </w:rPr>
        <w:tab/>
      </w:r>
      <w:r>
        <w:rPr>
          <w:rFonts w:cs="Arial"/>
          <w:iCs/>
        </w:rPr>
        <w:tab/>
      </w:r>
      <w:r>
        <w:rPr>
          <w:rFonts w:cs="Arial"/>
          <w:iCs/>
        </w:rPr>
        <w:tab/>
      </w:r>
      <w:r>
        <w:rPr>
          <w:rFonts w:cs="Arial"/>
          <w:iCs/>
        </w:rPr>
        <w:tab/>
      </w:r>
      <w:r>
        <w:rPr>
          <w:rFonts w:cs="Arial"/>
          <w:iCs/>
        </w:rPr>
        <w:tab/>
      </w:r>
      <w:r w:rsidRPr="002638EE">
        <w:rPr>
          <w:rFonts w:cs="Arial"/>
          <w:iCs/>
        </w:rPr>
        <w:t>90%</w:t>
      </w:r>
    </w:p>
    <w:p w:rsidR="0012737B" w:rsidRDefault="0012737B">
      <w:pPr>
        <w:spacing w:after="120" w:line="240" w:lineRule="auto"/>
        <w:ind w:left="567" w:right="260"/>
        <w:rPr>
          <w:rFonts w:cs="Arial"/>
          <w:iCs/>
        </w:rPr>
      </w:pPr>
      <w:r>
        <w:rPr>
          <w:rFonts w:cs="Arial"/>
          <w:iCs/>
        </w:rPr>
        <w:t>S</w:t>
      </w:r>
      <w:r w:rsidRPr="002638EE">
        <w:rPr>
          <w:rFonts w:cs="Arial"/>
          <w:iCs/>
        </w:rPr>
        <w:t>eminar performance</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10%</w:t>
      </w:r>
    </w:p>
    <w:p w:rsidR="00FD3A16" w:rsidRDefault="00FD3A16">
      <w:pPr>
        <w:spacing w:after="120" w:line="240" w:lineRule="auto"/>
        <w:ind w:left="567" w:right="260"/>
        <w:rPr>
          <w:rFonts w:cs="Arial"/>
          <w:bCs/>
        </w:rPr>
      </w:pPr>
    </w:p>
    <w:p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rsidR="0012737B" w:rsidRDefault="00BC5144" w:rsidP="00FD3A16">
      <w:pPr>
        <w:spacing w:after="120" w:line="240" w:lineRule="auto"/>
        <w:ind w:left="567" w:right="260"/>
        <w:jc w:val="both"/>
        <w:rPr>
          <w:rFonts w:cs="Arial"/>
          <w:iCs/>
        </w:rPr>
      </w:pPr>
      <w:r w:rsidRPr="00FD3A16">
        <w:rPr>
          <w:rFonts w:cs="Arial"/>
          <w:iCs/>
        </w:rPr>
        <w:t>Like for Like</w:t>
      </w:r>
      <w:r w:rsidRPr="0012737B">
        <w:rPr>
          <w:rFonts w:cs="Arial"/>
          <w:iCs/>
        </w:rPr>
        <w:t>.</w:t>
      </w:r>
      <w:r w:rsidR="00C57028" w:rsidRPr="008B7D28">
        <w:rPr>
          <w:rFonts w:cs="Arial"/>
          <w:iCs/>
        </w:rPr>
        <w:t xml:space="preserve"> </w:t>
      </w:r>
    </w:p>
    <w:p w:rsidR="00FD3A16" w:rsidRDefault="00FD3A16" w:rsidP="00FD3A16">
      <w:pPr>
        <w:spacing w:after="120" w:line="240" w:lineRule="auto"/>
        <w:ind w:left="567" w:right="260"/>
        <w:jc w:val="both"/>
        <w:rPr>
          <w:rFonts w:cs="Arial"/>
          <w:iCs/>
        </w:rPr>
      </w:pPr>
    </w:p>
    <w:p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9530" w:type="dxa"/>
        <w:tblInd w:w="108" w:type="dxa"/>
        <w:tblLayout w:type="fixed"/>
        <w:tblLook w:val="04A0" w:firstRow="1" w:lastRow="0" w:firstColumn="1" w:lastColumn="0" w:noHBand="0" w:noVBand="1"/>
      </w:tblPr>
      <w:tblGrid>
        <w:gridCol w:w="3410"/>
        <w:gridCol w:w="612"/>
        <w:gridCol w:w="612"/>
        <w:gridCol w:w="612"/>
        <w:gridCol w:w="612"/>
        <w:gridCol w:w="612"/>
        <w:gridCol w:w="612"/>
        <w:gridCol w:w="612"/>
        <w:gridCol w:w="612"/>
        <w:gridCol w:w="612"/>
        <w:gridCol w:w="612"/>
      </w:tblGrid>
      <w:tr w:rsidR="00C312C9" w:rsidRPr="008B7D28" w:rsidTr="00FD3A16">
        <w:trPr>
          <w:trHeight w:val="363"/>
        </w:trPr>
        <w:tc>
          <w:tcPr>
            <w:tcW w:w="3410" w:type="dxa"/>
            <w:shd w:val="clear" w:color="auto" w:fill="D9D9D9" w:themeFill="background1" w:themeFillShade="D9"/>
          </w:tcPr>
          <w:p w:rsidR="00C312C9" w:rsidRPr="008B7D28" w:rsidRDefault="00C312C9" w:rsidP="0012737B">
            <w:pPr>
              <w:spacing w:after="120"/>
              <w:ind w:left="33"/>
              <w:rPr>
                <w:rFonts w:cs="Arial"/>
                <w:b/>
              </w:rPr>
            </w:pPr>
            <w:r w:rsidRPr="008B7D28">
              <w:rPr>
                <w:rFonts w:cs="Arial"/>
                <w:b/>
              </w:rPr>
              <w:t>Module learning outcome</w:t>
            </w:r>
          </w:p>
        </w:tc>
        <w:tc>
          <w:tcPr>
            <w:tcW w:w="612" w:type="dxa"/>
          </w:tcPr>
          <w:p w:rsidR="00C312C9" w:rsidRPr="00182E9A" w:rsidRDefault="00C312C9" w:rsidP="0012737B">
            <w:pPr>
              <w:spacing w:after="120"/>
              <w:rPr>
                <w:rFonts w:cs="Arial"/>
                <w:i/>
              </w:rPr>
            </w:pPr>
            <w:r w:rsidRPr="00182E9A">
              <w:rPr>
                <w:rFonts w:cs="Arial"/>
                <w:i/>
              </w:rPr>
              <w:t>8.1</w:t>
            </w:r>
          </w:p>
        </w:tc>
        <w:tc>
          <w:tcPr>
            <w:tcW w:w="612" w:type="dxa"/>
          </w:tcPr>
          <w:p w:rsidR="00C312C9" w:rsidRPr="00182E9A" w:rsidRDefault="00C312C9" w:rsidP="0012737B">
            <w:pPr>
              <w:spacing w:after="120"/>
              <w:rPr>
                <w:rFonts w:cs="Arial"/>
                <w:i/>
              </w:rPr>
            </w:pPr>
            <w:r w:rsidRPr="00182E9A">
              <w:rPr>
                <w:rFonts w:cs="Arial"/>
                <w:i/>
              </w:rPr>
              <w:t>8.2</w:t>
            </w:r>
          </w:p>
        </w:tc>
        <w:tc>
          <w:tcPr>
            <w:tcW w:w="612" w:type="dxa"/>
          </w:tcPr>
          <w:p w:rsidR="00C312C9" w:rsidRPr="00182E9A" w:rsidRDefault="00C312C9" w:rsidP="0012737B">
            <w:pPr>
              <w:spacing w:after="120"/>
              <w:rPr>
                <w:rFonts w:cs="Arial"/>
                <w:i/>
              </w:rPr>
            </w:pPr>
            <w:r w:rsidRPr="00182E9A">
              <w:rPr>
                <w:rFonts w:cs="Arial"/>
                <w:i/>
              </w:rPr>
              <w:t>8.3</w:t>
            </w:r>
          </w:p>
        </w:tc>
        <w:tc>
          <w:tcPr>
            <w:tcW w:w="612" w:type="dxa"/>
          </w:tcPr>
          <w:p w:rsidR="00C312C9" w:rsidRPr="00182E9A" w:rsidRDefault="00C312C9" w:rsidP="0012737B">
            <w:pPr>
              <w:spacing w:after="120"/>
              <w:rPr>
                <w:rFonts w:cs="Arial"/>
                <w:i/>
              </w:rPr>
            </w:pPr>
            <w:r w:rsidRPr="00182E9A">
              <w:rPr>
                <w:rFonts w:cs="Arial"/>
                <w:i/>
              </w:rPr>
              <w:t>8.4</w:t>
            </w:r>
          </w:p>
        </w:tc>
        <w:tc>
          <w:tcPr>
            <w:tcW w:w="612" w:type="dxa"/>
          </w:tcPr>
          <w:p w:rsidR="00C312C9" w:rsidRPr="00182E9A" w:rsidRDefault="00C312C9" w:rsidP="0012737B">
            <w:pPr>
              <w:spacing w:after="120"/>
              <w:rPr>
                <w:rFonts w:cs="Arial"/>
                <w:i/>
              </w:rPr>
            </w:pPr>
            <w:r w:rsidRPr="00182E9A">
              <w:rPr>
                <w:rFonts w:cs="Arial"/>
                <w:i/>
              </w:rPr>
              <w:t>8.5</w:t>
            </w:r>
          </w:p>
        </w:tc>
        <w:tc>
          <w:tcPr>
            <w:tcW w:w="612" w:type="dxa"/>
          </w:tcPr>
          <w:p w:rsidR="00C312C9" w:rsidRPr="00182E9A" w:rsidRDefault="00C312C9" w:rsidP="0012737B">
            <w:pPr>
              <w:spacing w:after="120"/>
              <w:rPr>
                <w:rFonts w:cs="Arial"/>
                <w:i/>
              </w:rPr>
            </w:pPr>
            <w:r w:rsidRPr="00182E9A">
              <w:rPr>
                <w:rFonts w:cs="Arial"/>
                <w:i/>
              </w:rPr>
              <w:t>8.6</w:t>
            </w:r>
          </w:p>
        </w:tc>
        <w:tc>
          <w:tcPr>
            <w:tcW w:w="612" w:type="dxa"/>
          </w:tcPr>
          <w:p w:rsidR="00C312C9" w:rsidRPr="00182E9A" w:rsidRDefault="00C312C9" w:rsidP="0012737B">
            <w:pPr>
              <w:spacing w:after="120"/>
              <w:rPr>
                <w:rFonts w:cs="Arial"/>
                <w:i/>
              </w:rPr>
            </w:pPr>
            <w:r w:rsidRPr="00182E9A">
              <w:rPr>
                <w:rFonts w:cs="Arial"/>
                <w:i/>
              </w:rPr>
              <w:t>9.1</w:t>
            </w:r>
          </w:p>
        </w:tc>
        <w:tc>
          <w:tcPr>
            <w:tcW w:w="612" w:type="dxa"/>
          </w:tcPr>
          <w:p w:rsidR="00C312C9" w:rsidRPr="00182E9A" w:rsidRDefault="00C312C9" w:rsidP="0012737B">
            <w:pPr>
              <w:spacing w:after="120"/>
              <w:rPr>
                <w:rFonts w:cs="Arial"/>
                <w:i/>
              </w:rPr>
            </w:pPr>
            <w:r w:rsidRPr="00182E9A">
              <w:rPr>
                <w:rFonts w:cs="Arial"/>
                <w:i/>
              </w:rPr>
              <w:t>9.2</w:t>
            </w:r>
          </w:p>
        </w:tc>
        <w:tc>
          <w:tcPr>
            <w:tcW w:w="612" w:type="dxa"/>
          </w:tcPr>
          <w:p w:rsidR="00C312C9" w:rsidRPr="00182E9A" w:rsidRDefault="00C312C9" w:rsidP="0012737B">
            <w:pPr>
              <w:spacing w:after="120"/>
              <w:rPr>
                <w:rFonts w:cs="Arial"/>
                <w:i/>
              </w:rPr>
            </w:pPr>
            <w:r w:rsidRPr="00182E9A">
              <w:rPr>
                <w:rFonts w:cs="Arial"/>
                <w:i/>
              </w:rPr>
              <w:t>9.3</w:t>
            </w:r>
          </w:p>
        </w:tc>
        <w:tc>
          <w:tcPr>
            <w:tcW w:w="612" w:type="dxa"/>
          </w:tcPr>
          <w:p w:rsidR="00C312C9" w:rsidRPr="00182E9A" w:rsidRDefault="00C312C9" w:rsidP="0012737B">
            <w:pPr>
              <w:spacing w:after="120"/>
              <w:rPr>
                <w:rFonts w:cs="Arial"/>
                <w:i/>
              </w:rPr>
            </w:pPr>
            <w:r w:rsidRPr="00182E9A">
              <w:rPr>
                <w:rFonts w:cs="Arial"/>
                <w:i/>
              </w:rPr>
              <w:t>9.4</w:t>
            </w:r>
          </w:p>
        </w:tc>
      </w:tr>
      <w:tr w:rsidR="00C312C9" w:rsidRPr="008B7D28" w:rsidTr="00FD3A16">
        <w:trPr>
          <w:trHeight w:val="69"/>
        </w:trPr>
        <w:tc>
          <w:tcPr>
            <w:tcW w:w="3410" w:type="dxa"/>
            <w:shd w:val="clear" w:color="auto" w:fill="D9D9D9" w:themeFill="background1" w:themeFillShade="D9"/>
          </w:tcPr>
          <w:p w:rsidR="00C312C9" w:rsidRPr="008B7D28" w:rsidRDefault="00C312C9" w:rsidP="0012737B">
            <w:pPr>
              <w:spacing w:after="120"/>
              <w:rPr>
                <w:rFonts w:cs="Arial"/>
                <w:b/>
              </w:rPr>
            </w:pPr>
            <w:r w:rsidRPr="008B7D28">
              <w:rPr>
                <w:rFonts w:cs="Arial"/>
                <w:b/>
              </w:rPr>
              <w:t>Learning/ teaching method</w:t>
            </w: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r>
      <w:tr w:rsidR="00C312C9" w:rsidRPr="008B7D28" w:rsidTr="00FD3A16">
        <w:trPr>
          <w:trHeight w:val="342"/>
        </w:trPr>
        <w:tc>
          <w:tcPr>
            <w:tcW w:w="3410" w:type="dxa"/>
          </w:tcPr>
          <w:p w:rsidR="00C312C9" w:rsidRPr="00360709" w:rsidRDefault="00C312C9" w:rsidP="0012737B">
            <w:r w:rsidRPr="00360709">
              <w:t>Private Study</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r>
      <w:tr w:rsidR="00C312C9" w:rsidRPr="008B7D28" w:rsidTr="00FD3A16">
        <w:trPr>
          <w:trHeight w:val="342"/>
        </w:trPr>
        <w:tc>
          <w:tcPr>
            <w:tcW w:w="3410" w:type="dxa"/>
          </w:tcPr>
          <w:p w:rsidR="00C312C9" w:rsidRPr="00360709" w:rsidRDefault="00C312C9" w:rsidP="0012737B">
            <w:r w:rsidRPr="00360709">
              <w:t>Workshop</w:t>
            </w: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r>
      <w:tr w:rsidR="00C312C9" w:rsidRPr="008B7D28" w:rsidTr="00FD3A16">
        <w:trPr>
          <w:trHeight w:val="357"/>
        </w:trPr>
        <w:tc>
          <w:tcPr>
            <w:tcW w:w="3410" w:type="dxa"/>
          </w:tcPr>
          <w:p w:rsidR="00C312C9" w:rsidRPr="00360709" w:rsidRDefault="00C312C9" w:rsidP="0012737B">
            <w:r w:rsidRPr="00360709">
              <w:t>Lectures</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r>
      <w:tr w:rsidR="00C312C9" w:rsidRPr="008B7D28" w:rsidTr="00FD3A16">
        <w:trPr>
          <w:trHeight w:val="357"/>
        </w:trPr>
        <w:tc>
          <w:tcPr>
            <w:tcW w:w="3410" w:type="dxa"/>
          </w:tcPr>
          <w:p w:rsidR="00C312C9" w:rsidRDefault="00C312C9" w:rsidP="0012737B">
            <w:r w:rsidRPr="00360709">
              <w:t>Seminars</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r>
      <w:tr w:rsidR="00C312C9" w:rsidRPr="008B7D28" w:rsidTr="00FD3A16">
        <w:trPr>
          <w:trHeight w:val="229"/>
        </w:trPr>
        <w:tc>
          <w:tcPr>
            <w:tcW w:w="3410" w:type="dxa"/>
            <w:shd w:val="clear" w:color="auto" w:fill="D9D9D9" w:themeFill="background1" w:themeFillShade="D9"/>
          </w:tcPr>
          <w:p w:rsidR="00C312C9" w:rsidRPr="008B7D28" w:rsidRDefault="00C312C9" w:rsidP="0012737B">
            <w:pPr>
              <w:spacing w:after="120"/>
              <w:rPr>
                <w:rFonts w:cs="Arial"/>
                <w:b/>
              </w:rPr>
            </w:pPr>
            <w:r w:rsidRPr="008B7D28">
              <w:rPr>
                <w:rFonts w:cs="Arial"/>
                <w:b/>
              </w:rPr>
              <w:t>Assessment method</w:t>
            </w:r>
          </w:p>
        </w:tc>
        <w:tc>
          <w:tcPr>
            <w:tcW w:w="612" w:type="dxa"/>
          </w:tcPr>
          <w:p w:rsidR="00C312C9" w:rsidRPr="008B7D28" w:rsidRDefault="00C312C9" w:rsidP="0012737B">
            <w:pPr>
              <w:spacing w:after="120"/>
              <w:rPr>
                <w:rFonts w:cs="Arial"/>
                <w:b/>
              </w:rPr>
            </w:pPr>
          </w:p>
        </w:tc>
        <w:tc>
          <w:tcPr>
            <w:tcW w:w="612" w:type="dxa"/>
          </w:tcPr>
          <w:p w:rsidR="00C312C9" w:rsidRPr="008B7D28" w:rsidRDefault="00C312C9" w:rsidP="0012737B">
            <w:pPr>
              <w:spacing w:after="120"/>
              <w:rPr>
                <w:rFonts w:cs="Arial"/>
                <w:b/>
              </w:rPr>
            </w:pPr>
          </w:p>
        </w:tc>
        <w:tc>
          <w:tcPr>
            <w:tcW w:w="612" w:type="dxa"/>
          </w:tcPr>
          <w:p w:rsidR="00C312C9" w:rsidRPr="008B7D28" w:rsidRDefault="00C312C9" w:rsidP="0012737B">
            <w:pPr>
              <w:spacing w:after="120"/>
              <w:rPr>
                <w:rFonts w:cs="Arial"/>
                <w:b/>
              </w:rPr>
            </w:pPr>
          </w:p>
        </w:tc>
        <w:tc>
          <w:tcPr>
            <w:tcW w:w="612" w:type="dxa"/>
          </w:tcPr>
          <w:p w:rsidR="00C312C9" w:rsidRPr="008B7D28" w:rsidRDefault="00C312C9" w:rsidP="0012737B">
            <w:pPr>
              <w:spacing w:after="120"/>
              <w:rPr>
                <w:rFonts w:cs="Arial"/>
                <w:b/>
              </w:rPr>
            </w:pPr>
          </w:p>
        </w:tc>
        <w:tc>
          <w:tcPr>
            <w:tcW w:w="612" w:type="dxa"/>
          </w:tcPr>
          <w:p w:rsidR="00C312C9" w:rsidRPr="008B7D28" w:rsidRDefault="00C312C9" w:rsidP="0012737B">
            <w:pPr>
              <w:spacing w:after="120"/>
              <w:rPr>
                <w:rFonts w:cs="Arial"/>
                <w:b/>
              </w:rPr>
            </w:pPr>
          </w:p>
        </w:tc>
        <w:tc>
          <w:tcPr>
            <w:tcW w:w="612" w:type="dxa"/>
          </w:tcPr>
          <w:p w:rsidR="00C312C9" w:rsidRPr="008B7D28" w:rsidRDefault="00C312C9" w:rsidP="0012737B">
            <w:pPr>
              <w:spacing w:after="120"/>
              <w:rPr>
                <w:rFonts w:cs="Arial"/>
                <w:b/>
              </w:rPr>
            </w:pPr>
          </w:p>
        </w:tc>
        <w:tc>
          <w:tcPr>
            <w:tcW w:w="612" w:type="dxa"/>
          </w:tcPr>
          <w:p w:rsidR="00C312C9" w:rsidRPr="008B7D28" w:rsidRDefault="00C312C9" w:rsidP="0012737B">
            <w:pPr>
              <w:spacing w:after="120"/>
              <w:rPr>
                <w:rFonts w:cs="Arial"/>
                <w:b/>
              </w:rPr>
            </w:pPr>
          </w:p>
        </w:tc>
        <w:tc>
          <w:tcPr>
            <w:tcW w:w="612" w:type="dxa"/>
          </w:tcPr>
          <w:p w:rsidR="00C312C9" w:rsidRPr="008B7D28" w:rsidRDefault="00C312C9" w:rsidP="0012737B">
            <w:pPr>
              <w:spacing w:after="120"/>
              <w:rPr>
                <w:rFonts w:cs="Arial"/>
                <w:b/>
              </w:rPr>
            </w:pPr>
          </w:p>
        </w:tc>
        <w:tc>
          <w:tcPr>
            <w:tcW w:w="612" w:type="dxa"/>
          </w:tcPr>
          <w:p w:rsidR="00C312C9" w:rsidRPr="008B7D28" w:rsidRDefault="00C312C9" w:rsidP="0012737B">
            <w:pPr>
              <w:spacing w:after="120"/>
              <w:rPr>
                <w:rFonts w:cs="Arial"/>
                <w:b/>
              </w:rPr>
            </w:pPr>
          </w:p>
        </w:tc>
        <w:tc>
          <w:tcPr>
            <w:tcW w:w="612" w:type="dxa"/>
          </w:tcPr>
          <w:p w:rsidR="00C312C9" w:rsidRPr="008B7D28" w:rsidRDefault="00C312C9" w:rsidP="0012737B">
            <w:pPr>
              <w:spacing w:after="120"/>
              <w:rPr>
                <w:rFonts w:cs="Arial"/>
                <w:b/>
              </w:rPr>
            </w:pPr>
          </w:p>
        </w:tc>
      </w:tr>
      <w:tr w:rsidR="00C312C9" w:rsidRPr="008B7D28" w:rsidTr="00FD3A16">
        <w:trPr>
          <w:trHeight w:val="342"/>
        </w:trPr>
        <w:tc>
          <w:tcPr>
            <w:tcW w:w="3410" w:type="dxa"/>
          </w:tcPr>
          <w:p w:rsidR="00C312C9" w:rsidRPr="00E24D30" w:rsidRDefault="00C312C9" w:rsidP="00162BB9">
            <w:r w:rsidRPr="00E24D30">
              <w:t>Essays</w:t>
            </w:r>
            <w:r w:rsidR="00162BB9">
              <w:t xml:space="preserve"> </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r>
      <w:tr w:rsidR="00C312C9" w:rsidRPr="008B7D28" w:rsidTr="00FD3A16">
        <w:trPr>
          <w:trHeight w:val="357"/>
        </w:trPr>
        <w:tc>
          <w:tcPr>
            <w:tcW w:w="3410" w:type="dxa"/>
          </w:tcPr>
          <w:p w:rsidR="00C312C9" w:rsidRPr="00E24D30" w:rsidRDefault="00C312C9">
            <w:r w:rsidRPr="00E24D30">
              <w:t xml:space="preserve">Seminar </w:t>
            </w:r>
            <w:r>
              <w:t>Performance</w:t>
            </w: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r w:rsidRPr="00182E9A">
              <w:rPr>
                <w:rFonts w:cs="Arial"/>
                <w:b/>
              </w:rPr>
              <w:t>x</w:t>
            </w:r>
          </w:p>
        </w:tc>
        <w:tc>
          <w:tcPr>
            <w:tcW w:w="612" w:type="dxa"/>
          </w:tcPr>
          <w:p w:rsidR="00C312C9" w:rsidRPr="00182E9A" w:rsidRDefault="00C312C9" w:rsidP="0012737B">
            <w:pPr>
              <w:spacing w:after="120"/>
              <w:rPr>
                <w:rFonts w:cs="Arial"/>
                <w:b/>
              </w:rPr>
            </w:pPr>
          </w:p>
        </w:tc>
      </w:tr>
    </w:tbl>
    <w:p w:rsidR="00C312C9" w:rsidRDefault="00C312C9" w:rsidP="00302082">
      <w:pPr>
        <w:spacing w:after="120" w:line="240" w:lineRule="auto"/>
        <w:ind w:left="426" w:right="260"/>
        <w:rPr>
          <w:rFonts w:cs="Arial"/>
          <w:b/>
          <w:iCs/>
        </w:rPr>
      </w:pPr>
    </w:p>
    <w:p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lastRenderedPageBreak/>
        <w:t xml:space="preserve">Inclusive module design </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rsidR="00883204" w:rsidRDefault="00883204" w:rsidP="00696FF5">
      <w:pPr>
        <w:tabs>
          <w:tab w:val="left" w:pos="567"/>
        </w:tabs>
        <w:autoSpaceDE w:val="0"/>
        <w:autoSpaceDN w:val="0"/>
        <w:adjustRightInd w:val="0"/>
        <w:spacing w:after="120" w:line="240" w:lineRule="auto"/>
        <w:ind w:left="567" w:right="260"/>
        <w:jc w:val="both"/>
        <w:rPr>
          <w:rFonts w:cs="Arial"/>
          <w:bCs/>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rsidR="00FD3A16" w:rsidRPr="008B7D28" w:rsidRDefault="00FD3A16" w:rsidP="00696FF5">
      <w:pPr>
        <w:tabs>
          <w:tab w:val="left" w:pos="567"/>
        </w:tabs>
        <w:autoSpaceDE w:val="0"/>
        <w:autoSpaceDN w:val="0"/>
        <w:adjustRightInd w:val="0"/>
        <w:spacing w:after="120" w:line="240" w:lineRule="auto"/>
        <w:ind w:left="567" w:right="260"/>
        <w:jc w:val="both"/>
        <w:rPr>
          <w:rFonts w:cs="Arial"/>
          <w:color w:val="000000"/>
        </w:rPr>
      </w:pP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w:t>
      </w:r>
      <w:proofErr w:type="spellStart"/>
      <w:r w:rsidRPr="008B7D28">
        <w:rPr>
          <w:rFonts w:cs="Arial"/>
          <w:b/>
        </w:rPr>
        <w:t>es</w:t>
      </w:r>
      <w:proofErr w:type="spellEnd"/>
      <w:r w:rsidRPr="008B7D28">
        <w:rPr>
          <w:rFonts w:cs="Arial"/>
          <w:b/>
        </w:rPr>
        <w:t>) or c</w:t>
      </w:r>
      <w:r w:rsidR="009A2D37" w:rsidRPr="008B7D28">
        <w:rPr>
          <w:rFonts w:cs="Arial"/>
          <w:b/>
        </w:rPr>
        <w:t>entre(s)</w:t>
      </w:r>
      <w:r w:rsidRPr="008B7D28">
        <w:rPr>
          <w:rFonts w:cs="Arial"/>
          <w:b/>
        </w:rPr>
        <w:t xml:space="preserve"> where module will be delivered</w:t>
      </w:r>
    </w:p>
    <w:p w:rsidR="009A2D37" w:rsidRDefault="008B7D28" w:rsidP="00696FF5">
      <w:pPr>
        <w:spacing w:after="120" w:line="240" w:lineRule="auto"/>
        <w:ind w:left="567" w:right="260"/>
        <w:jc w:val="both"/>
        <w:rPr>
          <w:rFonts w:cs="Arial"/>
        </w:rPr>
      </w:pPr>
      <w:r w:rsidRPr="008B7D28">
        <w:rPr>
          <w:rFonts w:cs="Arial"/>
        </w:rPr>
        <w:t>Canterbury</w:t>
      </w:r>
    </w:p>
    <w:p w:rsidR="00FD3A16" w:rsidRPr="008B7D28" w:rsidRDefault="00FD3A16" w:rsidP="00696FF5">
      <w:pPr>
        <w:spacing w:after="120" w:line="240" w:lineRule="auto"/>
        <w:ind w:left="567" w:right="260"/>
        <w:jc w:val="both"/>
        <w:rPr>
          <w:rFonts w:cs="Arial"/>
          <w:b/>
        </w:rPr>
      </w:pPr>
    </w:p>
    <w:p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rsidR="00883204" w:rsidRPr="008B7D28" w:rsidRDefault="0012737B" w:rsidP="0012737B">
      <w:pPr>
        <w:spacing w:after="120" w:line="240" w:lineRule="auto"/>
        <w:ind w:left="567" w:right="261"/>
        <w:jc w:val="both"/>
        <w:rPr>
          <w:rFonts w:cs="Arial"/>
          <w:b/>
        </w:rPr>
      </w:pPr>
      <w:r w:rsidRPr="003C3470">
        <w:rPr>
          <w:rFonts w:cs="Arial"/>
        </w:rPr>
        <w:t>This module constantly discusses issues of otherness, difference and language and draws on texts in English and in translation, sometimes foregrounding questions of language and translatability. Some reading focuses explicitly on ‘foreignness,' the refugee crisis and the global and local problems known as ‘climate change.’ These themes appear in the reading, in lectures and class discussions and in assignment titles.</w:t>
      </w:r>
    </w:p>
    <w:p w:rsidR="00641D6D" w:rsidRPr="008B7D28" w:rsidRDefault="00641D6D" w:rsidP="00302082">
      <w:pPr>
        <w:pBdr>
          <w:bottom w:val="single" w:sz="6" w:space="1" w:color="auto"/>
        </w:pBdr>
        <w:spacing w:after="120" w:line="240" w:lineRule="auto"/>
        <w:ind w:right="260"/>
        <w:rPr>
          <w:rFonts w:cs="Arial"/>
        </w:rPr>
      </w:pPr>
    </w:p>
    <w:p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8B7D28" w:rsidTr="00FD3A16">
        <w:trPr>
          <w:trHeight w:val="317"/>
        </w:trPr>
        <w:tc>
          <w:tcPr>
            <w:tcW w:w="1526" w:type="dxa"/>
          </w:tcPr>
          <w:p w:rsidR="00422B69" w:rsidRPr="008B7D28" w:rsidRDefault="00422B69" w:rsidP="00302082">
            <w:pPr>
              <w:spacing w:after="120"/>
              <w:ind w:right="-330"/>
              <w:rPr>
                <w:rFonts w:cs="Arial"/>
                <w:sz w:val="18"/>
              </w:rPr>
            </w:pPr>
            <w:r w:rsidRPr="008B7D28">
              <w:rPr>
                <w:rFonts w:cs="Arial"/>
                <w:sz w:val="18"/>
              </w:rPr>
              <w:t>Date approved</w:t>
            </w:r>
          </w:p>
        </w:tc>
        <w:tc>
          <w:tcPr>
            <w:tcW w:w="1304" w:type="dxa"/>
          </w:tcPr>
          <w:p w:rsidR="00422B69" w:rsidRPr="008B7D28" w:rsidRDefault="00422B69" w:rsidP="00302082">
            <w:pPr>
              <w:spacing w:after="120"/>
              <w:rPr>
                <w:rFonts w:cs="Arial"/>
                <w:sz w:val="18"/>
              </w:rPr>
            </w:pPr>
            <w:r w:rsidRPr="008B7D28">
              <w:rPr>
                <w:rFonts w:cs="Arial"/>
                <w:sz w:val="18"/>
              </w:rPr>
              <w:t>Major/minor revision</w:t>
            </w:r>
          </w:p>
        </w:tc>
        <w:tc>
          <w:tcPr>
            <w:tcW w:w="2268" w:type="dxa"/>
          </w:tcPr>
          <w:p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987" w:type="dxa"/>
          </w:tcPr>
          <w:p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12737B" w:rsidRPr="008B7D28" w:rsidTr="00FD3A16">
        <w:trPr>
          <w:trHeight w:val="305"/>
        </w:trPr>
        <w:tc>
          <w:tcPr>
            <w:tcW w:w="1526" w:type="dxa"/>
          </w:tcPr>
          <w:p w:rsidR="0012737B" w:rsidRPr="00182E9A" w:rsidRDefault="0012737B" w:rsidP="0012737B">
            <w:pPr>
              <w:spacing w:after="120"/>
              <w:ind w:right="-330"/>
              <w:rPr>
                <w:rFonts w:cs="Arial"/>
                <w:sz w:val="18"/>
              </w:rPr>
            </w:pPr>
            <w:r w:rsidRPr="00182E9A">
              <w:rPr>
                <w:rFonts w:cs="Arial"/>
                <w:sz w:val="18"/>
              </w:rPr>
              <w:t>08/02/17</w:t>
            </w:r>
          </w:p>
        </w:tc>
        <w:tc>
          <w:tcPr>
            <w:tcW w:w="1304" w:type="dxa"/>
          </w:tcPr>
          <w:p w:rsidR="0012737B" w:rsidRPr="00182E9A" w:rsidRDefault="0012737B" w:rsidP="0012737B">
            <w:pPr>
              <w:spacing w:after="120"/>
              <w:ind w:right="-330"/>
              <w:rPr>
                <w:rFonts w:cs="Arial"/>
                <w:sz w:val="18"/>
              </w:rPr>
            </w:pPr>
            <w:r w:rsidRPr="00182E9A">
              <w:rPr>
                <w:rFonts w:cs="Arial"/>
                <w:sz w:val="18"/>
              </w:rPr>
              <w:t>Major</w:t>
            </w:r>
          </w:p>
        </w:tc>
        <w:tc>
          <w:tcPr>
            <w:tcW w:w="2268" w:type="dxa"/>
          </w:tcPr>
          <w:p w:rsidR="0012737B" w:rsidRPr="00182E9A" w:rsidRDefault="0012737B" w:rsidP="0012737B">
            <w:pPr>
              <w:spacing w:after="120"/>
              <w:ind w:right="-330"/>
              <w:rPr>
                <w:rFonts w:cs="Arial"/>
                <w:sz w:val="18"/>
              </w:rPr>
            </w:pPr>
            <w:r w:rsidRPr="00182E9A">
              <w:rPr>
                <w:rFonts w:cs="Arial"/>
                <w:sz w:val="18"/>
              </w:rPr>
              <w:t>January 2017</w:t>
            </w:r>
          </w:p>
        </w:tc>
        <w:tc>
          <w:tcPr>
            <w:tcW w:w="2987" w:type="dxa"/>
          </w:tcPr>
          <w:p w:rsidR="0012737B" w:rsidRPr="00182E9A" w:rsidRDefault="0012737B" w:rsidP="0012737B">
            <w:pPr>
              <w:spacing w:after="120"/>
              <w:ind w:right="-330"/>
              <w:rPr>
                <w:rFonts w:cs="Arial"/>
                <w:sz w:val="18"/>
              </w:rPr>
            </w:pPr>
            <w:r w:rsidRPr="00182E9A">
              <w:rPr>
                <w:rFonts w:cs="Arial"/>
                <w:sz w:val="18"/>
              </w:rPr>
              <w:t>6, 7, 10-13</w:t>
            </w:r>
          </w:p>
        </w:tc>
        <w:tc>
          <w:tcPr>
            <w:tcW w:w="2597" w:type="dxa"/>
          </w:tcPr>
          <w:p w:rsidR="0012737B" w:rsidRPr="00182E9A" w:rsidRDefault="0012737B" w:rsidP="0012737B">
            <w:pPr>
              <w:spacing w:after="120"/>
              <w:ind w:right="-330"/>
              <w:rPr>
                <w:rFonts w:cs="Arial"/>
                <w:sz w:val="18"/>
              </w:rPr>
            </w:pPr>
            <w:r w:rsidRPr="00182E9A">
              <w:rPr>
                <w:rFonts w:cs="Arial"/>
                <w:sz w:val="18"/>
              </w:rPr>
              <w:t>No</w:t>
            </w:r>
          </w:p>
        </w:tc>
      </w:tr>
      <w:tr w:rsidR="00FD3A16" w:rsidRPr="00B908F1" w:rsidTr="00FD3A16">
        <w:trPr>
          <w:trHeight w:val="305"/>
        </w:trPr>
        <w:tc>
          <w:tcPr>
            <w:tcW w:w="1526" w:type="dxa"/>
          </w:tcPr>
          <w:p w:rsidR="00FD3A16" w:rsidRPr="00B908F1" w:rsidRDefault="00FD3A16" w:rsidP="003F191E">
            <w:pPr>
              <w:spacing w:after="120"/>
              <w:ind w:right="-330"/>
              <w:rPr>
                <w:rFonts w:cs="Arial"/>
                <w:sz w:val="18"/>
                <w:szCs w:val="18"/>
              </w:rPr>
            </w:pPr>
            <w:r w:rsidRPr="00B908F1">
              <w:rPr>
                <w:rFonts w:cs="Arial"/>
                <w:sz w:val="18"/>
                <w:szCs w:val="18"/>
              </w:rPr>
              <w:t>05/03/18</w:t>
            </w:r>
          </w:p>
        </w:tc>
        <w:tc>
          <w:tcPr>
            <w:tcW w:w="1304" w:type="dxa"/>
          </w:tcPr>
          <w:p w:rsidR="00FD3A16" w:rsidRPr="00B908F1" w:rsidRDefault="00FD3A16" w:rsidP="003F191E">
            <w:pPr>
              <w:spacing w:after="120"/>
              <w:ind w:right="-330"/>
              <w:rPr>
                <w:rFonts w:cs="Arial"/>
                <w:sz w:val="18"/>
                <w:szCs w:val="18"/>
              </w:rPr>
            </w:pPr>
            <w:r w:rsidRPr="00B908F1">
              <w:rPr>
                <w:rFonts w:cs="Arial"/>
                <w:sz w:val="18"/>
                <w:szCs w:val="18"/>
              </w:rPr>
              <w:t>Major</w:t>
            </w:r>
          </w:p>
        </w:tc>
        <w:tc>
          <w:tcPr>
            <w:tcW w:w="2268" w:type="dxa"/>
          </w:tcPr>
          <w:p w:rsidR="00FD3A16" w:rsidRPr="00B908F1" w:rsidRDefault="00FD3A16" w:rsidP="003F191E">
            <w:pPr>
              <w:spacing w:after="120"/>
              <w:ind w:right="-330"/>
              <w:rPr>
                <w:rFonts w:cs="Arial"/>
                <w:sz w:val="18"/>
                <w:szCs w:val="18"/>
              </w:rPr>
            </w:pPr>
            <w:r w:rsidRPr="00B908F1">
              <w:rPr>
                <w:rFonts w:cs="Arial"/>
                <w:sz w:val="18"/>
                <w:szCs w:val="18"/>
              </w:rPr>
              <w:t>September 2018</w:t>
            </w:r>
          </w:p>
        </w:tc>
        <w:tc>
          <w:tcPr>
            <w:tcW w:w="2987" w:type="dxa"/>
          </w:tcPr>
          <w:p w:rsidR="00FD3A16" w:rsidRPr="00B908F1" w:rsidRDefault="00FD3A16" w:rsidP="003F191E">
            <w:pPr>
              <w:spacing w:after="120"/>
              <w:ind w:right="-330"/>
              <w:rPr>
                <w:rFonts w:cs="Arial"/>
                <w:sz w:val="18"/>
                <w:szCs w:val="18"/>
              </w:rPr>
            </w:pPr>
            <w:r w:rsidRPr="00B908F1">
              <w:rPr>
                <w:rFonts w:cs="Arial"/>
                <w:sz w:val="18"/>
                <w:szCs w:val="18"/>
              </w:rPr>
              <w:t>13 (optional dissertation removed)</w:t>
            </w:r>
          </w:p>
        </w:tc>
        <w:tc>
          <w:tcPr>
            <w:tcW w:w="2597" w:type="dxa"/>
          </w:tcPr>
          <w:p w:rsidR="00FD3A16" w:rsidRPr="00B908F1" w:rsidRDefault="00FD3A16" w:rsidP="003F191E">
            <w:pPr>
              <w:spacing w:after="120"/>
              <w:ind w:right="-330"/>
              <w:rPr>
                <w:rFonts w:cs="Arial"/>
                <w:sz w:val="18"/>
                <w:szCs w:val="18"/>
              </w:rPr>
            </w:pPr>
            <w:r w:rsidRPr="00B908F1">
              <w:rPr>
                <w:rFonts w:cs="Arial"/>
                <w:sz w:val="18"/>
                <w:szCs w:val="18"/>
              </w:rPr>
              <w:t>No</w:t>
            </w:r>
          </w:p>
        </w:tc>
      </w:tr>
    </w:tbl>
    <w:p w:rsidR="00D83563" w:rsidRPr="008B7D28" w:rsidRDefault="00D83563" w:rsidP="00302082">
      <w:pPr>
        <w:spacing w:after="120" w:line="240" w:lineRule="auto"/>
        <w:ind w:right="-330"/>
        <w:rPr>
          <w:rFonts w:cs="Arial"/>
        </w:rPr>
      </w:pPr>
    </w:p>
    <w:p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bookmarkStart w:id="0" w:name="_GoBack"/>
      <w:bookmarkEnd w:id="0"/>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83" w:rsidRDefault="00B55083" w:rsidP="009A2D37">
      <w:pPr>
        <w:spacing w:after="0" w:line="240" w:lineRule="auto"/>
      </w:pPr>
      <w:r>
        <w:separator/>
      </w:r>
    </w:p>
  </w:endnote>
  <w:endnote w:type="continuationSeparator" w:id="0">
    <w:p w:rsidR="00B55083" w:rsidRDefault="00B55083" w:rsidP="009A2D37">
      <w:pPr>
        <w:spacing w:after="0" w:line="240" w:lineRule="auto"/>
      </w:pPr>
      <w:r>
        <w:continuationSeparator/>
      </w:r>
    </w:p>
  </w:endnote>
  <w:endnote w:type="continuationNotice" w:id="1">
    <w:p w:rsidR="00B55083" w:rsidRDefault="00B55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042AA">
          <w:rPr>
            <w:noProof/>
          </w:rPr>
          <w:t>2</w:t>
        </w:r>
        <w:r>
          <w:rPr>
            <w:noProof/>
          </w:rPr>
          <w:fldChar w:fldCharType="end"/>
        </w:r>
      </w:p>
    </w:sdtContent>
  </w:sdt>
  <w:p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83" w:rsidRDefault="00B55083" w:rsidP="009A2D37">
      <w:pPr>
        <w:spacing w:after="0" w:line="240" w:lineRule="auto"/>
      </w:pPr>
      <w:r>
        <w:separator/>
      </w:r>
    </w:p>
  </w:footnote>
  <w:footnote w:type="continuationSeparator" w:id="0">
    <w:p w:rsidR="00B55083" w:rsidRDefault="00B55083" w:rsidP="009A2D37">
      <w:pPr>
        <w:spacing w:after="0" w:line="240" w:lineRule="auto"/>
      </w:pPr>
      <w:r>
        <w:continuationSeparator/>
      </w:r>
    </w:p>
  </w:footnote>
  <w:footnote w:type="continuationNotice" w:id="1">
    <w:p w:rsidR="00B55083" w:rsidRDefault="00B550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6315"/>
    <w:multiLevelType w:val="hybridMultilevel"/>
    <w:tmpl w:val="3F38DB82"/>
    <w:lvl w:ilvl="0" w:tplc="50006D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8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C0294"/>
    <w:rsid w:val="000C7A1C"/>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2737B"/>
    <w:rsid w:val="001402AD"/>
    <w:rsid w:val="001540CE"/>
    <w:rsid w:val="0015717B"/>
    <w:rsid w:val="00157ACA"/>
    <w:rsid w:val="00160427"/>
    <w:rsid w:val="00162BB9"/>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77F"/>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042A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3C0"/>
    <w:rsid w:val="00B248BA"/>
    <w:rsid w:val="00B24B56"/>
    <w:rsid w:val="00B30E07"/>
    <w:rsid w:val="00B34ADD"/>
    <w:rsid w:val="00B52FF5"/>
    <w:rsid w:val="00B5498B"/>
    <w:rsid w:val="00B55083"/>
    <w:rsid w:val="00B57219"/>
    <w:rsid w:val="00B658A3"/>
    <w:rsid w:val="00B746A8"/>
    <w:rsid w:val="00B7664D"/>
    <w:rsid w:val="00B80989"/>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716B"/>
    <w:rsid w:val="00BF7233"/>
    <w:rsid w:val="00C02AA2"/>
    <w:rsid w:val="00C04C95"/>
    <w:rsid w:val="00C12613"/>
    <w:rsid w:val="00C16DEF"/>
    <w:rsid w:val="00C2492F"/>
    <w:rsid w:val="00C312C9"/>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99"/>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A16"/>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521CC4-738D-41F9-97F9-67A034F8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62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17B09-A546-4066-8B2F-B5791655AABE}">
  <ds:schemaRefs>
    <ds:schemaRef ds:uri="http://schemas.openxmlformats.org/officeDocument/2006/bibliography"/>
  </ds:schemaRefs>
</ds:datastoreItem>
</file>

<file path=customXml/itemProps2.xml><?xml version="1.0" encoding="utf-8"?>
<ds:datastoreItem xmlns:ds="http://schemas.openxmlformats.org/officeDocument/2006/customXml" ds:itemID="{B1F6B6DB-38CA-46AA-95A7-A483EEA5805D}"/>
</file>

<file path=customXml/itemProps3.xml><?xml version="1.0" encoding="utf-8"?>
<ds:datastoreItem xmlns:ds="http://schemas.openxmlformats.org/officeDocument/2006/customXml" ds:itemID="{24284FF3-9E98-43B2-BB57-E5A23F549D42}"/>
</file>

<file path=customXml/itemProps4.xml><?xml version="1.0" encoding="utf-8"?>
<ds:datastoreItem xmlns:ds="http://schemas.openxmlformats.org/officeDocument/2006/customXml" ds:itemID="{EFA58069-4C66-436C-89EE-0BA31EFCD3F5}"/>
</file>

<file path=docProps/app.xml><?xml version="1.0" encoding="utf-8"?>
<Properties xmlns="http://schemas.openxmlformats.org/officeDocument/2006/extended-properties" xmlns:vt="http://schemas.openxmlformats.org/officeDocument/2006/docPropsVTypes">
  <Template>Title of the module</Template>
  <TotalTime>3</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R.G.Rowe</cp:lastModifiedBy>
  <cp:revision>4</cp:revision>
  <cp:lastPrinted>2015-09-09T08:37:00Z</cp:lastPrinted>
  <dcterms:created xsi:type="dcterms:W3CDTF">2018-02-19T15:28:00Z</dcterms:created>
  <dcterms:modified xsi:type="dcterms:W3CDTF">2018-10-16T14:55:00Z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