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59E0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B5BAB4B" w14:textId="2AB311A3" w:rsidR="009A2D37" w:rsidRPr="00302082" w:rsidRDefault="008F6E38" w:rsidP="00745702">
      <w:pPr>
        <w:spacing w:after="120" w:line="240" w:lineRule="auto"/>
        <w:ind w:left="567" w:right="260"/>
        <w:jc w:val="both"/>
        <w:rPr>
          <w:rFonts w:ascii="Arial" w:hAnsi="Arial" w:cs="Arial"/>
        </w:rPr>
      </w:pPr>
      <w:r>
        <w:rPr>
          <w:rFonts w:ascii="Arial" w:hAnsi="Arial" w:cs="Arial"/>
        </w:rPr>
        <w:t xml:space="preserve">CPLT8110 (CP811) – Writing </w:t>
      </w:r>
      <w:r w:rsidRPr="008F6E38">
        <w:rPr>
          <w:rFonts w:ascii="Arial" w:hAnsi="Arial" w:cs="Arial"/>
        </w:rPr>
        <w:t>Unreason: Literature and Madness in the Modern Period</w:t>
      </w:r>
    </w:p>
    <w:p w14:paraId="56C70A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40731"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42F4B20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32B860CC"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8F6E38">
        <w:rPr>
          <w:rFonts w:ascii="Arial" w:hAnsi="Arial" w:cs="Arial"/>
          <w:iCs/>
        </w:rPr>
        <w:t>7</w:t>
      </w:r>
    </w:p>
    <w:p w14:paraId="5E8F01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C8E03" w14:textId="15D0A02E" w:rsidR="009A2D37" w:rsidRPr="0036174D" w:rsidRDefault="008F6E38" w:rsidP="00745702">
      <w:pPr>
        <w:spacing w:after="120" w:line="240" w:lineRule="auto"/>
        <w:ind w:left="567" w:right="260"/>
        <w:rPr>
          <w:rFonts w:ascii="Arial" w:hAnsi="Arial" w:cs="Arial"/>
        </w:rPr>
      </w:pPr>
      <w:r>
        <w:rPr>
          <w:rFonts w:ascii="Arial" w:hAnsi="Arial" w:cs="Arial"/>
        </w:rPr>
        <w:t>30 Credits (15 ECTS)</w:t>
      </w:r>
    </w:p>
    <w:p w14:paraId="5B50D6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35EC1E" w14:textId="15C7AC22" w:rsidR="009A2D37" w:rsidRPr="0036174D" w:rsidRDefault="008F6E38" w:rsidP="00745702">
      <w:pPr>
        <w:spacing w:after="120" w:line="240" w:lineRule="auto"/>
        <w:ind w:left="567" w:right="260"/>
        <w:rPr>
          <w:rFonts w:ascii="Arial" w:hAnsi="Arial" w:cs="Arial"/>
          <w:iCs/>
        </w:rPr>
      </w:pPr>
      <w:r w:rsidRPr="008F6E38">
        <w:rPr>
          <w:rFonts w:ascii="Arial" w:hAnsi="Arial" w:cs="Arial"/>
          <w:iCs/>
        </w:rPr>
        <w:t>Autumn or Spring</w:t>
      </w:r>
    </w:p>
    <w:p w14:paraId="7AB01E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8857C7" w14:textId="385C569F" w:rsidR="009A2D37" w:rsidRPr="0036174D" w:rsidRDefault="008F6E38" w:rsidP="00745702">
      <w:pPr>
        <w:spacing w:after="120" w:line="240" w:lineRule="auto"/>
        <w:ind w:left="567" w:right="260"/>
        <w:rPr>
          <w:rFonts w:ascii="Arial" w:hAnsi="Arial" w:cs="Arial"/>
          <w:iCs/>
        </w:rPr>
      </w:pPr>
      <w:r>
        <w:rPr>
          <w:rFonts w:ascii="Arial" w:hAnsi="Arial" w:cs="Arial"/>
          <w:iCs/>
        </w:rPr>
        <w:t>None</w:t>
      </w:r>
    </w:p>
    <w:p w14:paraId="769C506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D85CB28" w14:textId="68D52D4C" w:rsidR="004412BE" w:rsidRPr="0036174D" w:rsidRDefault="008F6E38" w:rsidP="00745702">
      <w:pPr>
        <w:spacing w:after="120" w:line="240" w:lineRule="auto"/>
        <w:ind w:left="567" w:right="260"/>
        <w:rPr>
          <w:rFonts w:ascii="Arial" w:hAnsi="Arial" w:cs="Arial"/>
          <w:iCs/>
        </w:rPr>
      </w:pPr>
      <w:r>
        <w:rPr>
          <w:rFonts w:ascii="Arial" w:hAnsi="Arial" w:cs="Arial"/>
          <w:iCs/>
        </w:rPr>
        <w:t>Optional for MA Comparative Literature</w:t>
      </w:r>
    </w:p>
    <w:p w14:paraId="10CFC82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518F9B3" w14:textId="7F6CFB0A" w:rsidR="008F6E38" w:rsidRPr="008F6E38" w:rsidRDefault="008F6E38" w:rsidP="008F6E38">
      <w:pPr>
        <w:spacing w:after="120" w:line="240" w:lineRule="auto"/>
        <w:ind w:left="1418" w:right="260" w:hanging="567"/>
        <w:jc w:val="both"/>
        <w:rPr>
          <w:rFonts w:ascii="Arial" w:hAnsi="Arial" w:cs="Arial"/>
        </w:rPr>
      </w:pPr>
      <w:r>
        <w:rPr>
          <w:rFonts w:ascii="Arial" w:hAnsi="Arial" w:cs="Arial"/>
        </w:rPr>
        <w:t>8.1</w:t>
      </w:r>
      <w:r w:rsidRPr="008F6E38">
        <w:rPr>
          <w:rFonts w:ascii="Arial" w:hAnsi="Arial" w:cs="Arial"/>
        </w:rPr>
        <w:tab/>
        <w:t>Demonstrate familiarity with the substantial interaction between modern European lite</w:t>
      </w:r>
      <w:r>
        <w:rPr>
          <w:rFonts w:ascii="Arial" w:hAnsi="Arial" w:cs="Arial"/>
        </w:rPr>
        <w:t>rature and the theme of madness;</w:t>
      </w:r>
    </w:p>
    <w:p w14:paraId="2A2FFDC1" w14:textId="2BCE2A9B" w:rsidR="008F6E38" w:rsidRPr="008F6E38" w:rsidRDefault="008F6E38" w:rsidP="008F6E38">
      <w:pPr>
        <w:spacing w:after="120" w:line="240" w:lineRule="auto"/>
        <w:ind w:left="1418" w:right="260" w:hanging="567"/>
        <w:jc w:val="both"/>
        <w:rPr>
          <w:rFonts w:ascii="Arial" w:hAnsi="Arial" w:cs="Arial"/>
        </w:rPr>
      </w:pPr>
      <w:r>
        <w:rPr>
          <w:rFonts w:ascii="Arial" w:hAnsi="Arial" w:cs="Arial"/>
        </w:rPr>
        <w:t>8.2</w:t>
      </w:r>
      <w:r w:rsidRPr="008F6E38">
        <w:rPr>
          <w:rFonts w:ascii="Arial" w:hAnsi="Arial" w:cs="Arial"/>
        </w:rPr>
        <w:tab/>
        <w:t>Demonstrate knowledge of the cultural and historical contexts in which literature and the theme of madness have interacted s</w:t>
      </w:r>
      <w:r>
        <w:rPr>
          <w:rFonts w:ascii="Arial" w:hAnsi="Arial" w:cs="Arial"/>
        </w:rPr>
        <w:t>ince the European Enlightenment;</w:t>
      </w:r>
    </w:p>
    <w:p w14:paraId="0E2691A9" w14:textId="214C14F2" w:rsidR="008F6E38" w:rsidRPr="008F6E38" w:rsidRDefault="008F6E38" w:rsidP="008F6E38">
      <w:pPr>
        <w:spacing w:after="120" w:line="240" w:lineRule="auto"/>
        <w:ind w:left="1418" w:right="260" w:hanging="567"/>
        <w:jc w:val="both"/>
        <w:rPr>
          <w:rFonts w:ascii="Arial" w:hAnsi="Arial" w:cs="Arial"/>
        </w:rPr>
      </w:pPr>
      <w:r>
        <w:rPr>
          <w:rFonts w:ascii="Arial" w:hAnsi="Arial" w:cs="Arial"/>
        </w:rPr>
        <w:t>8.3</w:t>
      </w:r>
      <w:r w:rsidRPr="008F6E38">
        <w:rPr>
          <w:rFonts w:ascii="Arial" w:hAnsi="Arial" w:cs="Arial"/>
        </w:rPr>
        <w:tab/>
        <w:t>Critically assess the distinctive stylistic and generic features of modern European literary works that e</w:t>
      </w:r>
      <w:r>
        <w:rPr>
          <w:rFonts w:ascii="Arial" w:hAnsi="Arial" w:cs="Arial"/>
        </w:rPr>
        <w:t>ngage with the theme of madness;</w:t>
      </w:r>
    </w:p>
    <w:p w14:paraId="08342674" w14:textId="2BA76DFF" w:rsidR="00C25C76" w:rsidRPr="00C25C76" w:rsidRDefault="008F6E38" w:rsidP="008F6E38">
      <w:pPr>
        <w:spacing w:after="120" w:line="240" w:lineRule="auto"/>
        <w:ind w:left="1418" w:right="260" w:hanging="567"/>
        <w:jc w:val="both"/>
        <w:rPr>
          <w:rFonts w:ascii="Arial" w:hAnsi="Arial" w:cs="Arial"/>
        </w:rPr>
      </w:pPr>
      <w:r>
        <w:rPr>
          <w:rFonts w:ascii="Arial" w:hAnsi="Arial" w:cs="Arial"/>
        </w:rPr>
        <w:t>8.4</w:t>
      </w:r>
      <w:r w:rsidRPr="008F6E38">
        <w:rPr>
          <w:rFonts w:ascii="Arial" w:hAnsi="Arial" w:cs="Arial"/>
        </w:rPr>
        <w:tab/>
        <w:t>Examine the way in which writers in the modern period have actively engaged with various forms of non-literary discourse in their depictions of madness, these discourses including the medical/scientific, the mystical, and philosophical, and the psychoanalytic.</w:t>
      </w:r>
    </w:p>
    <w:p w14:paraId="53B3D767"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3E91A0A" w14:textId="6E8D6C70" w:rsidR="008F6E38" w:rsidRPr="008F6E38" w:rsidRDefault="008F6E38" w:rsidP="004B635D">
      <w:pPr>
        <w:spacing w:after="120" w:line="240" w:lineRule="auto"/>
        <w:ind w:left="1418" w:right="260" w:hanging="567"/>
        <w:jc w:val="both"/>
        <w:rPr>
          <w:rFonts w:ascii="Arial" w:hAnsi="Arial" w:cs="Arial"/>
        </w:rPr>
      </w:pPr>
      <w:r>
        <w:rPr>
          <w:rFonts w:ascii="Arial" w:hAnsi="Arial" w:cs="Arial"/>
        </w:rPr>
        <w:t>9.1</w:t>
      </w:r>
      <w:r w:rsidRPr="008F6E38">
        <w:rPr>
          <w:rFonts w:ascii="Arial" w:hAnsi="Arial" w:cs="Arial"/>
        </w:rPr>
        <w:tab/>
        <w:t>Demonstrate refinement in communication skills and argumentation, through one extended piece of written cour</w:t>
      </w:r>
      <w:r>
        <w:rPr>
          <w:rFonts w:ascii="Arial" w:hAnsi="Arial" w:cs="Arial"/>
        </w:rPr>
        <w:t>sework;</w:t>
      </w:r>
    </w:p>
    <w:p w14:paraId="6098DBCE" w14:textId="428608A3" w:rsidR="008F6E38" w:rsidRPr="008F6E38" w:rsidRDefault="008F6E38" w:rsidP="008F6E38">
      <w:pPr>
        <w:spacing w:after="120" w:line="240" w:lineRule="auto"/>
        <w:ind w:left="1418" w:right="260" w:hanging="567"/>
        <w:jc w:val="both"/>
        <w:rPr>
          <w:rFonts w:ascii="Arial" w:hAnsi="Arial" w:cs="Arial"/>
        </w:rPr>
      </w:pPr>
      <w:r>
        <w:rPr>
          <w:rFonts w:ascii="Arial" w:hAnsi="Arial" w:cs="Arial"/>
        </w:rPr>
        <w:t>9.</w:t>
      </w:r>
      <w:r w:rsidR="004B635D">
        <w:rPr>
          <w:rFonts w:ascii="Arial" w:hAnsi="Arial" w:cs="Arial"/>
        </w:rPr>
        <w:t>2</w:t>
      </w:r>
      <w:r w:rsidRPr="008F6E38">
        <w:rPr>
          <w:rFonts w:ascii="Arial" w:hAnsi="Arial" w:cs="Arial"/>
        </w:rPr>
        <w:tab/>
        <w:t>Demonstrate development in close</w:t>
      </w:r>
      <w:r>
        <w:rPr>
          <w:rFonts w:ascii="Arial" w:hAnsi="Arial" w:cs="Arial"/>
        </w:rPr>
        <w:t xml:space="preserve"> reading and analytical skills;</w:t>
      </w:r>
    </w:p>
    <w:p w14:paraId="311C938C" w14:textId="2B062A1C" w:rsidR="00C25C76" w:rsidRPr="0036174D" w:rsidRDefault="008F6E38" w:rsidP="008F6E38">
      <w:pPr>
        <w:spacing w:after="120" w:line="240" w:lineRule="auto"/>
        <w:ind w:left="1418" w:right="260" w:hanging="567"/>
        <w:jc w:val="both"/>
        <w:rPr>
          <w:rFonts w:ascii="Arial" w:hAnsi="Arial" w:cs="Arial"/>
        </w:rPr>
      </w:pPr>
      <w:r>
        <w:rPr>
          <w:rFonts w:ascii="Arial" w:hAnsi="Arial" w:cs="Arial"/>
        </w:rPr>
        <w:t>9.</w:t>
      </w:r>
      <w:r w:rsidR="004B635D">
        <w:rPr>
          <w:rFonts w:ascii="Arial" w:hAnsi="Arial" w:cs="Arial"/>
        </w:rPr>
        <w:t>3</w:t>
      </w:r>
      <w:r w:rsidRPr="008F6E38">
        <w:rPr>
          <w:rFonts w:ascii="Arial" w:hAnsi="Arial" w:cs="Arial"/>
        </w:rPr>
        <w:tab/>
        <w:t>Demonstrate independent research skills.</w:t>
      </w:r>
    </w:p>
    <w:p w14:paraId="30551C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C344980" w14:textId="4E57A1F1" w:rsidR="009A2D37" w:rsidRPr="0036174D" w:rsidRDefault="008F6E38" w:rsidP="00C25C76">
      <w:pPr>
        <w:spacing w:after="120" w:line="240" w:lineRule="auto"/>
        <w:ind w:left="567" w:right="260"/>
        <w:jc w:val="both"/>
        <w:rPr>
          <w:rFonts w:ascii="Arial" w:hAnsi="Arial" w:cs="Arial"/>
          <w:iCs/>
        </w:rPr>
      </w:pPr>
      <w:r w:rsidRPr="008F6E38">
        <w:rPr>
          <w:rFonts w:ascii="Arial" w:hAnsi="Arial" w:cs="Arial"/>
          <w:iCs/>
        </w:rPr>
        <w:t>This module is designed to introduce students to major literary works (in various genres) from the early nineteenth century to the present day that explore the theme of madness, with a particular focus on the function of madness as a metaphor. The module will encourage students to consider the historical contexts out of which the various texts emerge, and to analyse the ways in which modern European literature takes up the theme of madness to explore social, psychological, philosophical, religious, and aesthetic questions. Particular attention will be paid to the close analysis of literary style in order to assess each writer’s attempt to capture the discourse of madness. Topics for consideration will include the relation between artistic creativity and madness, madness as a form of socio-political resistance, madness and gender, the figure of the ‘double’, and, above all, the extent to which Michel Foucault is justified in claiming in The History of Madness that in the post-Enlightenment period ‘unreason has belonged to whatever is decisive, for the modern world, in any work of art’.</w:t>
      </w:r>
    </w:p>
    <w:p w14:paraId="0CF480E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9F5FDD1" w14:textId="71AB3D65" w:rsidR="00C035F7" w:rsidRDefault="00C035F7" w:rsidP="008F6E38">
      <w:pPr>
        <w:spacing w:after="120" w:line="240" w:lineRule="auto"/>
        <w:ind w:left="567" w:right="260"/>
        <w:jc w:val="both"/>
        <w:rPr>
          <w:rFonts w:ascii="Arial" w:hAnsi="Arial" w:cs="Arial"/>
        </w:rPr>
      </w:pPr>
      <w:r>
        <w:rPr>
          <w:rFonts w:ascii="Arial" w:hAnsi="Arial" w:cs="Arial"/>
        </w:rPr>
        <w:t>Any edition of the works listed below:</w:t>
      </w:r>
    </w:p>
    <w:p w14:paraId="3B1C1102" w14:textId="77777777" w:rsidR="00DD189E" w:rsidRPr="008F6E38" w:rsidRDefault="00DD189E" w:rsidP="00DD189E">
      <w:pPr>
        <w:spacing w:after="120" w:line="240" w:lineRule="auto"/>
        <w:ind w:left="567" w:right="260"/>
        <w:jc w:val="both"/>
        <w:rPr>
          <w:rFonts w:ascii="Arial" w:hAnsi="Arial" w:cs="Arial"/>
        </w:rPr>
      </w:pPr>
      <w:r w:rsidRPr="008F6E38">
        <w:rPr>
          <w:rFonts w:ascii="Arial" w:hAnsi="Arial" w:cs="Arial"/>
        </w:rPr>
        <w:t xml:space="preserve">Thomas Bernhard, </w:t>
      </w:r>
      <w:r w:rsidRPr="008F6E38">
        <w:rPr>
          <w:rFonts w:ascii="Arial" w:hAnsi="Arial" w:cs="Arial"/>
          <w:i/>
        </w:rPr>
        <w:t>Wittgenstein’s Nephew</w:t>
      </w:r>
      <w:r w:rsidRPr="008F6E38">
        <w:rPr>
          <w:rFonts w:ascii="Arial" w:hAnsi="Arial" w:cs="Arial"/>
        </w:rPr>
        <w:t xml:space="preserve"> (1982)</w:t>
      </w:r>
    </w:p>
    <w:p w14:paraId="49EC4508" w14:textId="77777777" w:rsidR="008F6E38" w:rsidRPr="008F6E38" w:rsidRDefault="008F6E38" w:rsidP="008F6E38">
      <w:pPr>
        <w:spacing w:after="120" w:line="240" w:lineRule="auto"/>
        <w:ind w:left="567" w:right="260"/>
        <w:jc w:val="both"/>
        <w:rPr>
          <w:rFonts w:ascii="Arial" w:hAnsi="Arial" w:cs="Arial"/>
        </w:rPr>
      </w:pPr>
      <w:r w:rsidRPr="008F6E38">
        <w:rPr>
          <w:rFonts w:ascii="Arial" w:hAnsi="Arial" w:cs="Arial"/>
        </w:rPr>
        <w:t xml:space="preserve">Georg Büchner, </w:t>
      </w:r>
      <w:r w:rsidRPr="008F6E38">
        <w:rPr>
          <w:rFonts w:ascii="Arial" w:hAnsi="Arial" w:cs="Arial"/>
          <w:i/>
        </w:rPr>
        <w:t>Woyzeck</w:t>
      </w:r>
      <w:r w:rsidRPr="008F6E38">
        <w:rPr>
          <w:rFonts w:ascii="Arial" w:hAnsi="Arial" w:cs="Arial"/>
        </w:rPr>
        <w:t xml:space="preserve"> (c. 1836–7)</w:t>
      </w:r>
    </w:p>
    <w:p w14:paraId="082132E1" w14:textId="77777777" w:rsidR="008F6E38" w:rsidRPr="008F6E38" w:rsidRDefault="008F6E38" w:rsidP="008F6E38">
      <w:pPr>
        <w:spacing w:after="120" w:line="240" w:lineRule="auto"/>
        <w:ind w:left="567" w:right="260"/>
        <w:jc w:val="both"/>
        <w:rPr>
          <w:rFonts w:ascii="Arial" w:hAnsi="Arial" w:cs="Arial"/>
        </w:rPr>
      </w:pPr>
      <w:r w:rsidRPr="008F6E38">
        <w:rPr>
          <w:rFonts w:ascii="Arial" w:hAnsi="Arial" w:cs="Arial"/>
        </w:rPr>
        <w:t xml:space="preserve">Fyodor Dostoevsky, </w:t>
      </w:r>
      <w:r w:rsidRPr="008F6E38">
        <w:rPr>
          <w:rFonts w:ascii="Arial" w:hAnsi="Arial" w:cs="Arial"/>
          <w:i/>
        </w:rPr>
        <w:t>The Double</w:t>
      </w:r>
      <w:r w:rsidRPr="008F6E38">
        <w:rPr>
          <w:rFonts w:ascii="Arial" w:hAnsi="Arial" w:cs="Arial"/>
        </w:rPr>
        <w:t xml:space="preserve"> (1846)</w:t>
      </w:r>
    </w:p>
    <w:p w14:paraId="27560FD6" w14:textId="77777777" w:rsidR="00DD189E" w:rsidRPr="008F6E38" w:rsidRDefault="00DD189E" w:rsidP="00DD189E">
      <w:pPr>
        <w:spacing w:after="120" w:line="240" w:lineRule="auto"/>
        <w:ind w:left="567" w:right="260"/>
        <w:jc w:val="both"/>
        <w:rPr>
          <w:rFonts w:ascii="Arial" w:hAnsi="Arial" w:cs="Arial"/>
        </w:rPr>
      </w:pPr>
      <w:r w:rsidRPr="008F6E38">
        <w:rPr>
          <w:rFonts w:ascii="Arial" w:hAnsi="Arial" w:cs="Arial"/>
        </w:rPr>
        <w:t xml:space="preserve">Nikolai Gogol, </w:t>
      </w:r>
      <w:r w:rsidRPr="008F6E38">
        <w:rPr>
          <w:rFonts w:ascii="Arial" w:hAnsi="Arial" w:cs="Arial"/>
          <w:i/>
        </w:rPr>
        <w:t>Diary of a Madman</w:t>
      </w:r>
      <w:r w:rsidRPr="008F6E38">
        <w:rPr>
          <w:rFonts w:ascii="Arial" w:hAnsi="Arial" w:cs="Arial"/>
        </w:rPr>
        <w:t xml:space="preserve"> (1835)</w:t>
      </w:r>
    </w:p>
    <w:p w14:paraId="0A199829" w14:textId="77777777" w:rsidR="00DD189E" w:rsidRPr="004412BE" w:rsidRDefault="00DD189E" w:rsidP="00DD189E">
      <w:pPr>
        <w:spacing w:after="120" w:line="240" w:lineRule="auto"/>
        <w:ind w:left="567" w:right="260"/>
        <w:jc w:val="both"/>
        <w:rPr>
          <w:rFonts w:ascii="Arial" w:hAnsi="Arial" w:cs="Arial"/>
        </w:rPr>
      </w:pPr>
      <w:r w:rsidRPr="008F6E38">
        <w:rPr>
          <w:rFonts w:ascii="Arial" w:hAnsi="Arial" w:cs="Arial"/>
        </w:rPr>
        <w:t xml:space="preserve">Sarah Kane, </w:t>
      </w:r>
      <w:r w:rsidRPr="008F6E38">
        <w:rPr>
          <w:rFonts w:ascii="Arial" w:hAnsi="Arial" w:cs="Arial"/>
          <w:i/>
        </w:rPr>
        <w:t>4.48 Psychosis</w:t>
      </w:r>
      <w:r w:rsidRPr="008F6E38">
        <w:rPr>
          <w:rFonts w:ascii="Arial" w:hAnsi="Arial" w:cs="Arial"/>
        </w:rPr>
        <w:t xml:space="preserve"> (2000)</w:t>
      </w:r>
    </w:p>
    <w:p w14:paraId="616E1F0A" w14:textId="77777777" w:rsidR="00DD189E" w:rsidRPr="008F6E38" w:rsidRDefault="00DD189E" w:rsidP="00DD189E">
      <w:pPr>
        <w:spacing w:after="120" w:line="240" w:lineRule="auto"/>
        <w:ind w:left="567" w:right="260"/>
        <w:jc w:val="both"/>
        <w:rPr>
          <w:rFonts w:ascii="Arial" w:hAnsi="Arial" w:cs="Arial"/>
        </w:rPr>
      </w:pPr>
      <w:r w:rsidRPr="008F6E38">
        <w:rPr>
          <w:rFonts w:ascii="Arial" w:hAnsi="Arial" w:cs="Arial"/>
        </w:rPr>
        <w:t xml:space="preserve">Vladimir Nabokov, </w:t>
      </w:r>
      <w:r w:rsidRPr="008F6E38">
        <w:rPr>
          <w:rFonts w:ascii="Arial" w:hAnsi="Arial" w:cs="Arial"/>
          <w:i/>
        </w:rPr>
        <w:t>Despair</w:t>
      </w:r>
      <w:r w:rsidRPr="008F6E38">
        <w:rPr>
          <w:rFonts w:ascii="Arial" w:hAnsi="Arial" w:cs="Arial"/>
        </w:rPr>
        <w:t xml:space="preserve"> (1934)</w:t>
      </w:r>
    </w:p>
    <w:p w14:paraId="7CA99596" w14:textId="77777777" w:rsidR="008F6E38" w:rsidRPr="008F6E38" w:rsidRDefault="008F6E38" w:rsidP="008F6E38">
      <w:pPr>
        <w:spacing w:after="120" w:line="240" w:lineRule="auto"/>
        <w:ind w:left="567" w:right="260"/>
        <w:jc w:val="both"/>
        <w:rPr>
          <w:rFonts w:ascii="Arial" w:hAnsi="Arial" w:cs="Arial"/>
        </w:rPr>
      </w:pPr>
      <w:r w:rsidRPr="008F6E38">
        <w:rPr>
          <w:rFonts w:ascii="Arial" w:hAnsi="Arial" w:cs="Arial"/>
        </w:rPr>
        <w:t xml:space="preserve">Gérard de Nerval, </w:t>
      </w:r>
      <w:r w:rsidRPr="008F6E38">
        <w:rPr>
          <w:rFonts w:ascii="Arial" w:hAnsi="Arial" w:cs="Arial"/>
          <w:i/>
        </w:rPr>
        <w:t>Aurélia</w:t>
      </w:r>
      <w:r w:rsidRPr="008F6E38">
        <w:rPr>
          <w:rFonts w:ascii="Arial" w:hAnsi="Arial" w:cs="Arial"/>
        </w:rPr>
        <w:t xml:space="preserve"> (1855)</w:t>
      </w:r>
      <w:bookmarkStart w:id="0" w:name="_GoBack"/>
      <w:bookmarkEnd w:id="0"/>
    </w:p>
    <w:p w14:paraId="1B9AE07D" w14:textId="5A18C979" w:rsidR="008F6E38" w:rsidRPr="008F6E38" w:rsidRDefault="008F6E38" w:rsidP="008F6E38">
      <w:pPr>
        <w:spacing w:after="120" w:line="240" w:lineRule="auto"/>
        <w:ind w:left="567" w:right="260"/>
        <w:jc w:val="both"/>
        <w:rPr>
          <w:rFonts w:ascii="Arial" w:hAnsi="Arial" w:cs="Arial"/>
        </w:rPr>
      </w:pPr>
      <w:r w:rsidRPr="008F6E38">
        <w:rPr>
          <w:rFonts w:ascii="Arial" w:hAnsi="Arial" w:cs="Arial"/>
        </w:rPr>
        <w:t xml:space="preserve">Sylvia Plath, </w:t>
      </w:r>
      <w:r w:rsidRPr="008F6E38">
        <w:rPr>
          <w:rFonts w:ascii="Arial" w:hAnsi="Arial" w:cs="Arial"/>
          <w:i/>
        </w:rPr>
        <w:t>The Bell Jar</w:t>
      </w:r>
      <w:r w:rsidRPr="008F6E38">
        <w:rPr>
          <w:rFonts w:ascii="Arial" w:hAnsi="Arial" w:cs="Arial"/>
        </w:rPr>
        <w:t xml:space="preserve"> (1963)</w:t>
      </w:r>
    </w:p>
    <w:p w14:paraId="754D0B4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B5C210" w14:textId="57529006" w:rsidR="0036174D" w:rsidRDefault="005E5A80" w:rsidP="00745702">
      <w:pPr>
        <w:spacing w:after="120" w:line="240" w:lineRule="auto"/>
        <w:ind w:left="567" w:right="260"/>
        <w:rPr>
          <w:rFonts w:ascii="Arial" w:hAnsi="Arial" w:cs="Arial"/>
          <w:iCs/>
        </w:rPr>
      </w:pPr>
      <w:r>
        <w:rPr>
          <w:rFonts w:ascii="Arial" w:hAnsi="Arial" w:cs="Arial"/>
          <w:iCs/>
        </w:rPr>
        <w:t xml:space="preserve">Total Contact Hours: </w:t>
      </w:r>
      <w:r w:rsidR="008F6E38">
        <w:rPr>
          <w:rFonts w:ascii="Arial" w:hAnsi="Arial" w:cs="Arial"/>
          <w:iCs/>
        </w:rPr>
        <w:t>20</w:t>
      </w:r>
    </w:p>
    <w:p w14:paraId="02E2B22A" w14:textId="55F7FF27" w:rsidR="005E5A80" w:rsidRDefault="005E5A80" w:rsidP="00745702">
      <w:pPr>
        <w:spacing w:after="120" w:line="240" w:lineRule="auto"/>
        <w:ind w:left="567" w:right="260"/>
        <w:rPr>
          <w:rFonts w:ascii="Arial" w:hAnsi="Arial" w:cs="Arial"/>
          <w:iCs/>
        </w:rPr>
      </w:pPr>
      <w:r>
        <w:rPr>
          <w:rFonts w:ascii="Arial" w:hAnsi="Arial" w:cs="Arial"/>
          <w:iCs/>
        </w:rPr>
        <w:t xml:space="preserve">Private Study Hours: </w:t>
      </w:r>
      <w:r w:rsidR="008F6E38">
        <w:rPr>
          <w:rFonts w:ascii="Arial" w:hAnsi="Arial" w:cs="Arial"/>
          <w:iCs/>
        </w:rPr>
        <w:t>28</w:t>
      </w:r>
      <w:r w:rsidR="00DD189E">
        <w:rPr>
          <w:rFonts w:ascii="Arial" w:hAnsi="Arial" w:cs="Arial"/>
          <w:iCs/>
        </w:rPr>
        <w:t>0</w:t>
      </w:r>
    </w:p>
    <w:p w14:paraId="4DD99A46" w14:textId="7B201C3D" w:rsidR="005E5A80" w:rsidRDefault="005E5A80" w:rsidP="00745702">
      <w:pPr>
        <w:spacing w:after="120" w:line="240" w:lineRule="auto"/>
        <w:ind w:left="567" w:right="260"/>
        <w:rPr>
          <w:rFonts w:ascii="Arial" w:hAnsi="Arial" w:cs="Arial"/>
          <w:iCs/>
        </w:rPr>
      </w:pPr>
      <w:r>
        <w:rPr>
          <w:rFonts w:ascii="Arial" w:hAnsi="Arial" w:cs="Arial"/>
          <w:iCs/>
        </w:rPr>
        <w:t xml:space="preserve">Total Study Hours: </w:t>
      </w:r>
      <w:r w:rsidR="008F6E38">
        <w:rPr>
          <w:rFonts w:ascii="Arial" w:hAnsi="Arial" w:cs="Arial"/>
          <w:iCs/>
        </w:rPr>
        <w:t>300</w:t>
      </w:r>
    </w:p>
    <w:p w14:paraId="30003EE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47B169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6D489660" w14:textId="55F8ED85" w:rsidR="00B81E6B" w:rsidRDefault="004B635D" w:rsidP="00B81E6B">
      <w:pPr>
        <w:pStyle w:val="ListParagraph"/>
        <w:numPr>
          <w:ilvl w:val="0"/>
          <w:numId w:val="10"/>
        </w:numPr>
        <w:spacing w:after="120"/>
        <w:ind w:right="260"/>
        <w:contextualSpacing w:val="0"/>
        <w:rPr>
          <w:rFonts w:ascii="Arial" w:hAnsi="Arial" w:cs="Arial"/>
          <w:iCs/>
        </w:rPr>
      </w:pPr>
      <w:r>
        <w:rPr>
          <w:rFonts w:ascii="Arial" w:hAnsi="Arial" w:cs="Arial"/>
          <w:iCs/>
        </w:rPr>
        <w:t>Essay (5,000 words) – 100%</w:t>
      </w:r>
    </w:p>
    <w:p w14:paraId="1699526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2FAF85C" w14:textId="328E0327" w:rsidR="00AE6CD0" w:rsidRPr="0036174D" w:rsidRDefault="00B81E6B" w:rsidP="00B81E6B">
      <w:pPr>
        <w:pStyle w:val="ListParagraph"/>
        <w:numPr>
          <w:ilvl w:val="0"/>
          <w:numId w:val="9"/>
        </w:numPr>
        <w:spacing w:after="120"/>
        <w:ind w:right="260"/>
        <w:contextualSpacing w:val="0"/>
        <w:rPr>
          <w:rFonts w:ascii="Arial" w:hAnsi="Arial" w:cs="Arial"/>
          <w:iCs/>
        </w:rPr>
      </w:pPr>
      <w:r>
        <w:rPr>
          <w:rFonts w:ascii="Arial" w:hAnsi="Arial" w:cs="Arial"/>
          <w:iCs/>
        </w:rPr>
        <w:t xml:space="preserve">Reassessment Instrument: 100% </w:t>
      </w:r>
      <w:r w:rsidR="008F6E38">
        <w:rPr>
          <w:rFonts w:ascii="Arial" w:hAnsi="Arial" w:cs="Arial"/>
          <w:iCs/>
        </w:rPr>
        <w:t>Coursework</w:t>
      </w:r>
    </w:p>
    <w:p w14:paraId="4116AB1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7088" w:type="dxa"/>
        <w:tblInd w:w="562" w:type="dxa"/>
        <w:tblLayout w:type="fixed"/>
        <w:tblLook w:val="04A0" w:firstRow="1" w:lastRow="0" w:firstColumn="1" w:lastColumn="0" w:noHBand="0" w:noVBand="1"/>
      </w:tblPr>
      <w:tblGrid>
        <w:gridCol w:w="3119"/>
        <w:gridCol w:w="567"/>
        <w:gridCol w:w="567"/>
        <w:gridCol w:w="567"/>
        <w:gridCol w:w="567"/>
        <w:gridCol w:w="567"/>
        <w:gridCol w:w="567"/>
        <w:gridCol w:w="567"/>
      </w:tblGrid>
      <w:tr w:rsidR="004B635D" w:rsidRPr="00302082" w14:paraId="553F8A56" w14:textId="4C116066" w:rsidTr="004B635D">
        <w:tc>
          <w:tcPr>
            <w:tcW w:w="3119" w:type="dxa"/>
            <w:shd w:val="clear" w:color="auto" w:fill="D9D9D9" w:themeFill="background1" w:themeFillShade="D9"/>
          </w:tcPr>
          <w:p w14:paraId="1DADE6F3" w14:textId="77777777" w:rsidR="004B635D" w:rsidRPr="00302082" w:rsidRDefault="004B635D" w:rsidP="00302082">
            <w:pPr>
              <w:spacing w:after="120"/>
              <w:rPr>
                <w:rFonts w:ascii="Arial" w:hAnsi="Arial" w:cs="Arial"/>
                <w:i/>
              </w:rPr>
            </w:pPr>
            <w:r w:rsidRPr="00302082">
              <w:rPr>
                <w:rFonts w:ascii="Arial" w:hAnsi="Arial" w:cs="Arial"/>
                <w:b/>
              </w:rPr>
              <w:t>Module learning outcome</w:t>
            </w:r>
          </w:p>
        </w:tc>
        <w:tc>
          <w:tcPr>
            <w:tcW w:w="567" w:type="dxa"/>
          </w:tcPr>
          <w:p w14:paraId="3381B319" w14:textId="77777777" w:rsidR="004B635D" w:rsidRPr="00302082" w:rsidRDefault="004B635D" w:rsidP="00302082">
            <w:pPr>
              <w:spacing w:after="120"/>
              <w:rPr>
                <w:rFonts w:ascii="Arial" w:hAnsi="Arial" w:cs="Arial"/>
                <w:i/>
              </w:rPr>
            </w:pPr>
            <w:r w:rsidRPr="00302082">
              <w:rPr>
                <w:rFonts w:ascii="Arial" w:hAnsi="Arial" w:cs="Arial"/>
                <w:i/>
              </w:rPr>
              <w:t>8.1</w:t>
            </w:r>
          </w:p>
        </w:tc>
        <w:tc>
          <w:tcPr>
            <w:tcW w:w="567" w:type="dxa"/>
          </w:tcPr>
          <w:p w14:paraId="11C0901D" w14:textId="77777777" w:rsidR="004B635D" w:rsidRPr="00302082" w:rsidRDefault="004B635D" w:rsidP="00302082">
            <w:pPr>
              <w:spacing w:after="120"/>
              <w:rPr>
                <w:rFonts w:ascii="Arial" w:hAnsi="Arial" w:cs="Arial"/>
                <w:i/>
              </w:rPr>
            </w:pPr>
            <w:r w:rsidRPr="00302082">
              <w:rPr>
                <w:rFonts w:ascii="Arial" w:hAnsi="Arial" w:cs="Arial"/>
                <w:i/>
              </w:rPr>
              <w:t>8.2</w:t>
            </w:r>
          </w:p>
        </w:tc>
        <w:tc>
          <w:tcPr>
            <w:tcW w:w="567" w:type="dxa"/>
          </w:tcPr>
          <w:p w14:paraId="23656DB2" w14:textId="77777777" w:rsidR="004B635D" w:rsidRPr="00302082" w:rsidRDefault="004B635D" w:rsidP="00302082">
            <w:pPr>
              <w:spacing w:after="120"/>
              <w:rPr>
                <w:rFonts w:ascii="Arial" w:hAnsi="Arial" w:cs="Arial"/>
                <w:i/>
              </w:rPr>
            </w:pPr>
            <w:r w:rsidRPr="00302082">
              <w:rPr>
                <w:rFonts w:ascii="Arial" w:hAnsi="Arial" w:cs="Arial"/>
                <w:i/>
              </w:rPr>
              <w:t>8.3</w:t>
            </w:r>
          </w:p>
        </w:tc>
        <w:tc>
          <w:tcPr>
            <w:tcW w:w="567" w:type="dxa"/>
          </w:tcPr>
          <w:p w14:paraId="052E123F" w14:textId="77777777" w:rsidR="004B635D" w:rsidRPr="00302082" w:rsidRDefault="004B635D" w:rsidP="00302082">
            <w:pPr>
              <w:spacing w:after="120"/>
              <w:rPr>
                <w:rFonts w:ascii="Arial" w:hAnsi="Arial" w:cs="Arial"/>
                <w:i/>
              </w:rPr>
            </w:pPr>
            <w:r w:rsidRPr="00302082">
              <w:rPr>
                <w:rFonts w:ascii="Arial" w:hAnsi="Arial" w:cs="Arial"/>
                <w:i/>
              </w:rPr>
              <w:t>8.4</w:t>
            </w:r>
          </w:p>
        </w:tc>
        <w:tc>
          <w:tcPr>
            <w:tcW w:w="567" w:type="dxa"/>
          </w:tcPr>
          <w:p w14:paraId="1D1405B4" w14:textId="77777777" w:rsidR="004B635D" w:rsidRPr="00302082" w:rsidRDefault="004B635D" w:rsidP="00302082">
            <w:pPr>
              <w:spacing w:after="120"/>
              <w:rPr>
                <w:rFonts w:ascii="Arial" w:hAnsi="Arial" w:cs="Arial"/>
                <w:i/>
              </w:rPr>
            </w:pPr>
            <w:r w:rsidRPr="00302082">
              <w:rPr>
                <w:rFonts w:ascii="Arial" w:hAnsi="Arial" w:cs="Arial"/>
                <w:i/>
              </w:rPr>
              <w:t>9.1</w:t>
            </w:r>
          </w:p>
        </w:tc>
        <w:tc>
          <w:tcPr>
            <w:tcW w:w="567" w:type="dxa"/>
          </w:tcPr>
          <w:p w14:paraId="242B98FE" w14:textId="77777777" w:rsidR="004B635D" w:rsidRPr="00302082" w:rsidRDefault="004B635D" w:rsidP="00302082">
            <w:pPr>
              <w:spacing w:after="120"/>
              <w:rPr>
                <w:rFonts w:ascii="Arial" w:hAnsi="Arial" w:cs="Arial"/>
                <w:i/>
              </w:rPr>
            </w:pPr>
            <w:r w:rsidRPr="00302082">
              <w:rPr>
                <w:rFonts w:ascii="Arial" w:hAnsi="Arial" w:cs="Arial"/>
                <w:i/>
              </w:rPr>
              <w:t>9.2</w:t>
            </w:r>
          </w:p>
        </w:tc>
        <w:tc>
          <w:tcPr>
            <w:tcW w:w="567" w:type="dxa"/>
          </w:tcPr>
          <w:p w14:paraId="37991081" w14:textId="77777777" w:rsidR="004B635D" w:rsidRPr="00302082" w:rsidRDefault="004B635D" w:rsidP="00302082">
            <w:pPr>
              <w:spacing w:after="120"/>
              <w:rPr>
                <w:rFonts w:ascii="Arial" w:hAnsi="Arial" w:cs="Arial"/>
                <w:i/>
              </w:rPr>
            </w:pPr>
            <w:r w:rsidRPr="00302082">
              <w:rPr>
                <w:rFonts w:ascii="Arial" w:hAnsi="Arial" w:cs="Arial"/>
                <w:i/>
              </w:rPr>
              <w:t>9.3</w:t>
            </w:r>
          </w:p>
        </w:tc>
      </w:tr>
      <w:tr w:rsidR="004B635D" w:rsidRPr="00302082" w14:paraId="47248550" w14:textId="4E990121" w:rsidTr="004B635D">
        <w:tc>
          <w:tcPr>
            <w:tcW w:w="3119" w:type="dxa"/>
            <w:shd w:val="clear" w:color="auto" w:fill="D9D9D9" w:themeFill="background1" w:themeFillShade="D9"/>
          </w:tcPr>
          <w:p w14:paraId="01AAEE85" w14:textId="77777777" w:rsidR="004B635D" w:rsidRPr="00302082" w:rsidRDefault="004B635D" w:rsidP="00302082">
            <w:pPr>
              <w:spacing w:after="120"/>
              <w:rPr>
                <w:rFonts w:ascii="Arial" w:hAnsi="Arial" w:cs="Arial"/>
                <w:b/>
              </w:rPr>
            </w:pPr>
            <w:r w:rsidRPr="00302082">
              <w:rPr>
                <w:rFonts w:ascii="Arial" w:hAnsi="Arial" w:cs="Arial"/>
                <w:b/>
              </w:rPr>
              <w:t>Learning/ teaching method</w:t>
            </w:r>
          </w:p>
        </w:tc>
        <w:tc>
          <w:tcPr>
            <w:tcW w:w="567" w:type="dxa"/>
          </w:tcPr>
          <w:p w14:paraId="158D1FAA" w14:textId="77777777" w:rsidR="004B635D" w:rsidRPr="00302082" w:rsidRDefault="004B635D" w:rsidP="00302082">
            <w:pPr>
              <w:spacing w:after="120"/>
              <w:rPr>
                <w:rFonts w:ascii="Arial" w:hAnsi="Arial" w:cs="Arial"/>
                <w:b/>
              </w:rPr>
            </w:pPr>
          </w:p>
        </w:tc>
        <w:tc>
          <w:tcPr>
            <w:tcW w:w="567" w:type="dxa"/>
          </w:tcPr>
          <w:p w14:paraId="62046AD7" w14:textId="77777777" w:rsidR="004B635D" w:rsidRPr="00302082" w:rsidRDefault="004B635D" w:rsidP="00302082">
            <w:pPr>
              <w:spacing w:after="120"/>
              <w:rPr>
                <w:rFonts w:ascii="Arial" w:hAnsi="Arial" w:cs="Arial"/>
                <w:b/>
              </w:rPr>
            </w:pPr>
          </w:p>
        </w:tc>
        <w:tc>
          <w:tcPr>
            <w:tcW w:w="567" w:type="dxa"/>
          </w:tcPr>
          <w:p w14:paraId="5E839FC8" w14:textId="77777777" w:rsidR="004B635D" w:rsidRPr="00302082" w:rsidRDefault="004B635D" w:rsidP="00302082">
            <w:pPr>
              <w:spacing w:after="120"/>
              <w:rPr>
                <w:rFonts w:ascii="Arial" w:hAnsi="Arial" w:cs="Arial"/>
                <w:b/>
              </w:rPr>
            </w:pPr>
          </w:p>
        </w:tc>
        <w:tc>
          <w:tcPr>
            <w:tcW w:w="567" w:type="dxa"/>
          </w:tcPr>
          <w:p w14:paraId="7A95A826" w14:textId="77777777" w:rsidR="004B635D" w:rsidRPr="00302082" w:rsidRDefault="004B635D" w:rsidP="00302082">
            <w:pPr>
              <w:spacing w:after="120"/>
              <w:rPr>
                <w:rFonts w:ascii="Arial" w:hAnsi="Arial" w:cs="Arial"/>
                <w:b/>
              </w:rPr>
            </w:pPr>
          </w:p>
        </w:tc>
        <w:tc>
          <w:tcPr>
            <w:tcW w:w="567" w:type="dxa"/>
          </w:tcPr>
          <w:p w14:paraId="1BB15928" w14:textId="77777777" w:rsidR="004B635D" w:rsidRPr="00302082" w:rsidRDefault="004B635D" w:rsidP="00302082">
            <w:pPr>
              <w:spacing w:after="120"/>
              <w:rPr>
                <w:rFonts w:ascii="Arial" w:hAnsi="Arial" w:cs="Arial"/>
                <w:b/>
              </w:rPr>
            </w:pPr>
          </w:p>
        </w:tc>
        <w:tc>
          <w:tcPr>
            <w:tcW w:w="567" w:type="dxa"/>
          </w:tcPr>
          <w:p w14:paraId="7DB6038F" w14:textId="77777777" w:rsidR="004B635D" w:rsidRPr="00302082" w:rsidRDefault="004B635D" w:rsidP="00302082">
            <w:pPr>
              <w:spacing w:after="120"/>
              <w:rPr>
                <w:rFonts w:ascii="Arial" w:hAnsi="Arial" w:cs="Arial"/>
                <w:b/>
              </w:rPr>
            </w:pPr>
          </w:p>
        </w:tc>
        <w:tc>
          <w:tcPr>
            <w:tcW w:w="567" w:type="dxa"/>
          </w:tcPr>
          <w:p w14:paraId="4AB36F59" w14:textId="77777777" w:rsidR="004B635D" w:rsidRPr="00302082" w:rsidRDefault="004B635D" w:rsidP="00302082">
            <w:pPr>
              <w:spacing w:after="120"/>
              <w:rPr>
                <w:rFonts w:ascii="Arial" w:hAnsi="Arial" w:cs="Arial"/>
                <w:b/>
              </w:rPr>
            </w:pPr>
          </w:p>
        </w:tc>
      </w:tr>
      <w:tr w:rsidR="004B635D" w:rsidRPr="00302082" w14:paraId="498CF5AB" w14:textId="02B4DB63" w:rsidTr="004B635D">
        <w:tc>
          <w:tcPr>
            <w:tcW w:w="3119" w:type="dxa"/>
            <w:vAlign w:val="center"/>
          </w:tcPr>
          <w:p w14:paraId="5F1B225B" w14:textId="77777777" w:rsidR="004B635D" w:rsidRPr="00606F6C" w:rsidRDefault="004B635D" w:rsidP="00606F6C">
            <w:pPr>
              <w:spacing w:after="120"/>
              <w:rPr>
                <w:rFonts w:ascii="Arial" w:hAnsi="Arial" w:cs="Arial"/>
              </w:rPr>
            </w:pPr>
            <w:r w:rsidRPr="00606F6C">
              <w:rPr>
                <w:rFonts w:ascii="Arial" w:hAnsi="Arial" w:cs="Arial"/>
              </w:rPr>
              <w:t>Private Study</w:t>
            </w:r>
          </w:p>
        </w:tc>
        <w:tc>
          <w:tcPr>
            <w:tcW w:w="567" w:type="dxa"/>
          </w:tcPr>
          <w:p w14:paraId="2F01E429" w14:textId="2901D235" w:rsidR="004B635D" w:rsidRPr="00302082" w:rsidRDefault="004B635D" w:rsidP="00745702">
            <w:pPr>
              <w:spacing w:after="120"/>
              <w:jc w:val="center"/>
              <w:rPr>
                <w:rFonts w:ascii="Arial" w:hAnsi="Arial" w:cs="Arial"/>
                <w:b/>
              </w:rPr>
            </w:pPr>
            <w:r>
              <w:rPr>
                <w:rFonts w:ascii="Arial" w:hAnsi="Arial" w:cs="Arial"/>
                <w:b/>
              </w:rPr>
              <w:t>x</w:t>
            </w:r>
          </w:p>
        </w:tc>
        <w:tc>
          <w:tcPr>
            <w:tcW w:w="567" w:type="dxa"/>
          </w:tcPr>
          <w:p w14:paraId="769AD055" w14:textId="194A7F14" w:rsidR="004B635D" w:rsidRPr="00302082" w:rsidRDefault="004B635D" w:rsidP="00745702">
            <w:pPr>
              <w:spacing w:after="120"/>
              <w:jc w:val="center"/>
              <w:rPr>
                <w:rFonts w:ascii="Arial" w:hAnsi="Arial" w:cs="Arial"/>
                <w:b/>
              </w:rPr>
            </w:pPr>
            <w:r>
              <w:rPr>
                <w:rFonts w:ascii="Arial" w:hAnsi="Arial" w:cs="Arial"/>
                <w:b/>
              </w:rPr>
              <w:t>x</w:t>
            </w:r>
          </w:p>
        </w:tc>
        <w:tc>
          <w:tcPr>
            <w:tcW w:w="567" w:type="dxa"/>
          </w:tcPr>
          <w:p w14:paraId="2C374C1C" w14:textId="2B3E34D5" w:rsidR="004B635D" w:rsidRPr="00302082" w:rsidRDefault="004B635D" w:rsidP="00745702">
            <w:pPr>
              <w:spacing w:after="120"/>
              <w:jc w:val="center"/>
              <w:rPr>
                <w:rFonts w:ascii="Arial" w:hAnsi="Arial" w:cs="Arial"/>
                <w:b/>
              </w:rPr>
            </w:pPr>
            <w:r>
              <w:rPr>
                <w:rFonts w:ascii="Arial" w:hAnsi="Arial" w:cs="Arial"/>
                <w:b/>
              </w:rPr>
              <w:t>x</w:t>
            </w:r>
          </w:p>
        </w:tc>
        <w:tc>
          <w:tcPr>
            <w:tcW w:w="567" w:type="dxa"/>
          </w:tcPr>
          <w:p w14:paraId="606F9221" w14:textId="688A928C" w:rsidR="004B635D" w:rsidRPr="00302082" w:rsidRDefault="004B635D" w:rsidP="00745702">
            <w:pPr>
              <w:spacing w:after="120"/>
              <w:jc w:val="center"/>
              <w:rPr>
                <w:rFonts w:ascii="Arial" w:hAnsi="Arial" w:cs="Arial"/>
                <w:b/>
              </w:rPr>
            </w:pPr>
            <w:r>
              <w:rPr>
                <w:rFonts w:ascii="Arial" w:hAnsi="Arial" w:cs="Arial"/>
                <w:b/>
              </w:rPr>
              <w:t>x</w:t>
            </w:r>
          </w:p>
        </w:tc>
        <w:tc>
          <w:tcPr>
            <w:tcW w:w="567" w:type="dxa"/>
          </w:tcPr>
          <w:p w14:paraId="02800668" w14:textId="23FF7CE5" w:rsidR="004B635D" w:rsidRPr="00302082" w:rsidRDefault="004B635D" w:rsidP="00745702">
            <w:pPr>
              <w:spacing w:after="120"/>
              <w:jc w:val="center"/>
              <w:rPr>
                <w:rFonts w:ascii="Arial" w:hAnsi="Arial" w:cs="Arial"/>
                <w:b/>
              </w:rPr>
            </w:pPr>
            <w:r>
              <w:rPr>
                <w:rFonts w:ascii="Arial" w:hAnsi="Arial" w:cs="Arial"/>
                <w:b/>
              </w:rPr>
              <w:t>x</w:t>
            </w:r>
          </w:p>
        </w:tc>
        <w:tc>
          <w:tcPr>
            <w:tcW w:w="567" w:type="dxa"/>
          </w:tcPr>
          <w:p w14:paraId="0482631B" w14:textId="2957CDBA" w:rsidR="004B635D" w:rsidRPr="00302082" w:rsidRDefault="004B635D" w:rsidP="00745702">
            <w:pPr>
              <w:spacing w:after="120"/>
              <w:jc w:val="center"/>
              <w:rPr>
                <w:rFonts w:ascii="Arial" w:hAnsi="Arial" w:cs="Arial"/>
                <w:b/>
              </w:rPr>
            </w:pPr>
            <w:r>
              <w:rPr>
                <w:rFonts w:ascii="Arial" w:hAnsi="Arial" w:cs="Arial"/>
                <w:b/>
              </w:rPr>
              <w:t>x</w:t>
            </w:r>
          </w:p>
        </w:tc>
        <w:tc>
          <w:tcPr>
            <w:tcW w:w="567" w:type="dxa"/>
          </w:tcPr>
          <w:p w14:paraId="1920B371" w14:textId="36AA8BFA" w:rsidR="004B635D" w:rsidRPr="00302082" w:rsidRDefault="004B635D" w:rsidP="00745702">
            <w:pPr>
              <w:spacing w:after="120"/>
              <w:jc w:val="center"/>
              <w:rPr>
                <w:rFonts w:ascii="Arial" w:hAnsi="Arial" w:cs="Arial"/>
                <w:b/>
              </w:rPr>
            </w:pPr>
            <w:r>
              <w:rPr>
                <w:rFonts w:ascii="Arial" w:hAnsi="Arial" w:cs="Arial"/>
                <w:b/>
              </w:rPr>
              <w:t>x</w:t>
            </w:r>
          </w:p>
        </w:tc>
      </w:tr>
      <w:tr w:rsidR="004B635D" w:rsidRPr="00302082" w14:paraId="4B4835CE" w14:textId="13322F1A" w:rsidTr="004B635D">
        <w:tc>
          <w:tcPr>
            <w:tcW w:w="3119" w:type="dxa"/>
            <w:vAlign w:val="center"/>
          </w:tcPr>
          <w:p w14:paraId="3FB97681" w14:textId="24239880" w:rsidR="004B635D" w:rsidRPr="00606F6C" w:rsidRDefault="004B635D" w:rsidP="00606F6C">
            <w:pPr>
              <w:spacing w:after="120"/>
              <w:rPr>
                <w:rFonts w:ascii="Arial" w:hAnsi="Arial" w:cs="Arial"/>
              </w:rPr>
            </w:pPr>
            <w:r>
              <w:rPr>
                <w:rFonts w:ascii="Arial" w:hAnsi="Arial" w:cs="Arial"/>
              </w:rPr>
              <w:t>Seminar</w:t>
            </w:r>
          </w:p>
        </w:tc>
        <w:tc>
          <w:tcPr>
            <w:tcW w:w="567" w:type="dxa"/>
          </w:tcPr>
          <w:p w14:paraId="4903F8B2" w14:textId="2EB39B49" w:rsidR="004B635D" w:rsidRPr="00302082" w:rsidRDefault="004B635D" w:rsidP="00745702">
            <w:pPr>
              <w:spacing w:after="120"/>
              <w:jc w:val="center"/>
              <w:rPr>
                <w:rFonts w:ascii="Arial" w:hAnsi="Arial" w:cs="Arial"/>
                <w:b/>
              </w:rPr>
            </w:pPr>
            <w:r>
              <w:rPr>
                <w:rFonts w:ascii="Arial" w:hAnsi="Arial" w:cs="Arial"/>
                <w:b/>
              </w:rPr>
              <w:t>x</w:t>
            </w:r>
          </w:p>
        </w:tc>
        <w:tc>
          <w:tcPr>
            <w:tcW w:w="567" w:type="dxa"/>
          </w:tcPr>
          <w:p w14:paraId="3868A998" w14:textId="4F95BCFB" w:rsidR="004B635D" w:rsidRPr="00302082" w:rsidRDefault="004B635D" w:rsidP="00745702">
            <w:pPr>
              <w:spacing w:after="120"/>
              <w:jc w:val="center"/>
              <w:rPr>
                <w:rFonts w:ascii="Arial" w:hAnsi="Arial" w:cs="Arial"/>
                <w:b/>
              </w:rPr>
            </w:pPr>
            <w:r>
              <w:rPr>
                <w:rFonts w:ascii="Arial" w:hAnsi="Arial" w:cs="Arial"/>
                <w:b/>
              </w:rPr>
              <w:t>x</w:t>
            </w:r>
          </w:p>
        </w:tc>
        <w:tc>
          <w:tcPr>
            <w:tcW w:w="567" w:type="dxa"/>
          </w:tcPr>
          <w:p w14:paraId="223EF966" w14:textId="1AF59F31" w:rsidR="004B635D" w:rsidRPr="00302082" w:rsidRDefault="004B635D" w:rsidP="00745702">
            <w:pPr>
              <w:spacing w:after="120"/>
              <w:jc w:val="center"/>
              <w:rPr>
                <w:rFonts w:ascii="Arial" w:hAnsi="Arial" w:cs="Arial"/>
                <w:b/>
              </w:rPr>
            </w:pPr>
            <w:r>
              <w:rPr>
                <w:rFonts w:ascii="Arial" w:hAnsi="Arial" w:cs="Arial"/>
                <w:b/>
              </w:rPr>
              <w:t>x</w:t>
            </w:r>
          </w:p>
        </w:tc>
        <w:tc>
          <w:tcPr>
            <w:tcW w:w="567" w:type="dxa"/>
          </w:tcPr>
          <w:p w14:paraId="64F274FA" w14:textId="10DADB1A" w:rsidR="004B635D" w:rsidRPr="00302082" w:rsidRDefault="004B635D" w:rsidP="00745702">
            <w:pPr>
              <w:spacing w:after="120"/>
              <w:jc w:val="center"/>
              <w:rPr>
                <w:rFonts w:ascii="Arial" w:hAnsi="Arial" w:cs="Arial"/>
                <w:b/>
              </w:rPr>
            </w:pPr>
            <w:r>
              <w:rPr>
                <w:rFonts w:ascii="Arial" w:hAnsi="Arial" w:cs="Arial"/>
                <w:b/>
              </w:rPr>
              <w:t>x</w:t>
            </w:r>
          </w:p>
        </w:tc>
        <w:tc>
          <w:tcPr>
            <w:tcW w:w="567" w:type="dxa"/>
          </w:tcPr>
          <w:p w14:paraId="7BD769B3" w14:textId="2D5A1D3E" w:rsidR="004B635D" w:rsidRPr="00302082" w:rsidRDefault="004B635D" w:rsidP="00745702">
            <w:pPr>
              <w:spacing w:after="120"/>
              <w:jc w:val="center"/>
              <w:rPr>
                <w:rFonts w:ascii="Arial" w:hAnsi="Arial" w:cs="Arial"/>
                <w:b/>
              </w:rPr>
            </w:pPr>
            <w:r>
              <w:rPr>
                <w:rFonts w:ascii="Arial" w:hAnsi="Arial" w:cs="Arial"/>
                <w:b/>
              </w:rPr>
              <w:t>x</w:t>
            </w:r>
          </w:p>
        </w:tc>
        <w:tc>
          <w:tcPr>
            <w:tcW w:w="567" w:type="dxa"/>
          </w:tcPr>
          <w:p w14:paraId="11FEF59C" w14:textId="59C78B4F" w:rsidR="004B635D" w:rsidRPr="00302082" w:rsidRDefault="004B635D" w:rsidP="00745702">
            <w:pPr>
              <w:spacing w:after="120"/>
              <w:jc w:val="center"/>
              <w:rPr>
                <w:rFonts w:ascii="Arial" w:hAnsi="Arial" w:cs="Arial"/>
                <w:b/>
              </w:rPr>
            </w:pPr>
            <w:r>
              <w:rPr>
                <w:rFonts w:ascii="Arial" w:hAnsi="Arial" w:cs="Arial"/>
                <w:b/>
              </w:rPr>
              <w:t>x</w:t>
            </w:r>
          </w:p>
        </w:tc>
        <w:tc>
          <w:tcPr>
            <w:tcW w:w="567" w:type="dxa"/>
          </w:tcPr>
          <w:p w14:paraId="7D2125A1" w14:textId="5E96B563" w:rsidR="004B635D" w:rsidRPr="00302082" w:rsidRDefault="004B635D" w:rsidP="00745702">
            <w:pPr>
              <w:spacing w:after="120"/>
              <w:jc w:val="center"/>
              <w:rPr>
                <w:rFonts w:ascii="Arial" w:hAnsi="Arial" w:cs="Arial"/>
                <w:b/>
              </w:rPr>
            </w:pPr>
            <w:r>
              <w:rPr>
                <w:rFonts w:ascii="Arial" w:hAnsi="Arial" w:cs="Arial"/>
                <w:b/>
              </w:rPr>
              <w:t>x</w:t>
            </w:r>
          </w:p>
        </w:tc>
      </w:tr>
      <w:tr w:rsidR="004B635D" w:rsidRPr="00302082" w14:paraId="6197E23F" w14:textId="4E99890D" w:rsidTr="004B635D">
        <w:tc>
          <w:tcPr>
            <w:tcW w:w="3119" w:type="dxa"/>
            <w:shd w:val="clear" w:color="auto" w:fill="D9D9D9" w:themeFill="background1" w:themeFillShade="D9"/>
          </w:tcPr>
          <w:p w14:paraId="2326CE84" w14:textId="77777777" w:rsidR="004B635D" w:rsidRPr="00302082" w:rsidRDefault="004B635D" w:rsidP="00302082">
            <w:pPr>
              <w:spacing w:after="120"/>
              <w:rPr>
                <w:rFonts w:ascii="Arial" w:hAnsi="Arial" w:cs="Arial"/>
                <w:b/>
              </w:rPr>
            </w:pPr>
            <w:r w:rsidRPr="00302082">
              <w:rPr>
                <w:rFonts w:ascii="Arial" w:hAnsi="Arial" w:cs="Arial"/>
                <w:b/>
              </w:rPr>
              <w:t>Assessment method</w:t>
            </w:r>
          </w:p>
        </w:tc>
        <w:tc>
          <w:tcPr>
            <w:tcW w:w="567" w:type="dxa"/>
          </w:tcPr>
          <w:p w14:paraId="22CD516E" w14:textId="77777777" w:rsidR="004B635D" w:rsidRPr="00302082" w:rsidRDefault="004B635D" w:rsidP="00302082">
            <w:pPr>
              <w:spacing w:after="120"/>
              <w:rPr>
                <w:rFonts w:ascii="Arial" w:hAnsi="Arial" w:cs="Arial"/>
                <w:b/>
              </w:rPr>
            </w:pPr>
          </w:p>
        </w:tc>
        <w:tc>
          <w:tcPr>
            <w:tcW w:w="567" w:type="dxa"/>
          </w:tcPr>
          <w:p w14:paraId="39B9BAA2" w14:textId="77777777" w:rsidR="004B635D" w:rsidRPr="00302082" w:rsidRDefault="004B635D" w:rsidP="00302082">
            <w:pPr>
              <w:spacing w:after="120"/>
              <w:rPr>
                <w:rFonts w:ascii="Arial" w:hAnsi="Arial" w:cs="Arial"/>
                <w:b/>
              </w:rPr>
            </w:pPr>
          </w:p>
        </w:tc>
        <w:tc>
          <w:tcPr>
            <w:tcW w:w="567" w:type="dxa"/>
          </w:tcPr>
          <w:p w14:paraId="2539B23E" w14:textId="77777777" w:rsidR="004B635D" w:rsidRPr="00302082" w:rsidRDefault="004B635D" w:rsidP="00302082">
            <w:pPr>
              <w:spacing w:after="120"/>
              <w:rPr>
                <w:rFonts w:ascii="Arial" w:hAnsi="Arial" w:cs="Arial"/>
                <w:b/>
              </w:rPr>
            </w:pPr>
          </w:p>
        </w:tc>
        <w:tc>
          <w:tcPr>
            <w:tcW w:w="567" w:type="dxa"/>
          </w:tcPr>
          <w:p w14:paraId="3177C2C0" w14:textId="77777777" w:rsidR="004B635D" w:rsidRPr="00302082" w:rsidRDefault="004B635D" w:rsidP="00302082">
            <w:pPr>
              <w:spacing w:after="120"/>
              <w:rPr>
                <w:rFonts w:ascii="Arial" w:hAnsi="Arial" w:cs="Arial"/>
                <w:b/>
              </w:rPr>
            </w:pPr>
          </w:p>
        </w:tc>
        <w:tc>
          <w:tcPr>
            <w:tcW w:w="567" w:type="dxa"/>
          </w:tcPr>
          <w:p w14:paraId="65E8CD6D" w14:textId="77777777" w:rsidR="004B635D" w:rsidRPr="00302082" w:rsidRDefault="004B635D" w:rsidP="00302082">
            <w:pPr>
              <w:spacing w:after="120"/>
              <w:rPr>
                <w:rFonts w:ascii="Arial" w:hAnsi="Arial" w:cs="Arial"/>
                <w:b/>
              </w:rPr>
            </w:pPr>
          </w:p>
        </w:tc>
        <w:tc>
          <w:tcPr>
            <w:tcW w:w="567" w:type="dxa"/>
          </w:tcPr>
          <w:p w14:paraId="2F1DCA9B" w14:textId="77777777" w:rsidR="004B635D" w:rsidRPr="00302082" w:rsidRDefault="004B635D" w:rsidP="00302082">
            <w:pPr>
              <w:spacing w:after="120"/>
              <w:rPr>
                <w:rFonts w:ascii="Arial" w:hAnsi="Arial" w:cs="Arial"/>
                <w:b/>
              </w:rPr>
            </w:pPr>
          </w:p>
        </w:tc>
        <w:tc>
          <w:tcPr>
            <w:tcW w:w="567" w:type="dxa"/>
          </w:tcPr>
          <w:p w14:paraId="24F26764" w14:textId="77777777" w:rsidR="004B635D" w:rsidRPr="00302082" w:rsidRDefault="004B635D" w:rsidP="00302082">
            <w:pPr>
              <w:spacing w:after="120"/>
              <w:rPr>
                <w:rFonts w:ascii="Arial" w:hAnsi="Arial" w:cs="Arial"/>
                <w:b/>
              </w:rPr>
            </w:pPr>
          </w:p>
        </w:tc>
      </w:tr>
      <w:tr w:rsidR="004B635D" w:rsidRPr="00302082" w14:paraId="0465FE70" w14:textId="6CAC6E41" w:rsidTr="004B635D">
        <w:tc>
          <w:tcPr>
            <w:tcW w:w="3119" w:type="dxa"/>
          </w:tcPr>
          <w:p w14:paraId="1ACF8267" w14:textId="5F5B42BC" w:rsidR="004B635D" w:rsidRPr="00606F6C" w:rsidRDefault="004B635D" w:rsidP="00302082">
            <w:pPr>
              <w:spacing w:after="120"/>
              <w:rPr>
                <w:rFonts w:ascii="Arial" w:hAnsi="Arial" w:cs="Arial"/>
              </w:rPr>
            </w:pPr>
            <w:r>
              <w:rPr>
                <w:rFonts w:ascii="Arial" w:hAnsi="Arial" w:cs="Arial"/>
              </w:rPr>
              <w:t>Essay</w:t>
            </w:r>
          </w:p>
        </w:tc>
        <w:tc>
          <w:tcPr>
            <w:tcW w:w="567" w:type="dxa"/>
          </w:tcPr>
          <w:p w14:paraId="25CA6909" w14:textId="24C86E93" w:rsidR="004B635D" w:rsidRPr="00302082" w:rsidRDefault="004B635D" w:rsidP="00745702">
            <w:pPr>
              <w:spacing w:after="120"/>
              <w:jc w:val="center"/>
              <w:rPr>
                <w:rFonts w:ascii="Arial" w:hAnsi="Arial" w:cs="Arial"/>
                <w:b/>
              </w:rPr>
            </w:pPr>
            <w:r>
              <w:rPr>
                <w:rFonts w:ascii="Arial" w:hAnsi="Arial" w:cs="Arial"/>
                <w:b/>
              </w:rPr>
              <w:t>x</w:t>
            </w:r>
          </w:p>
        </w:tc>
        <w:tc>
          <w:tcPr>
            <w:tcW w:w="567" w:type="dxa"/>
          </w:tcPr>
          <w:p w14:paraId="612C39E9" w14:textId="557587BE" w:rsidR="004B635D" w:rsidRPr="00302082" w:rsidRDefault="004B635D" w:rsidP="00745702">
            <w:pPr>
              <w:spacing w:after="120"/>
              <w:jc w:val="center"/>
              <w:rPr>
                <w:rFonts w:ascii="Arial" w:hAnsi="Arial" w:cs="Arial"/>
                <w:b/>
              </w:rPr>
            </w:pPr>
            <w:r>
              <w:rPr>
                <w:rFonts w:ascii="Arial" w:hAnsi="Arial" w:cs="Arial"/>
                <w:b/>
              </w:rPr>
              <w:t>x</w:t>
            </w:r>
          </w:p>
        </w:tc>
        <w:tc>
          <w:tcPr>
            <w:tcW w:w="567" w:type="dxa"/>
          </w:tcPr>
          <w:p w14:paraId="78B68FF5" w14:textId="3A37DA9F" w:rsidR="004B635D" w:rsidRPr="00302082" w:rsidRDefault="004B635D" w:rsidP="00745702">
            <w:pPr>
              <w:spacing w:after="120"/>
              <w:jc w:val="center"/>
              <w:rPr>
                <w:rFonts w:ascii="Arial" w:hAnsi="Arial" w:cs="Arial"/>
                <w:b/>
              </w:rPr>
            </w:pPr>
            <w:r>
              <w:rPr>
                <w:rFonts w:ascii="Arial" w:hAnsi="Arial" w:cs="Arial"/>
                <w:b/>
              </w:rPr>
              <w:t>x</w:t>
            </w:r>
          </w:p>
        </w:tc>
        <w:tc>
          <w:tcPr>
            <w:tcW w:w="567" w:type="dxa"/>
          </w:tcPr>
          <w:p w14:paraId="0EBDB4ED" w14:textId="6800ACE1" w:rsidR="004B635D" w:rsidRPr="00302082" w:rsidRDefault="004B635D" w:rsidP="00745702">
            <w:pPr>
              <w:spacing w:after="120"/>
              <w:jc w:val="center"/>
              <w:rPr>
                <w:rFonts w:ascii="Arial" w:hAnsi="Arial" w:cs="Arial"/>
                <w:b/>
              </w:rPr>
            </w:pPr>
            <w:r>
              <w:rPr>
                <w:rFonts w:ascii="Arial" w:hAnsi="Arial" w:cs="Arial"/>
                <w:b/>
              </w:rPr>
              <w:t>x</w:t>
            </w:r>
          </w:p>
        </w:tc>
        <w:tc>
          <w:tcPr>
            <w:tcW w:w="567" w:type="dxa"/>
          </w:tcPr>
          <w:p w14:paraId="0C388525" w14:textId="59848C2D" w:rsidR="004B635D" w:rsidRPr="00302082" w:rsidRDefault="004B635D" w:rsidP="00745702">
            <w:pPr>
              <w:spacing w:after="120"/>
              <w:jc w:val="center"/>
              <w:rPr>
                <w:rFonts w:ascii="Arial" w:hAnsi="Arial" w:cs="Arial"/>
                <w:b/>
              </w:rPr>
            </w:pPr>
            <w:r>
              <w:rPr>
                <w:rFonts w:ascii="Arial" w:hAnsi="Arial" w:cs="Arial"/>
                <w:b/>
              </w:rPr>
              <w:t>x</w:t>
            </w:r>
          </w:p>
        </w:tc>
        <w:tc>
          <w:tcPr>
            <w:tcW w:w="567" w:type="dxa"/>
          </w:tcPr>
          <w:p w14:paraId="6F58826D" w14:textId="2B27C4BF" w:rsidR="004B635D" w:rsidRPr="00302082" w:rsidRDefault="004B635D" w:rsidP="00745702">
            <w:pPr>
              <w:spacing w:after="120"/>
              <w:jc w:val="center"/>
              <w:rPr>
                <w:rFonts w:ascii="Arial" w:hAnsi="Arial" w:cs="Arial"/>
                <w:b/>
              </w:rPr>
            </w:pPr>
            <w:r>
              <w:rPr>
                <w:rFonts w:ascii="Arial" w:hAnsi="Arial" w:cs="Arial"/>
                <w:b/>
              </w:rPr>
              <w:t>x</w:t>
            </w:r>
          </w:p>
        </w:tc>
        <w:tc>
          <w:tcPr>
            <w:tcW w:w="567" w:type="dxa"/>
          </w:tcPr>
          <w:p w14:paraId="31909353" w14:textId="11FEA1A9" w:rsidR="004B635D" w:rsidRPr="00302082" w:rsidRDefault="004B635D" w:rsidP="00745702">
            <w:pPr>
              <w:spacing w:after="120"/>
              <w:jc w:val="center"/>
              <w:rPr>
                <w:rFonts w:ascii="Arial" w:hAnsi="Arial" w:cs="Arial"/>
                <w:b/>
              </w:rPr>
            </w:pPr>
            <w:r>
              <w:rPr>
                <w:rFonts w:ascii="Arial" w:hAnsi="Arial" w:cs="Arial"/>
                <w:b/>
              </w:rPr>
              <w:t>x</w:t>
            </w:r>
          </w:p>
        </w:tc>
      </w:tr>
    </w:tbl>
    <w:p w14:paraId="03BAAA32" w14:textId="6246B581"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5DE0DB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lastRenderedPageBreak/>
        <w:t>Campus(es) or c</w:t>
      </w:r>
      <w:r w:rsidR="009A2D37" w:rsidRPr="00302082">
        <w:rPr>
          <w:rFonts w:ascii="Arial" w:hAnsi="Arial" w:cs="Arial"/>
          <w:b/>
        </w:rPr>
        <w:t>entre(s) w</w:t>
      </w:r>
      <w:r>
        <w:rPr>
          <w:rFonts w:ascii="Arial" w:hAnsi="Arial" w:cs="Arial"/>
          <w:b/>
        </w:rPr>
        <w:t>here module will be delivered</w:t>
      </w:r>
    </w:p>
    <w:p w14:paraId="52C065B7"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3A0B079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1AE60888" w14:textId="502BDFF8" w:rsidR="00CE256C" w:rsidRPr="00745702" w:rsidRDefault="00C035F7" w:rsidP="00C035F7">
      <w:pPr>
        <w:autoSpaceDE w:val="0"/>
        <w:autoSpaceDN w:val="0"/>
        <w:adjustRightInd w:val="0"/>
        <w:spacing w:after="120" w:line="240" w:lineRule="auto"/>
        <w:ind w:left="567" w:right="261"/>
        <w:jc w:val="both"/>
        <w:rPr>
          <w:rFonts w:ascii="Arial" w:hAnsi="Arial" w:cs="Arial"/>
        </w:rPr>
      </w:pPr>
      <w:r>
        <w:rPr>
          <w:rFonts w:ascii="Arial" w:hAnsi="Arial" w:cs="Arial"/>
        </w:rPr>
        <w:t>Comparative Literature modules are intrinsically relevant to internationalisation given that students study works from a range of cultures. The texts studies on this module come from various European and non-European traditions, and students are required to consider those works within the cultural context and to explore the implication of these cultural differences as they pertain to the representation and the understanding of madness.</w:t>
      </w:r>
      <w:r w:rsidR="00CE256C" w:rsidRPr="005D4D5C">
        <w:rPr>
          <w:rFonts w:ascii="Arial" w:hAnsi="Arial" w:cs="Arial"/>
          <w:iCs/>
        </w:rPr>
        <w:t xml:space="preserve"> </w:t>
      </w:r>
    </w:p>
    <w:p w14:paraId="05E21C35" w14:textId="77777777" w:rsidR="00641D6D" w:rsidRPr="00302082" w:rsidRDefault="00641D6D" w:rsidP="002A7F48">
      <w:pPr>
        <w:pBdr>
          <w:bottom w:val="single" w:sz="6" w:space="1" w:color="auto"/>
        </w:pBdr>
        <w:spacing w:after="120" w:line="240" w:lineRule="auto"/>
        <w:ind w:right="261"/>
        <w:rPr>
          <w:rFonts w:ascii="Arial" w:hAnsi="Arial" w:cs="Arial"/>
        </w:rPr>
      </w:pPr>
    </w:p>
    <w:p w14:paraId="4E60C5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6A1103">
        <w:trPr>
          <w:trHeight w:val="317"/>
        </w:trPr>
        <w:tc>
          <w:tcPr>
            <w:tcW w:w="1526" w:type="dxa"/>
          </w:tcPr>
          <w:p w14:paraId="6A725998"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6A1103">
        <w:trPr>
          <w:trHeight w:val="305"/>
        </w:trPr>
        <w:tc>
          <w:tcPr>
            <w:tcW w:w="1526" w:type="dxa"/>
            <w:vAlign w:val="center"/>
          </w:tcPr>
          <w:p w14:paraId="758F5E8E" w14:textId="77777777" w:rsidR="007A648C" w:rsidRPr="00DF4971" w:rsidRDefault="007A648C" w:rsidP="006A1103">
            <w:pPr>
              <w:rPr>
                <w:rFonts w:ascii="Arial" w:hAnsi="Arial" w:cs="Arial"/>
                <w:sz w:val="18"/>
                <w:szCs w:val="18"/>
              </w:rPr>
            </w:pPr>
          </w:p>
        </w:tc>
        <w:tc>
          <w:tcPr>
            <w:tcW w:w="1701" w:type="dxa"/>
            <w:vAlign w:val="center"/>
          </w:tcPr>
          <w:p w14:paraId="182B6639" w14:textId="77777777" w:rsidR="007A648C" w:rsidRPr="00DF4971" w:rsidRDefault="007A648C" w:rsidP="006A1103">
            <w:pPr>
              <w:rPr>
                <w:rFonts w:ascii="Arial" w:hAnsi="Arial" w:cs="Arial"/>
                <w:sz w:val="18"/>
                <w:szCs w:val="18"/>
              </w:rPr>
            </w:pPr>
          </w:p>
        </w:tc>
        <w:tc>
          <w:tcPr>
            <w:tcW w:w="2410" w:type="dxa"/>
            <w:vAlign w:val="center"/>
          </w:tcPr>
          <w:p w14:paraId="53FD5D44" w14:textId="77777777" w:rsidR="007A648C" w:rsidRPr="00DF4971" w:rsidRDefault="007A648C" w:rsidP="006A1103">
            <w:pPr>
              <w:rPr>
                <w:rFonts w:ascii="Arial" w:hAnsi="Arial" w:cs="Arial"/>
                <w:sz w:val="18"/>
                <w:szCs w:val="18"/>
              </w:rPr>
            </w:pPr>
          </w:p>
        </w:tc>
        <w:tc>
          <w:tcPr>
            <w:tcW w:w="2448" w:type="dxa"/>
            <w:vAlign w:val="center"/>
          </w:tcPr>
          <w:p w14:paraId="39EFDB43" w14:textId="77777777" w:rsidR="007A648C" w:rsidRPr="00DF4971" w:rsidRDefault="007A648C" w:rsidP="006A1103">
            <w:pPr>
              <w:rPr>
                <w:rFonts w:ascii="Arial" w:hAnsi="Arial" w:cs="Arial"/>
                <w:sz w:val="18"/>
                <w:szCs w:val="18"/>
              </w:rPr>
            </w:pPr>
          </w:p>
        </w:tc>
        <w:tc>
          <w:tcPr>
            <w:tcW w:w="2597" w:type="dxa"/>
            <w:vAlign w:val="center"/>
          </w:tcPr>
          <w:p w14:paraId="41BB5FD9" w14:textId="77777777" w:rsidR="007A648C" w:rsidRPr="00DF4971" w:rsidRDefault="007A648C" w:rsidP="006A1103">
            <w:pPr>
              <w:rPr>
                <w:rFonts w:ascii="Arial" w:hAnsi="Arial" w:cs="Arial"/>
                <w:sz w:val="18"/>
                <w:szCs w:val="18"/>
              </w:rPr>
            </w:pP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6A1103">
        <w:trPr>
          <w:trHeight w:val="305"/>
        </w:trPr>
        <w:tc>
          <w:tcPr>
            <w:tcW w:w="10627" w:type="dxa"/>
            <w:vAlign w:val="center"/>
          </w:tcPr>
          <w:p w14:paraId="02FECF7C"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F5DAD" w14:textId="77777777" w:rsidR="00F2511F" w:rsidRDefault="00F2511F" w:rsidP="009A2D37">
      <w:pPr>
        <w:spacing w:after="0" w:line="240" w:lineRule="auto"/>
      </w:pPr>
      <w:r>
        <w:separator/>
      </w:r>
    </w:p>
  </w:endnote>
  <w:endnote w:type="continuationSeparator" w:id="0">
    <w:p w14:paraId="0B06AD68" w14:textId="77777777" w:rsidR="00F2511F" w:rsidRDefault="00F2511F" w:rsidP="009A2D37">
      <w:pPr>
        <w:spacing w:after="0" w:line="240" w:lineRule="auto"/>
      </w:pPr>
      <w:r>
        <w:continuationSeparator/>
      </w:r>
    </w:p>
  </w:endnote>
  <w:endnote w:type="continuationNotice" w:id="1">
    <w:p w14:paraId="51D93C40" w14:textId="77777777" w:rsidR="00F2511F" w:rsidRDefault="00F251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panose1 w:val="02040503060201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106828" w14:textId="592DAE72" w:rsidR="008B2543" w:rsidRDefault="0019787E" w:rsidP="009A2D37">
        <w:pPr>
          <w:pStyle w:val="Footer"/>
          <w:jc w:val="center"/>
        </w:pPr>
        <w:r>
          <w:fldChar w:fldCharType="begin"/>
        </w:r>
        <w:r>
          <w:instrText xml:space="preserve"> PAGE   \* MERGEFORMAT </w:instrText>
        </w:r>
        <w:r>
          <w:fldChar w:fldCharType="separate"/>
        </w:r>
        <w:r w:rsidR="00DD189E">
          <w:rPr>
            <w:noProof/>
          </w:rPr>
          <w:t>2</w:t>
        </w:r>
        <w:r>
          <w:rPr>
            <w:noProof/>
          </w:rPr>
          <w:fldChar w:fldCharType="end"/>
        </w:r>
      </w:p>
    </w:sdtContent>
  </w:sdt>
  <w:p w14:paraId="4C78C59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F10A9" w14:textId="77777777" w:rsidR="00F2511F" w:rsidRDefault="00F2511F" w:rsidP="009A2D37">
      <w:pPr>
        <w:spacing w:after="0" w:line="240" w:lineRule="auto"/>
      </w:pPr>
      <w:r>
        <w:separator/>
      </w:r>
    </w:p>
  </w:footnote>
  <w:footnote w:type="continuationSeparator" w:id="0">
    <w:p w14:paraId="6AB5975C" w14:textId="77777777" w:rsidR="00F2511F" w:rsidRDefault="00F2511F" w:rsidP="009A2D37">
      <w:pPr>
        <w:spacing w:after="0" w:line="240" w:lineRule="auto"/>
      </w:pPr>
      <w:r>
        <w:continuationSeparator/>
      </w:r>
    </w:p>
  </w:footnote>
  <w:footnote w:type="continuationNotice" w:id="1">
    <w:p w14:paraId="6CD341AE" w14:textId="77777777" w:rsidR="00F2511F" w:rsidRDefault="00F251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4F8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436382" w14:textId="77777777" w:rsidR="008B2543" w:rsidRPr="008C00F8" w:rsidRDefault="008B2543" w:rsidP="005E6D38">
    <w:pPr>
      <w:pStyle w:val="Heading1"/>
      <w:spacing w:before="60" w:after="60"/>
      <w:rPr>
        <w:rFonts w:ascii="Arial" w:hAnsi="Arial" w:cs="Arial"/>
      </w:rPr>
    </w:pPr>
  </w:p>
  <w:p w14:paraId="0B4D4E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E2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C20B8"/>
    <w:rsid w:val="002D47E6"/>
    <w:rsid w:val="002E6AC4"/>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2BE"/>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B635D"/>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5A80"/>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8F6E38"/>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1E6B"/>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35F7"/>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D189E"/>
    <w:rsid w:val="00DF665B"/>
    <w:rsid w:val="00E0152A"/>
    <w:rsid w:val="00E03394"/>
    <w:rsid w:val="00E066E5"/>
    <w:rsid w:val="00E15E3A"/>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2511F"/>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CEBF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8E7C3-4A14-4ABC-88B0-38FED4354EBA}"/>
</file>

<file path=customXml/itemProps2.xml><?xml version="1.0" encoding="utf-8"?>
<ds:datastoreItem xmlns:ds="http://schemas.openxmlformats.org/officeDocument/2006/customXml" ds:itemID="{C577AFD8-706B-47E5-9D71-B361F435947D}">
  <ds:schemaRefs>
    <ds:schemaRef ds:uri="http://schemas.microsoft.com/office/2006/metadata/properties"/>
    <ds:schemaRef ds:uri="http://purl.org/dc/dcmitype/"/>
    <ds:schemaRef ds:uri="http://schemas.microsoft.com/office/infopath/2007/PartnerControls"/>
    <ds:schemaRef ds:uri="http://purl.org/dc/elements/1.1/"/>
    <ds:schemaRef ds:uri="http://www.w3.org/XML/1998/namespace"/>
    <ds:schemaRef ds:uri="http://schemas.microsoft.com/office/2006/documentManagement/types"/>
    <ds:schemaRef ds:uri="http://purl.org/dc/terms/"/>
    <ds:schemaRef ds:uri="http://schemas.openxmlformats.org/package/2006/metadata/core-properties"/>
    <ds:schemaRef ds:uri="ef2b9e05-657a-4dc1-8c6c-679bdea18f38"/>
  </ds:schemaRefs>
</ds:datastoreItem>
</file>

<file path=customXml/itemProps3.xml><?xml version="1.0" encoding="utf-8"?>
<ds:datastoreItem xmlns:ds="http://schemas.openxmlformats.org/officeDocument/2006/customXml" ds:itemID="{8D58EEFC-99BC-4122-AEC3-6CF3D6AFD4CC}">
  <ds:schemaRefs>
    <ds:schemaRef ds:uri="http://schemas.microsoft.com/sharepoint/v3/contenttype/forms"/>
  </ds:schemaRefs>
</ds:datastoreItem>
</file>

<file path=customXml/itemProps4.xml><?xml version="1.0" encoding="utf-8"?>
<ds:datastoreItem xmlns:ds="http://schemas.openxmlformats.org/officeDocument/2006/customXml" ds:itemID="{18114998-AC76-4319-933C-F2A6EBC07271}">
  <ds:schemaRefs>
    <ds:schemaRef ds:uri="http://schemas.microsoft.com/sharepoint/events"/>
  </ds:schemaRefs>
</ds:datastoreItem>
</file>

<file path=customXml/itemProps5.xml><?xml version="1.0" encoding="utf-8"?>
<ds:datastoreItem xmlns:ds="http://schemas.openxmlformats.org/officeDocument/2006/customXml" ds:itemID="{04AD09F9-4A72-4D45-809E-8990F151E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Andrew MacGregor</cp:lastModifiedBy>
  <cp:revision>3</cp:revision>
  <cp:lastPrinted>2015-09-09T08:37:00Z</cp:lastPrinted>
  <dcterms:created xsi:type="dcterms:W3CDTF">2018-02-26T09:59:00Z</dcterms:created>
  <dcterms:modified xsi:type="dcterms:W3CDTF">2018-03-16T11:03:00Z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00006dba-ccba-4c2d-80c3-33f8e80c8a22</vt:lpwstr>
  </property>
</Properties>
</file>