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9352E" w14:textId="77777777" w:rsidR="00AB7C44" w:rsidRPr="00AB7C44" w:rsidRDefault="009A2D37" w:rsidP="003D4C49">
      <w:pPr>
        <w:pStyle w:val="ListParagraph"/>
        <w:numPr>
          <w:ilvl w:val="0"/>
          <w:numId w:val="25"/>
        </w:numPr>
        <w:rPr>
          <w:rFonts w:ascii="Arial" w:eastAsia="Times New Roman" w:hAnsi="Arial" w:cs="Arial"/>
          <w:b/>
          <w:lang w:eastAsia="zh-CN"/>
        </w:rPr>
      </w:pPr>
      <w:r w:rsidRPr="003D4C49">
        <w:rPr>
          <w:rFonts w:ascii="Arial" w:hAnsi="Arial" w:cs="Arial"/>
          <w:b/>
        </w:rPr>
        <w:t>Title of the module</w:t>
      </w:r>
      <w:r w:rsidR="00C14021" w:rsidRPr="003D4C49">
        <w:rPr>
          <w:rFonts w:ascii="Arial" w:hAnsi="Arial" w:cs="Arial"/>
          <w:b/>
        </w:rPr>
        <w:t xml:space="preserve">   </w:t>
      </w:r>
    </w:p>
    <w:p w14:paraId="08733468" w14:textId="61870847" w:rsidR="009A2D37" w:rsidRPr="00AB7C44" w:rsidRDefault="00E03C02" w:rsidP="00AB7C44">
      <w:pPr>
        <w:pStyle w:val="ListParagraph"/>
        <w:rPr>
          <w:rFonts w:ascii="Arial" w:eastAsia="Times New Roman" w:hAnsi="Arial" w:cs="Arial"/>
          <w:lang w:eastAsia="zh-CN"/>
        </w:rPr>
      </w:pPr>
      <w:r>
        <w:rPr>
          <w:rFonts w:ascii="Arial" w:eastAsia="Times New Roman" w:hAnsi="Arial" w:cs="Arial"/>
          <w:color w:val="000000"/>
          <w:shd w:val="clear" w:color="auto" w:fill="FFFFFF"/>
          <w:lang w:eastAsia="zh-CN"/>
        </w:rPr>
        <w:t xml:space="preserve">CMAT5060 </w:t>
      </w:r>
      <w:r w:rsidR="0019786F" w:rsidRPr="00AB7C44">
        <w:rPr>
          <w:rFonts w:ascii="Arial" w:eastAsia="Times New Roman" w:hAnsi="Arial" w:cs="Arial"/>
          <w:color w:val="000000"/>
          <w:shd w:val="clear" w:color="auto" w:fill="FFFFFF"/>
          <w:lang w:eastAsia="zh-CN"/>
        </w:rPr>
        <w:t>Contracts, Copyright and Rights Management</w:t>
      </w:r>
    </w:p>
    <w:p w14:paraId="46AE2EC1"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School or partner institution which will be responsible for management of the module</w:t>
      </w:r>
    </w:p>
    <w:p w14:paraId="4D7278B3" w14:textId="77777777" w:rsidR="00AB7C44" w:rsidRPr="00AB7C44" w:rsidRDefault="00AB7C44" w:rsidP="00AB7C44">
      <w:pPr>
        <w:pStyle w:val="ListParagraph"/>
        <w:spacing w:after="120" w:line="240" w:lineRule="auto"/>
        <w:ind w:right="260"/>
        <w:rPr>
          <w:rFonts w:ascii="Arial" w:hAnsi="Arial" w:cs="Arial"/>
          <w:iCs/>
        </w:rPr>
      </w:pPr>
      <w:r w:rsidRPr="00AB7C44">
        <w:rPr>
          <w:rFonts w:ascii="Arial" w:hAnsi="Arial" w:cs="Arial"/>
          <w:iCs/>
        </w:rPr>
        <w:t>Centre for Music and Audio Technology (CMAT)</w:t>
      </w:r>
    </w:p>
    <w:p w14:paraId="17BE1583" w14:textId="77777777" w:rsidR="009A2D37" w:rsidRPr="003D4C49" w:rsidRDefault="002A7F48" w:rsidP="003D4C49">
      <w:pPr>
        <w:numPr>
          <w:ilvl w:val="0"/>
          <w:numId w:val="25"/>
        </w:numPr>
        <w:spacing w:after="120" w:line="240" w:lineRule="auto"/>
        <w:ind w:right="260"/>
        <w:jc w:val="both"/>
        <w:rPr>
          <w:rFonts w:ascii="Arial" w:hAnsi="Arial" w:cs="Arial"/>
          <w:b/>
        </w:rPr>
      </w:pPr>
      <w:r w:rsidRPr="003D4C49">
        <w:rPr>
          <w:rFonts w:ascii="Arial" w:hAnsi="Arial" w:cs="Arial"/>
          <w:b/>
        </w:rPr>
        <w:t>The level of the module (</w:t>
      </w:r>
      <w:r w:rsidR="00D83563" w:rsidRPr="003D4C49">
        <w:rPr>
          <w:rFonts w:ascii="Arial" w:hAnsi="Arial" w:cs="Arial"/>
          <w:b/>
        </w:rPr>
        <w:t>Level</w:t>
      </w:r>
      <w:r w:rsidR="00441E76" w:rsidRPr="003D4C49">
        <w:rPr>
          <w:rFonts w:ascii="Arial" w:hAnsi="Arial" w:cs="Arial"/>
          <w:b/>
        </w:rPr>
        <w:t xml:space="preserve"> 4</w:t>
      </w:r>
      <w:r w:rsidR="001D0C7D" w:rsidRPr="003D4C49">
        <w:rPr>
          <w:rFonts w:ascii="Arial" w:hAnsi="Arial" w:cs="Arial"/>
          <w:b/>
        </w:rPr>
        <w:t xml:space="preserve">, </w:t>
      </w:r>
      <w:r w:rsidR="00441E76" w:rsidRPr="003D4C49">
        <w:rPr>
          <w:rFonts w:ascii="Arial" w:hAnsi="Arial" w:cs="Arial"/>
          <w:b/>
        </w:rPr>
        <w:t>Level 5</w:t>
      </w:r>
      <w:r w:rsidR="001D0C7D" w:rsidRPr="003D4C49">
        <w:rPr>
          <w:rFonts w:ascii="Arial" w:hAnsi="Arial" w:cs="Arial"/>
          <w:b/>
        </w:rPr>
        <w:t xml:space="preserve">, </w:t>
      </w:r>
      <w:r w:rsidR="00441E76" w:rsidRPr="003D4C49">
        <w:rPr>
          <w:rFonts w:ascii="Arial" w:hAnsi="Arial" w:cs="Arial"/>
          <w:b/>
        </w:rPr>
        <w:t>Level 6</w:t>
      </w:r>
      <w:r w:rsidR="001D0C7D" w:rsidRPr="003D4C49">
        <w:rPr>
          <w:rFonts w:ascii="Arial" w:hAnsi="Arial" w:cs="Arial"/>
          <w:b/>
        </w:rPr>
        <w:t xml:space="preserve"> or </w:t>
      </w:r>
      <w:r w:rsidR="00C612A8" w:rsidRPr="003D4C49">
        <w:rPr>
          <w:rFonts w:ascii="Arial" w:hAnsi="Arial" w:cs="Arial"/>
          <w:b/>
        </w:rPr>
        <w:t>L</w:t>
      </w:r>
      <w:r w:rsidR="00441E76" w:rsidRPr="003D4C49">
        <w:rPr>
          <w:rFonts w:ascii="Arial" w:hAnsi="Arial" w:cs="Arial"/>
          <w:b/>
        </w:rPr>
        <w:t>evel 7</w:t>
      </w:r>
      <w:r w:rsidR="009A2D37" w:rsidRPr="003D4C49">
        <w:rPr>
          <w:rFonts w:ascii="Arial" w:hAnsi="Arial" w:cs="Arial"/>
          <w:b/>
        </w:rPr>
        <w:t>)</w:t>
      </w:r>
    </w:p>
    <w:p w14:paraId="724BF1F1" w14:textId="77777777" w:rsidR="009A2D37" w:rsidRPr="003D4C49" w:rsidRDefault="00C14021" w:rsidP="003D4C49">
      <w:pPr>
        <w:pStyle w:val="ListParagraph"/>
        <w:spacing w:after="120" w:line="240" w:lineRule="auto"/>
        <w:ind w:right="260"/>
        <w:rPr>
          <w:rFonts w:ascii="Arial" w:hAnsi="Arial" w:cs="Arial"/>
          <w:bCs/>
          <w:iCs/>
        </w:rPr>
      </w:pPr>
      <w:r w:rsidRPr="003D4C49">
        <w:rPr>
          <w:rFonts w:ascii="Arial" w:hAnsi="Arial" w:cs="Arial"/>
          <w:bCs/>
          <w:iCs/>
        </w:rPr>
        <w:t>Level 5</w:t>
      </w:r>
    </w:p>
    <w:p w14:paraId="668DA2F5"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 xml:space="preserve">The number of credits and the ECTS value which the module represents </w:t>
      </w:r>
    </w:p>
    <w:p w14:paraId="62B18D4F" w14:textId="50D799EE" w:rsidR="009A2D37" w:rsidRPr="003D4C49" w:rsidRDefault="00C14021" w:rsidP="003D4C49">
      <w:pPr>
        <w:pStyle w:val="ListParagraph"/>
        <w:spacing w:after="120" w:line="240" w:lineRule="auto"/>
        <w:ind w:right="260"/>
        <w:rPr>
          <w:rFonts w:ascii="Arial" w:hAnsi="Arial" w:cs="Arial"/>
          <w:bCs/>
        </w:rPr>
      </w:pPr>
      <w:r w:rsidRPr="003D4C49">
        <w:rPr>
          <w:rFonts w:ascii="Arial" w:hAnsi="Arial" w:cs="Arial"/>
          <w:bCs/>
        </w:rPr>
        <w:t>15 Credits</w:t>
      </w:r>
      <w:r w:rsidR="00AB7C44">
        <w:rPr>
          <w:rFonts w:ascii="Arial" w:hAnsi="Arial" w:cs="Arial"/>
          <w:bCs/>
        </w:rPr>
        <w:t xml:space="preserve"> </w:t>
      </w:r>
      <w:r w:rsidR="00AB7C44">
        <w:rPr>
          <w:rFonts w:ascii="Arial" w:hAnsi="Arial" w:cs="Arial"/>
        </w:rPr>
        <w:t>(7.5 ECTS)</w:t>
      </w:r>
    </w:p>
    <w:p w14:paraId="5086F6A6"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Which term(s) the module is to be taught in (or other teaching pattern)</w:t>
      </w:r>
    </w:p>
    <w:p w14:paraId="64B12E2C" w14:textId="77777777" w:rsidR="009A2D37" w:rsidRPr="003D4C49" w:rsidRDefault="00C14021" w:rsidP="003D4C49">
      <w:pPr>
        <w:pStyle w:val="ListParagraph"/>
        <w:spacing w:after="120" w:line="240" w:lineRule="auto"/>
        <w:ind w:right="260"/>
        <w:rPr>
          <w:rFonts w:ascii="Arial" w:hAnsi="Arial" w:cs="Arial"/>
          <w:bCs/>
          <w:iCs/>
        </w:rPr>
      </w:pPr>
      <w:r w:rsidRPr="003D4C49">
        <w:rPr>
          <w:rFonts w:ascii="Arial" w:hAnsi="Arial" w:cs="Arial"/>
          <w:bCs/>
          <w:iCs/>
        </w:rPr>
        <w:t>Term 1</w:t>
      </w:r>
    </w:p>
    <w:p w14:paraId="7C452F17"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Prerequisite and co-requisite modules</w:t>
      </w:r>
    </w:p>
    <w:p w14:paraId="052C6EC9" w14:textId="3DD131B3" w:rsidR="009A2D37" w:rsidRPr="003D4C49" w:rsidRDefault="005E5152" w:rsidP="003D4C49">
      <w:pPr>
        <w:pStyle w:val="ListParagraph"/>
        <w:spacing w:after="120" w:line="240" w:lineRule="auto"/>
        <w:ind w:right="260"/>
        <w:rPr>
          <w:rFonts w:ascii="Arial" w:hAnsi="Arial" w:cs="Arial"/>
          <w:bCs/>
          <w:iCs/>
        </w:rPr>
      </w:pPr>
      <w:r>
        <w:rPr>
          <w:rFonts w:ascii="Arial" w:hAnsi="Arial" w:cs="Arial"/>
          <w:bCs/>
          <w:iCs/>
        </w:rPr>
        <w:t>None</w:t>
      </w:r>
      <w:r w:rsidR="00C14021" w:rsidRPr="003D4C49">
        <w:rPr>
          <w:rFonts w:ascii="Arial" w:hAnsi="Arial" w:cs="Arial"/>
          <w:bCs/>
          <w:iCs/>
        </w:rPr>
        <w:t xml:space="preserve"> </w:t>
      </w:r>
    </w:p>
    <w:p w14:paraId="14A2B804"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The programmes of study to which the module contributes</w:t>
      </w:r>
    </w:p>
    <w:p w14:paraId="417A1E43" w14:textId="77777777" w:rsidR="009A2D37" w:rsidRPr="00451B7A" w:rsidRDefault="00C14021" w:rsidP="00451B7A">
      <w:pPr>
        <w:pStyle w:val="ListParagraph"/>
        <w:spacing w:after="120" w:line="240" w:lineRule="auto"/>
        <w:ind w:right="260"/>
        <w:rPr>
          <w:rFonts w:ascii="Arial" w:hAnsi="Arial" w:cs="Arial"/>
          <w:bCs/>
          <w:iCs/>
        </w:rPr>
      </w:pPr>
      <w:r w:rsidRPr="00451B7A">
        <w:rPr>
          <w:rFonts w:ascii="Arial" w:hAnsi="Arial" w:cs="Arial"/>
          <w:bCs/>
          <w:iCs/>
        </w:rPr>
        <w:t>BA Music Business and Production</w:t>
      </w:r>
    </w:p>
    <w:p w14:paraId="04E7BBA6" w14:textId="77777777" w:rsidR="009A2D37" w:rsidRPr="00302082" w:rsidRDefault="009A2D37" w:rsidP="003D4C49">
      <w:pPr>
        <w:numPr>
          <w:ilvl w:val="0"/>
          <w:numId w:val="25"/>
        </w:numPr>
        <w:spacing w:after="120" w:line="240" w:lineRule="auto"/>
        <w:ind w:right="260"/>
        <w:rPr>
          <w:rFonts w:ascii="Arial" w:hAnsi="Arial" w:cs="Arial"/>
          <w:b/>
        </w:rPr>
      </w:pPr>
      <w:r w:rsidRPr="003D4C49">
        <w:rPr>
          <w:rFonts w:ascii="Arial" w:hAnsi="Arial" w:cs="Arial"/>
          <w:b/>
        </w:rPr>
        <w:t>The</w:t>
      </w:r>
      <w:r w:rsidRPr="00302082">
        <w:rPr>
          <w:rFonts w:ascii="Arial" w:hAnsi="Arial" w:cs="Arial"/>
          <w:b/>
        </w:rPr>
        <w:t xml:space="preserv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167179" w14:textId="07D936DF" w:rsidR="009A2D37" w:rsidRDefault="0019786F" w:rsidP="00450EAA">
      <w:pPr>
        <w:pStyle w:val="ListParagraph"/>
        <w:numPr>
          <w:ilvl w:val="0"/>
          <w:numId w:val="9"/>
        </w:numPr>
        <w:spacing w:after="120" w:line="240" w:lineRule="auto"/>
        <w:ind w:right="260"/>
        <w:rPr>
          <w:rFonts w:ascii="Arial" w:hAnsi="Arial" w:cs="Arial"/>
        </w:rPr>
      </w:pPr>
      <w:r>
        <w:rPr>
          <w:rFonts w:ascii="Arial" w:hAnsi="Arial" w:cs="Arial"/>
        </w:rPr>
        <w:t>Exhibit an in-depth understanding of</w:t>
      </w:r>
      <w:r w:rsidR="00FF49EE">
        <w:rPr>
          <w:rFonts w:ascii="Arial" w:hAnsi="Arial" w:cs="Arial"/>
        </w:rPr>
        <w:t xml:space="preserve"> </w:t>
      </w:r>
      <w:r w:rsidR="00450EAA">
        <w:rPr>
          <w:rFonts w:ascii="Arial" w:hAnsi="Arial" w:cs="Arial"/>
        </w:rPr>
        <w:t>copyright, contractual and ethical issues that impact upon the music industry</w:t>
      </w:r>
      <w:r w:rsidR="001E7B4A">
        <w:rPr>
          <w:rFonts w:ascii="Arial" w:hAnsi="Arial" w:cs="Arial"/>
        </w:rPr>
        <w:t>.</w:t>
      </w:r>
    </w:p>
    <w:p w14:paraId="7D0C0233" w14:textId="3ED48D7E" w:rsidR="00FF49EE" w:rsidRDefault="0019739E" w:rsidP="001E7B4A">
      <w:pPr>
        <w:pStyle w:val="ListParagraph"/>
        <w:numPr>
          <w:ilvl w:val="0"/>
          <w:numId w:val="9"/>
        </w:numPr>
        <w:spacing w:after="120" w:line="240" w:lineRule="auto"/>
        <w:ind w:right="260"/>
        <w:rPr>
          <w:rFonts w:ascii="Arial" w:hAnsi="Arial" w:cs="Arial"/>
        </w:rPr>
      </w:pPr>
      <w:r>
        <w:rPr>
          <w:rFonts w:ascii="Arial" w:hAnsi="Arial" w:cs="Arial"/>
        </w:rPr>
        <w:t>D</w:t>
      </w:r>
      <w:r w:rsidR="00DF2449">
        <w:rPr>
          <w:rFonts w:ascii="Arial" w:hAnsi="Arial" w:cs="Arial"/>
        </w:rPr>
        <w:t>evelop ideas, concepts and proposals for music events or projects, based on an awareness of the key drivers for success</w:t>
      </w:r>
      <w:r w:rsidR="00FF49EE">
        <w:rPr>
          <w:rFonts w:ascii="Arial" w:hAnsi="Arial" w:cs="Arial"/>
        </w:rPr>
        <w:t>.</w:t>
      </w:r>
    </w:p>
    <w:p w14:paraId="50BD5729" w14:textId="1BF51563" w:rsidR="00FF49EE" w:rsidRDefault="0019739E" w:rsidP="00B6734E">
      <w:pPr>
        <w:pStyle w:val="ListParagraph"/>
        <w:numPr>
          <w:ilvl w:val="0"/>
          <w:numId w:val="9"/>
        </w:numPr>
        <w:spacing w:after="120" w:line="240" w:lineRule="auto"/>
        <w:ind w:right="260"/>
        <w:rPr>
          <w:rFonts w:ascii="Arial" w:hAnsi="Arial" w:cs="Arial"/>
        </w:rPr>
      </w:pPr>
      <w:r>
        <w:rPr>
          <w:rFonts w:ascii="Arial" w:hAnsi="Arial" w:cs="Arial"/>
        </w:rPr>
        <w:t>Analyse and evaluate business data and to use that research for evidence-based decision-making</w:t>
      </w:r>
      <w:r w:rsidR="00FF49EE">
        <w:rPr>
          <w:rFonts w:ascii="Arial" w:hAnsi="Arial" w:cs="Arial"/>
        </w:rPr>
        <w:t>.</w:t>
      </w:r>
    </w:p>
    <w:p w14:paraId="00CE4D7B" w14:textId="77777777" w:rsidR="00450EAA" w:rsidRPr="00450EAA" w:rsidRDefault="00450EAA" w:rsidP="00450EAA">
      <w:pPr>
        <w:pStyle w:val="ListParagraph"/>
        <w:spacing w:after="120" w:line="240" w:lineRule="auto"/>
        <w:ind w:right="260"/>
        <w:rPr>
          <w:rFonts w:ascii="Arial" w:hAnsi="Arial" w:cs="Arial"/>
          <w:b/>
        </w:rPr>
      </w:pPr>
    </w:p>
    <w:p w14:paraId="5C36F57B" w14:textId="0613862D" w:rsidR="00C729D7" w:rsidRPr="00451B7A" w:rsidRDefault="009A2D37" w:rsidP="00451B7A">
      <w:pPr>
        <w:pStyle w:val="ListParagraph"/>
        <w:numPr>
          <w:ilvl w:val="0"/>
          <w:numId w:val="25"/>
        </w:numPr>
        <w:spacing w:after="120" w:line="240" w:lineRule="auto"/>
        <w:ind w:right="260"/>
        <w:rPr>
          <w:rFonts w:ascii="Arial" w:hAnsi="Arial" w:cs="Arial"/>
          <w:b/>
        </w:rPr>
      </w:pPr>
      <w:r w:rsidRPr="00451B7A">
        <w:rPr>
          <w:rFonts w:ascii="Arial" w:hAnsi="Arial" w:cs="Arial"/>
          <w:b/>
        </w:rPr>
        <w:t>The intended generic learning outcomes</w:t>
      </w:r>
      <w:r w:rsidR="00C729D7" w:rsidRPr="00451B7A">
        <w:rPr>
          <w:rFonts w:ascii="Arial" w:hAnsi="Arial" w:cs="Arial"/>
          <w:b/>
        </w:rPr>
        <w:t>.</w:t>
      </w:r>
      <w:r w:rsidR="00C729D7" w:rsidRPr="00451B7A">
        <w:rPr>
          <w:rFonts w:ascii="Arial" w:hAnsi="Arial" w:cs="Arial"/>
          <w:b/>
        </w:rPr>
        <w:br/>
        <w:t>On successfully completing the module students will be able to:</w:t>
      </w:r>
    </w:p>
    <w:p w14:paraId="2C25096E" w14:textId="47A634E4" w:rsidR="00FD42D6" w:rsidRPr="00C56A84" w:rsidRDefault="00450EAA" w:rsidP="00EA2822">
      <w:pPr>
        <w:pStyle w:val="ListParagraph"/>
        <w:numPr>
          <w:ilvl w:val="0"/>
          <w:numId w:val="16"/>
        </w:numPr>
        <w:spacing w:before="60" w:after="60"/>
        <w:ind w:right="-329"/>
        <w:rPr>
          <w:rFonts w:ascii="Arial" w:hAnsi="Arial" w:cs="Arial"/>
        </w:rPr>
      </w:pPr>
      <w:r>
        <w:rPr>
          <w:rFonts w:ascii="Arial" w:hAnsi="Arial" w:cs="Arial"/>
        </w:rPr>
        <w:t>Gather, evaluate</w:t>
      </w:r>
      <w:r w:rsidRPr="002D7165">
        <w:rPr>
          <w:rFonts w:ascii="Arial" w:hAnsi="Arial" w:cs="Arial"/>
        </w:rPr>
        <w:t xml:space="preserve"> and synthesis</w:t>
      </w:r>
      <w:r>
        <w:rPr>
          <w:rFonts w:ascii="Arial" w:hAnsi="Arial" w:cs="Arial"/>
        </w:rPr>
        <w:t>e</w:t>
      </w:r>
      <w:r w:rsidRPr="002D7165">
        <w:rPr>
          <w:rFonts w:ascii="Arial" w:hAnsi="Arial" w:cs="Arial"/>
        </w:rPr>
        <w:t xml:space="preserve"> evidence including the identification of reliable academic sources</w:t>
      </w:r>
      <w:r w:rsidR="00EA2822">
        <w:rPr>
          <w:rFonts w:ascii="Arial" w:hAnsi="Arial" w:cs="Arial"/>
        </w:rPr>
        <w:t>.</w:t>
      </w:r>
      <w:r w:rsidR="00FD42D6" w:rsidRPr="00C56A84">
        <w:rPr>
          <w:rFonts w:ascii="Arial" w:hAnsi="Arial" w:cs="Arial"/>
        </w:rPr>
        <w:t xml:space="preserve"> </w:t>
      </w:r>
    </w:p>
    <w:p w14:paraId="23E798C7" w14:textId="6B2B8C24" w:rsidR="00FD42D6" w:rsidRPr="00C56A84" w:rsidRDefault="00450EAA" w:rsidP="00EA2822">
      <w:pPr>
        <w:pStyle w:val="ListParagraph"/>
        <w:numPr>
          <w:ilvl w:val="0"/>
          <w:numId w:val="16"/>
        </w:numPr>
        <w:spacing w:before="60" w:after="60"/>
        <w:ind w:right="-329"/>
        <w:rPr>
          <w:rFonts w:ascii="Arial" w:hAnsi="Arial" w:cs="Arial"/>
        </w:rPr>
      </w:pPr>
      <w:r>
        <w:rPr>
          <w:rFonts w:ascii="Arial" w:hAnsi="Arial" w:cs="Arial"/>
        </w:rPr>
        <w:t>Analyse data and to formulate and express relevant arguments and hypotheses</w:t>
      </w:r>
      <w:r w:rsidR="00EA2822">
        <w:rPr>
          <w:rFonts w:ascii="Arial" w:hAnsi="Arial" w:cs="Arial"/>
        </w:rPr>
        <w:t>.</w:t>
      </w:r>
      <w:r w:rsidR="00FD42D6" w:rsidRPr="00C56A84">
        <w:rPr>
          <w:rFonts w:ascii="Arial" w:hAnsi="Arial" w:cs="Arial"/>
        </w:rPr>
        <w:t xml:space="preserve"> </w:t>
      </w:r>
    </w:p>
    <w:p w14:paraId="00D8B9FA" w14:textId="57818570" w:rsidR="00450EAA" w:rsidRDefault="00450EAA" w:rsidP="00EA2822">
      <w:pPr>
        <w:pStyle w:val="ListParagraph"/>
        <w:numPr>
          <w:ilvl w:val="0"/>
          <w:numId w:val="16"/>
        </w:numPr>
        <w:spacing w:before="60" w:after="60"/>
        <w:ind w:right="-329"/>
        <w:rPr>
          <w:rFonts w:ascii="Arial" w:hAnsi="Arial" w:cs="Arial"/>
        </w:rPr>
      </w:pPr>
      <w:r>
        <w:rPr>
          <w:rFonts w:ascii="Arial" w:hAnsi="Arial" w:cs="Arial"/>
        </w:rPr>
        <w:t>Utilise relevant skills in information communication technologies and use of electronic information sources.</w:t>
      </w:r>
    </w:p>
    <w:p w14:paraId="6B8A1877" w14:textId="41FB0F2A" w:rsidR="00C56A84" w:rsidRDefault="00450EAA" w:rsidP="00EA2822">
      <w:pPr>
        <w:pStyle w:val="ListParagraph"/>
        <w:numPr>
          <w:ilvl w:val="0"/>
          <w:numId w:val="16"/>
        </w:numPr>
        <w:spacing w:before="60" w:after="60"/>
        <w:ind w:right="-329"/>
        <w:rPr>
          <w:rFonts w:ascii="Arial" w:hAnsi="Arial" w:cs="Arial"/>
        </w:rPr>
      </w:pPr>
      <w:r>
        <w:rPr>
          <w:rFonts w:ascii="Arial" w:hAnsi="Arial" w:cs="Arial"/>
        </w:rPr>
        <w:t>Work independently, to understand one’s own learning style and work regime</w:t>
      </w:r>
      <w:r w:rsidR="00EA2822">
        <w:rPr>
          <w:rFonts w:ascii="Arial" w:hAnsi="Arial" w:cs="Arial"/>
        </w:rPr>
        <w:t>.</w:t>
      </w:r>
      <w:r w:rsidR="00FD42D6" w:rsidRPr="00FD42D6">
        <w:rPr>
          <w:rFonts w:ascii="Arial" w:hAnsi="Arial" w:cs="Arial"/>
        </w:rPr>
        <w:t xml:space="preserve"> </w:t>
      </w:r>
    </w:p>
    <w:p w14:paraId="7CE7A40D" w14:textId="77777777" w:rsidR="00B00873" w:rsidRDefault="00B00873" w:rsidP="00B00873">
      <w:pPr>
        <w:pStyle w:val="ListParagraph"/>
        <w:spacing w:after="120" w:line="240" w:lineRule="auto"/>
        <w:ind w:right="260"/>
        <w:jc w:val="both"/>
        <w:rPr>
          <w:rFonts w:ascii="Arial" w:hAnsi="Arial" w:cs="Arial"/>
          <w:b/>
        </w:rPr>
      </w:pPr>
    </w:p>
    <w:p w14:paraId="620F8A80" w14:textId="081A8832" w:rsidR="009A2D37" w:rsidRPr="00451B7A" w:rsidRDefault="009A2D37" w:rsidP="00451B7A">
      <w:pPr>
        <w:pStyle w:val="ListParagraph"/>
        <w:numPr>
          <w:ilvl w:val="0"/>
          <w:numId w:val="25"/>
        </w:numPr>
        <w:spacing w:after="120" w:line="240" w:lineRule="auto"/>
        <w:ind w:right="260"/>
        <w:jc w:val="both"/>
        <w:rPr>
          <w:rFonts w:ascii="Arial" w:hAnsi="Arial" w:cs="Arial"/>
          <w:b/>
        </w:rPr>
      </w:pPr>
      <w:r w:rsidRPr="00451B7A">
        <w:rPr>
          <w:rFonts w:ascii="Arial" w:hAnsi="Arial" w:cs="Arial"/>
          <w:b/>
        </w:rPr>
        <w:t>A synopsis of the curriculum</w:t>
      </w:r>
    </w:p>
    <w:p w14:paraId="453298A1" w14:textId="2CEE83CA" w:rsidR="0019786F" w:rsidRPr="00AB7C44" w:rsidRDefault="00BB551C" w:rsidP="00BB551C">
      <w:pPr>
        <w:pStyle w:val="textbox"/>
        <w:shd w:val="clear" w:color="auto" w:fill="FFFFFF"/>
        <w:spacing w:before="0" w:beforeAutospacing="0" w:after="0" w:afterAutospacing="0"/>
        <w:ind w:left="426"/>
        <w:rPr>
          <w:rFonts w:ascii="Arial" w:eastAsia="Times New Roman" w:hAnsi="Arial" w:cs="Arial"/>
          <w:color w:val="000000"/>
          <w:sz w:val="22"/>
          <w:szCs w:val="22"/>
          <w:shd w:val="clear" w:color="auto" w:fill="FFFFFF"/>
        </w:rPr>
      </w:pPr>
      <w:r>
        <w:rPr>
          <w:rFonts w:ascii="Arial" w:hAnsi="Arial" w:cs="Arial"/>
          <w:sz w:val="22"/>
          <w:szCs w:val="22"/>
        </w:rPr>
        <w:t>C</w:t>
      </w:r>
      <w:r w:rsidR="0019786F" w:rsidRPr="00AB7C44">
        <w:rPr>
          <w:rFonts w:ascii="Arial" w:hAnsi="Arial" w:cs="Arial"/>
          <w:sz w:val="22"/>
          <w:szCs w:val="22"/>
        </w:rPr>
        <w:t xml:space="preserve">ontracts are </w:t>
      </w:r>
      <w:r>
        <w:rPr>
          <w:rFonts w:ascii="Arial" w:hAnsi="Arial" w:cs="Arial"/>
          <w:sz w:val="22"/>
          <w:szCs w:val="22"/>
        </w:rPr>
        <w:t>one of the most</w:t>
      </w:r>
      <w:r w:rsidRPr="00AB7C44">
        <w:rPr>
          <w:rFonts w:ascii="Arial" w:hAnsi="Arial" w:cs="Arial"/>
          <w:sz w:val="22"/>
          <w:szCs w:val="22"/>
        </w:rPr>
        <w:t xml:space="preserve"> </w:t>
      </w:r>
      <w:r w:rsidR="0019786F" w:rsidRPr="00AB7C44">
        <w:rPr>
          <w:rFonts w:ascii="Arial" w:hAnsi="Arial" w:cs="Arial"/>
          <w:sz w:val="22"/>
          <w:szCs w:val="22"/>
        </w:rPr>
        <w:t xml:space="preserve">important elements of the Music Industry and impact directly on the success or failure of an artist’s career. </w:t>
      </w:r>
      <w:r w:rsidR="00BB76C7">
        <w:rPr>
          <w:rFonts w:ascii="Arial" w:hAnsi="Arial" w:cs="Arial"/>
          <w:sz w:val="22"/>
          <w:szCs w:val="22"/>
        </w:rPr>
        <w:t>Students will learn the key n</w:t>
      </w:r>
      <w:r w:rsidR="0019786F" w:rsidRPr="00AB7C44">
        <w:rPr>
          <w:rFonts w:ascii="Arial" w:hAnsi="Arial" w:cs="Arial"/>
          <w:sz w:val="22"/>
          <w:szCs w:val="22"/>
        </w:rPr>
        <w:t>egotiation</w:t>
      </w:r>
      <w:r w:rsidR="00BB76C7">
        <w:rPr>
          <w:rFonts w:ascii="Arial" w:hAnsi="Arial" w:cs="Arial"/>
          <w:sz w:val="22"/>
          <w:szCs w:val="22"/>
        </w:rPr>
        <w:t xml:space="preserve"> elements</w:t>
      </w:r>
      <w:r w:rsidR="0019786F" w:rsidRPr="00AB7C44">
        <w:rPr>
          <w:rFonts w:ascii="Arial" w:hAnsi="Arial" w:cs="Arial"/>
          <w:sz w:val="22"/>
          <w:szCs w:val="22"/>
        </w:rPr>
        <w:t xml:space="preserve"> of </w:t>
      </w:r>
      <w:r w:rsidR="00BB76C7">
        <w:rPr>
          <w:rFonts w:ascii="Arial" w:hAnsi="Arial" w:cs="Arial"/>
          <w:sz w:val="22"/>
          <w:szCs w:val="22"/>
        </w:rPr>
        <w:t>a</w:t>
      </w:r>
      <w:r w:rsidR="00BB76C7" w:rsidRPr="00AB7C44">
        <w:rPr>
          <w:rFonts w:ascii="Arial" w:hAnsi="Arial" w:cs="Arial"/>
          <w:sz w:val="22"/>
          <w:szCs w:val="22"/>
        </w:rPr>
        <w:t xml:space="preserve">rtist management, recording, publishing, touring and merchandising contracts </w:t>
      </w:r>
      <w:r w:rsidR="00BB76C7">
        <w:rPr>
          <w:rFonts w:ascii="Arial" w:hAnsi="Arial" w:cs="Arial"/>
          <w:sz w:val="22"/>
          <w:szCs w:val="22"/>
        </w:rPr>
        <w:t>and</w:t>
      </w:r>
      <w:r w:rsidR="0019786F" w:rsidRPr="00AB7C44">
        <w:rPr>
          <w:rFonts w:ascii="Arial" w:hAnsi="Arial" w:cs="Arial"/>
          <w:sz w:val="22"/>
          <w:szCs w:val="22"/>
        </w:rPr>
        <w:t xml:space="preserve"> the different ways in which stakeholders approach the negotiations</w:t>
      </w:r>
      <w:r w:rsidR="00BB76C7">
        <w:rPr>
          <w:rFonts w:ascii="Arial" w:hAnsi="Arial" w:cs="Arial"/>
          <w:sz w:val="22"/>
          <w:szCs w:val="22"/>
        </w:rPr>
        <w:t xml:space="preserve"> of these contracts</w:t>
      </w:r>
      <w:r w:rsidR="0019786F" w:rsidRPr="00AB7C44">
        <w:rPr>
          <w:rFonts w:ascii="Arial" w:hAnsi="Arial" w:cs="Arial"/>
          <w:sz w:val="22"/>
          <w:szCs w:val="22"/>
        </w:rPr>
        <w:t>. The various rights organisations and their operating models, both nationally and internationally are</w:t>
      </w:r>
      <w:r w:rsidR="00BB76C7">
        <w:rPr>
          <w:rFonts w:ascii="Arial" w:hAnsi="Arial" w:cs="Arial"/>
          <w:sz w:val="22"/>
          <w:szCs w:val="22"/>
        </w:rPr>
        <w:t xml:space="preserve"> also</w:t>
      </w:r>
      <w:r w:rsidR="0019786F" w:rsidRPr="00AB7C44">
        <w:rPr>
          <w:rFonts w:ascii="Arial" w:hAnsi="Arial" w:cs="Arial"/>
          <w:sz w:val="22"/>
          <w:szCs w:val="22"/>
        </w:rPr>
        <w:t xml:space="preserve"> examined along with the collection of copyright and performance royalties, their generation and importance within the framework of the industry.</w:t>
      </w:r>
      <w:r w:rsidR="00392E35">
        <w:rPr>
          <w:rFonts w:ascii="Arial" w:hAnsi="Arial" w:cs="Arial"/>
          <w:sz w:val="22"/>
          <w:szCs w:val="22"/>
        </w:rPr>
        <w:t xml:space="preserve"> </w:t>
      </w:r>
    </w:p>
    <w:p w14:paraId="09414551" w14:textId="77777777" w:rsidR="009A2D37" w:rsidRPr="0036174D" w:rsidRDefault="009A2D37" w:rsidP="00D50113">
      <w:pPr>
        <w:spacing w:after="120" w:line="240" w:lineRule="auto"/>
        <w:ind w:left="426" w:right="260"/>
        <w:rPr>
          <w:rFonts w:ascii="Arial" w:hAnsi="Arial" w:cs="Arial"/>
          <w:iCs/>
        </w:rPr>
      </w:pPr>
    </w:p>
    <w:p w14:paraId="280CEEB9" w14:textId="72026618" w:rsidR="009A2D37" w:rsidRPr="00451B7A" w:rsidRDefault="002A7F48" w:rsidP="00451B7A">
      <w:pPr>
        <w:pStyle w:val="ListParagraph"/>
        <w:numPr>
          <w:ilvl w:val="0"/>
          <w:numId w:val="25"/>
        </w:numPr>
        <w:spacing w:after="120" w:line="240" w:lineRule="auto"/>
        <w:ind w:right="260"/>
        <w:jc w:val="both"/>
        <w:rPr>
          <w:rFonts w:ascii="Arial" w:hAnsi="Arial" w:cs="Arial"/>
          <w:b/>
        </w:rPr>
      </w:pPr>
      <w:r w:rsidRPr="00451B7A">
        <w:rPr>
          <w:rFonts w:ascii="Arial" w:hAnsi="Arial" w:cs="Arial"/>
          <w:b/>
        </w:rPr>
        <w:t>Reading l</w:t>
      </w:r>
      <w:r w:rsidR="009A2D37" w:rsidRPr="00451B7A">
        <w:rPr>
          <w:rFonts w:ascii="Arial" w:hAnsi="Arial" w:cs="Arial"/>
          <w:b/>
        </w:rPr>
        <w:t xml:space="preserve">ist </w:t>
      </w:r>
      <w:r w:rsidR="00274ED7" w:rsidRPr="00451B7A">
        <w:rPr>
          <w:rFonts w:ascii="Arial" w:hAnsi="Arial" w:cs="Arial"/>
          <w:b/>
        </w:rPr>
        <w:t>(Indicative list, current at time of publication. Reading lists will be published annually)</w:t>
      </w:r>
    </w:p>
    <w:p w14:paraId="316D2AD5" w14:textId="77777777" w:rsidR="00572E92" w:rsidRPr="00AB7C44" w:rsidRDefault="00572E92" w:rsidP="00572E92">
      <w:pPr>
        <w:widowControl w:val="0"/>
        <w:autoSpaceDE w:val="0"/>
        <w:autoSpaceDN w:val="0"/>
        <w:adjustRightInd w:val="0"/>
        <w:spacing w:after="160" w:line="240" w:lineRule="auto"/>
        <w:ind w:left="1080" w:hanging="654"/>
        <w:rPr>
          <w:rFonts w:ascii="Arial" w:hAnsi="Arial" w:cs="Arial"/>
          <w:lang w:val="en-US"/>
        </w:rPr>
      </w:pPr>
      <w:r w:rsidRPr="00AB7C44">
        <w:rPr>
          <w:rFonts w:ascii="Arial" w:hAnsi="Arial" w:cs="Arial"/>
          <w:lang w:val="en-US"/>
        </w:rPr>
        <w:t>Christie, A. and Gare, S. (2012). </w:t>
      </w:r>
      <w:r w:rsidRPr="00AB7C44">
        <w:rPr>
          <w:rFonts w:ascii="Arial" w:hAnsi="Arial" w:cs="Arial"/>
          <w:i/>
          <w:iCs/>
          <w:lang w:val="en-US"/>
        </w:rPr>
        <w:t>Blackstone’s statutes on intellectual property</w:t>
      </w:r>
      <w:r w:rsidRPr="00AB7C44">
        <w:rPr>
          <w:rFonts w:ascii="Arial" w:hAnsi="Arial" w:cs="Arial"/>
          <w:lang w:val="en-US"/>
        </w:rPr>
        <w:t>. Oxford: Oxford University Press.</w:t>
      </w:r>
    </w:p>
    <w:p w14:paraId="27D1760E" w14:textId="54B7A045" w:rsidR="00572E92" w:rsidRPr="00AB7C44" w:rsidRDefault="00572E92" w:rsidP="00572E92">
      <w:pPr>
        <w:widowControl w:val="0"/>
        <w:tabs>
          <w:tab w:val="left" w:pos="220"/>
          <w:tab w:val="left" w:pos="720"/>
        </w:tabs>
        <w:autoSpaceDE w:val="0"/>
        <w:autoSpaceDN w:val="0"/>
        <w:adjustRightInd w:val="0"/>
        <w:spacing w:after="213" w:line="240" w:lineRule="atLeast"/>
        <w:ind w:left="426"/>
        <w:rPr>
          <w:rFonts w:ascii="Arial" w:eastAsia="Times New Roman" w:hAnsi="Arial" w:cs="Arial"/>
          <w:lang w:eastAsia="zh-CN"/>
        </w:rPr>
      </w:pPr>
      <w:r w:rsidRPr="00AB7C44">
        <w:rPr>
          <w:rFonts w:ascii="Arial" w:eastAsia="Times New Roman" w:hAnsi="Arial" w:cs="Arial"/>
          <w:lang w:eastAsia="zh-CN"/>
        </w:rPr>
        <w:t xml:space="preserve">Marshall, L., Frith, S. (Eds.), 2004. </w:t>
      </w:r>
      <w:r w:rsidRPr="00CC1602">
        <w:rPr>
          <w:rFonts w:ascii="Arial" w:eastAsia="Times New Roman" w:hAnsi="Arial" w:cs="Arial"/>
          <w:i/>
          <w:lang w:eastAsia="zh-CN"/>
        </w:rPr>
        <w:t>Music and Copyright</w:t>
      </w:r>
      <w:r w:rsidRPr="00AB7C44">
        <w:rPr>
          <w:rFonts w:ascii="Arial" w:eastAsia="Times New Roman" w:hAnsi="Arial" w:cs="Arial"/>
          <w:lang w:eastAsia="zh-CN"/>
        </w:rPr>
        <w:t>, 2</w:t>
      </w:r>
      <w:r w:rsidR="00CC1602" w:rsidRPr="00CC1602">
        <w:rPr>
          <w:rFonts w:ascii="Arial" w:eastAsia="Times New Roman" w:hAnsi="Arial" w:cs="Arial"/>
          <w:vertAlign w:val="superscript"/>
          <w:lang w:eastAsia="zh-CN"/>
        </w:rPr>
        <w:t>nd</w:t>
      </w:r>
      <w:r w:rsidR="00CC1602">
        <w:rPr>
          <w:rFonts w:ascii="Arial" w:eastAsia="Times New Roman" w:hAnsi="Arial" w:cs="Arial"/>
          <w:lang w:eastAsia="zh-CN"/>
        </w:rPr>
        <w:t xml:space="preserve"> </w:t>
      </w:r>
      <w:r w:rsidRPr="00AB7C44">
        <w:rPr>
          <w:rFonts w:ascii="Arial" w:eastAsia="Times New Roman" w:hAnsi="Arial" w:cs="Arial"/>
          <w:lang w:eastAsia="zh-CN"/>
        </w:rPr>
        <w:t>edition. ed. Routledge, New York.</w:t>
      </w:r>
    </w:p>
    <w:p w14:paraId="29AABE75" w14:textId="77777777" w:rsidR="00572E92" w:rsidRPr="00AB7C44" w:rsidRDefault="00572E92" w:rsidP="00572E92">
      <w:pPr>
        <w:widowControl w:val="0"/>
        <w:tabs>
          <w:tab w:val="left" w:pos="220"/>
          <w:tab w:val="left" w:pos="720"/>
        </w:tabs>
        <w:autoSpaceDE w:val="0"/>
        <w:autoSpaceDN w:val="0"/>
        <w:adjustRightInd w:val="0"/>
        <w:spacing w:after="213" w:line="240" w:lineRule="atLeast"/>
        <w:ind w:left="426"/>
        <w:rPr>
          <w:rFonts w:ascii="Arial" w:eastAsiaTheme="minorHAnsi" w:hAnsi="Arial" w:cs="Arial"/>
          <w:i/>
          <w:iCs/>
          <w:color w:val="000000"/>
          <w:lang w:eastAsia="en-US"/>
        </w:rPr>
      </w:pPr>
      <w:r w:rsidRPr="00747C5F">
        <w:rPr>
          <w:rFonts w:ascii="Arial" w:eastAsiaTheme="minorHAnsi" w:hAnsi="Arial" w:cs="Arial"/>
          <w:iCs/>
          <w:color w:val="000000"/>
          <w:lang w:eastAsia="en-US"/>
        </w:rPr>
        <w:lastRenderedPageBreak/>
        <w:t>Moser, D. J. and Slay, C. L. (2012).</w:t>
      </w:r>
      <w:r w:rsidRPr="00AB7C44">
        <w:rPr>
          <w:rFonts w:ascii="Arial" w:eastAsiaTheme="minorHAnsi" w:hAnsi="Arial" w:cs="Arial"/>
          <w:i/>
          <w:iCs/>
          <w:color w:val="000000"/>
          <w:lang w:eastAsia="en-US"/>
        </w:rPr>
        <w:t xml:space="preserve"> Music copyright law</w:t>
      </w:r>
      <w:r w:rsidRPr="00747C5F">
        <w:rPr>
          <w:rFonts w:ascii="Arial" w:eastAsiaTheme="minorHAnsi" w:hAnsi="Arial" w:cs="Arial"/>
          <w:iCs/>
          <w:color w:val="000000"/>
          <w:lang w:eastAsia="en-US"/>
        </w:rPr>
        <w:t>. Boston, Mass.: Course Technology, Cengage Learning</w:t>
      </w:r>
    </w:p>
    <w:p w14:paraId="1BAF1BFD" w14:textId="7C3799E7" w:rsidR="00572E92" w:rsidRPr="00AB7C44" w:rsidRDefault="00572E92" w:rsidP="00572E92">
      <w:pPr>
        <w:widowControl w:val="0"/>
        <w:tabs>
          <w:tab w:val="left" w:pos="220"/>
          <w:tab w:val="left" w:pos="720"/>
        </w:tabs>
        <w:autoSpaceDE w:val="0"/>
        <w:autoSpaceDN w:val="0"/>
        <w:adjustRightInd w:val="0"/>
        <w:spacing w:after="213" w:line="240" w:lineRule="atLeast"/>
        <w:ind w:left="426"/>
        <w:rPr>
          <w:rFonts w:ascii="Arial" w:eastAsiaTheme="minorHAnsi" w:hAnsi="Arial" w:cs="Arial"/>
          <w:color w:val="000000"/>
          <w:lang w:val="en-US" w:eastAsia="en-US"/>
        </w:rPr>
      </w:pPr>
      <w:r w:rsidRPr="00AB7C44">
        <w:rPr>
          <w:rFonts w:ascii="Arial" w:eastAsiaTheme="minorHAnsi" w:hAnsi="Arial" w:cs="Arial"/>
          <w:color w:val="000000"/>
          <w:lang w:val="en-US" w:eastAsia="en-US"/>
        </w:rPr>
        <w:t>Waelde, C. (2014). </w:t>
      </w:r>
      <w:r w:rsidRPr="00AB7C44">
        <w:rPr>
          <w:rFonts w:ascii="Arial" w:eastAsiaTheme="minorHAnsi" w:hAnsi="Arial" w:cs="Arial"/>
          <w:i/>
          <w:iCs/>
          <w:color w:val="000000"/>
          <w:lang w:val="en-US" w:eastAsia="en-US"/>
        </w:rPr>
        <w:t>Contemporary intellectual property: law and policy</w:t>
      </w:r>
      <w:r w:rsidRPr="00AB7C44">
        <w:rPr>
          <w:rFonts w:ascii="Arial" w:eastAsiaTheme="minorHAnsi" w:hAnsi="Arial" w:cs="Arial"/>
          <w:color w:val="000000"/>
          <w:lang w:val="en-US" w:eastAsia="en-US"/>
        </w:rPr>
        <w:t>. Oxford: Oxford University Press.</w:t>
      </w:r>
    </w:p>
    <w:p w14:paraId="352E8455" w14:textId="77777777" w:rsidR="00572E92" w:rsidRPr="00AB7C44" w:rsidRDefault="00572E92" w:rsidP="00572E92">
      <w:pPr>
        <w:widowControl w:val="0"/>
        <w:autoSpaceDE w:val="0"/>
        <w:autoSpaceDN w:val="0"/>
        <w:adjustRightInd w:val="0"/>
        <w:spacing w:after="160" w:line="240" w:lineRule="auto"/>
        <w:ind w:left="1080" w:hanging="654"/>
        <w:rPr>
          <w:rFonts w:ascii="Arial" w:hAnsi="Arial" w:cs="Arial"/>
          <w:lang w:val="en-US"/>
        </w:rPr>
      </w:pPr>
      <w:r w:rsidRPr="00AB7C44">
        <w:rPr>
          <w:rFonts w:ascii="Arial" w:hAnsi="Arial" w:cs="Arial"/>
          <w:lang w:val="en-US"/>
        </w:rPr>
        <w:t>Wikström, P. (2013). </w:t>
      </w:r>
      <w:r w:rsidRPr="00AB7C44">
        <w:rPr>
          <w:rFonts w:ascii="Arial" w:hAnsi="Arial" w:cs="Arial"/>
          <w:i/>
          <w:iCs/>
          <w:lang w:val="en-US"/>
        </w:rPr>
        <w:t>The music industry: music in the cloud 2</w:t>
      </w:r>
      <w:r w:rsidRPr="00AB7C44">
        <w:rPr>
          <w:rFonts w:ascii="Arial" w:hAnsi="Arial" w:cs="Arial"/>
          <w:i/>
          <w:iCs/>
          <w:vertAlign w:val="superscript"/>
          <w:lang w:val="en-US"/>
        </w:rPr>
        <w:t>nd</w:t>
      </w:r>
      <w:r w:rsidRPr="00AB7C44">
        <w:rPr>
          <w:rFonts w:ascii="Arial" w:hAnsi="Arial" w:cs="Arial"/>
          <w:i/>
          <w:iCs/>
          <w:lang w:val="en-US"/>
        </w:rPr>
        <w:t xml:space="preserve"> Edition</w:t>
      </w:r>
      <w:r w:rsidRPr="00AB7C44">
        <w:rPr>
          <w:rFonts w:ascii="Arial" w:hAnsi="Arial" w:cs="Arial"/>
          <w:lang w:val="en-US"/>
        </w:rPr>
        <w:t>. Cambridge: Polity Press.</w:t>
      </w:r>
    </w:p>
    <w:p w14:paraId="79594F70" w14:textId="249B7321" w:rsidR="00437B24" w:rsidRPr="00437B24" w:rsidRDefault="00437B24" w:rsidP="00437B24">
      <w:pPr>
        <w:widowControl w:val="0"/>
        <w:tabs>
          <w:tab w:val="left" w:pos="220"/>
          <w:tab w:val="left" w:pos="720"/>
        </w:tabs>
        <w:autoSpaceDE w:val="0"/>
        <w:autoSpaceDN w:val="0"/>
        <w:adjustRightInd w:val="0"/>
        <w:spacing w:after="0" w:line="240" w:lineRule="auto"/>
        <w:rPr>
          <w:rFonts w:eastAsiaTheme="minorHAnsi" w:cs="Times"/>
          <w:color w:val="000000"/>
          <w:lang w:eastAsia="en-US"/>
        </w:rPr>
      </w:pPr>
      <w:r w:rsidRPr="00437B24">
        <w:rPr>
          <w:rFonts w:ascii="MS Mincho" w:eastAsia="MS Mincho" w:hAnsi="MS Mincho" w:cs="MS Mincho"/>
          <w:color w:val="000000"/>
          <w:lang w:eastAsia="en-US"/>
        </w:rPr>
        <w:t> </w:t>
      </w:r>
    </w:p>
    <w:p w14:paraId="132EEED3" w14:textId="77777777" w:rsidR="009A2D37" w:rsidRPr="0036174D" w:rsidRDefault="009A2D37" w:rsidP="00437B24">
      <w:pPr>
        <w:spacing w:after="120" w:line="240" w:lineRule="auto"/>
        <w:ind w:right="260"/>
        <w:jc w:val="both"/>
        <w:rPr>
          <w:rFonts w:ascii="Arial" w:hAnsi="Arial" w:cs="Arial"/>
        </w:rPr>
      </w:pPr>
    </w:p>
    <w:p w14:paraId="0A8CD04D" w14:textId="77777777" w:rsidR="009A2D37" w:rsidRPr="0036174D" w:rsidRDefault="009A2D37" w:rsidP="00451B7A">
      <w:pPr>
        <w:numPr>
          <w:ilvl w:val="0"/>
          <w:numId w:val="25"/>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287B47E" w14:textId="4C46E8FD" w:rsidR="00556EEF" w:rsidRDefault="00556EEF" w:rsidP="001828E7">
      <w:pPr>
        <w:spacing w:after="0"/>
        <w:ind w:left="270" w:right="-330"/>
        <w:rPr>
          <w:rFonts w:ascii="Arial" w:hAnsi="Arial" w:cs="Arial"/>
          <w:iCs/>
        </w:rPr>
      </w:pPr>
      <w:r>
        <w:rPr>
          <w:rFonts w:ascii="Arial" w:hAnsi="Arial" w:cs="Arial"/>
          <w:iCs/>
        </w:rPr>
        <w:t>This module will</w:t>
      </w:r>
      <w:r w:rsidR="00CC1602">
        <w:rPr>
          <w:rFonts w:ascii="Arial" w:hAnsi="Arial" w:cs="Arial"/>
          <w:iCs/>
        </w:rPr>
        <w:t xml:space="preserve"> be taught by means of lectures, </w:t>
      </w:r>
      <w:r>
        <w:rPr>
          <w:rFonts w:ascii="Arial" w:hAnsi="Arial" w:cs="Arial"/>
          <w:iCs/>
        </w:rPr>
        <w:t>seminars</w:t>
      </w:r>
      <w:r w:rsidR="00CC1602">
        <w:rPr>
          <w:rFonts w:ascii="Arial" w:hAnsi="Arial" w:cs="Arial"/>
          <w:iCs/>
        </w:rPr>
        <w:t xml:space="preserve"> and a feedback tutorial</w:t>
      </w:r>
      <w:r>
        <w:rPr>
          <w:rFonts w:ascii="Arial" w:hAnsi="Arial" w:cs="Arial"/>
          <w:iCs/>
        </w:rPr>
        <w:t xml:space="preserve">. </w:t>
      </w:r>
    </w:p>
    <w:p w14:paraId="1D02C990" w14:textId="3B242BD4" w:rsidR="001828E7" w:rsidRPr="001828E7" w:rsidRDefault="00AB7C44" w:rsidP="001828E7">
      <w:pPr>
        <w:spacing w:after="0"/>
        <w:ind w:left="270" w:right="-330"/>
        <w:rPr>
          <w:rFonts w:ascii="Arial" w:hAnsi="Arial" w:cs="Arial"/>
          <w:iCs/>
        </w:rPr>
      </w:pPr>
      <w:r>
        <w:rPr>
          <w:rFonts w:ascii="Arial" w:hAnsi="Arial" w:cs="Arial"/>
          <w:iCs/>
        </w:rPr>
        <w:t>Contact</w:t>
      </w:r>
      <w:r w:rsidR="001828E7" w:rsidRPr="001828E7">
        <w:rPr>
          <w:rFonts w:ascii="Arial" w:hAnsi="Arial" w:cs="Arial"/>
          <w:iCs/>
        </w:rPr>
        <w:t xml:space="preserve"> hours:</w:t>
      </w:r>
      <w:r w:rsidR="0064608E">
        <w:rPr>
          <w:rFonts w:ascii="Arial" w:hAnsi="Arial" w:cs="Arial"/>
          <w:iCs/>
        </w:rPr>
        <w:tab/>
      </w:r>
      <w:r w:rsidR="001828E7" w:rsidRPr="001828E7">
        <w:rPr>
          <w:rFonts w:ascii="Arial" w:hAnsi="Arial" w:cs="Arial"/>
          <w:iCs/>
        </w:rPr>
        <w:tab/>
      </w:r>
      <w:r>
        <w:rPr>
          <w:rFonts w:ascii="Arial" w:hAnsi="Arial" w:cs="Arial"/>
          <w:iCs/>
        </w:rPr>
        <w:t>22</w:t>
      </w:r>
    </w:p>
    <w:p w14:paraId="59CC1268" w14:textId="0378673E" w:rsidR="001828E7" w:rsidRPr="001828E7" w:rsidRDefault="001828E7" w:rsidP="001828E7">
      <w:pPr>
        <w:spacing w:after="0"/>
        <w:ind w:left="270" w:right="-330"/>
        <w:rPr>
          <w:rFonts w:ascii="Arial" w:hAnsi="Arial" w:cs="Arial"/>
          <w:iCs/>
        </w:rPr>
      </w:pPr>
      <w:r w:rsidRPr="001828E7">
        <w:rPr>
          <w:rFonts w:ascii="Arial" w:hAnsi="Arial" w:cs="Arial"/>
          <w:iCs/>
        </w:rPr>
        <w:t xml:space="preserve">Independent study hours: </w:t>
      </w:r>
      <w:r w:rsidRPr="001828E7">
        <w:rPr>
          <w:rFonts w:ascii="Arial" w:hAnsi="Arial" w:cs="Arial"/>
          <w:iCs/>
        </w:rPr>
        <w:tab/>
        <w:t>1</w:t>
      </w:r>
      <w:r w:rsidR="00AB7C44">
        <w:rPr>
          <w:rFonts w:ascii="Arial" w:hAnsi="Arial" w:cs="Arial"/>
          <w:iCs/>
        </w:rPr>
        <w:t>28</w:t>
      </w:r>
    </w:p>
    <w:p w14:paraId="04EB0AEF" w14:textId="77777777" w:rsidR="001828E7" w:rsidRPr="001828E7" w:rsidRDefault="001828E7" w:rsidP="001828E7">
      <w:pPr>
        <w:spacing w:after="0"/>
        <w:ind w:left="270" w:right="-330"/>
        <w:rPr>
          <w:rFonts w:ascii="Arial" w:hAnsi="Arial" w:cs="Arial"/>
          <w:iCs/>
        </w:rPr>
      </w:pPr>
      <w:r w:rsidRPr="001828E7">
        <w:rPr>
          <w:rFonts w:ascii="Arial" w:hAnsi="Arial" w:cs="Arial"/>
          <w:iCs/>
        </w:rPr>
        <w:t>Total study hours:</w:t>
      </w:r>
      <w:r w:rsidRPr="001828E7">
        <w:rPr>
          <w:rFonts w:ascii="Arial" w:hAnsi="Arial" w:cs="Arial"/>
          <w:iCs/>
        </w:rPr>
        <w:tab/>
      </w:r>
      <w:r w:rsidRPr="001828E7">
        <w:rPr>
          <w:rFonts w:ascii="Arial" w:hAnsi="Arial" w:cs="Arial"/>
          <w:iCs/>
        </w:rPr>
        <w:tab/>
        <w:t>150</w:t>
      </w:r>
    </w:p>
    <w:p w14:paraId="571FBD90" w14:textId="77777777" w:rsidR="0036174D" w:rsidRPr="0036174D" w:rsidRDefault="0036174D" w:rsidP="00D50113">
      <w:pPr>
        <w:spacing w:after="120" w:line="240" w:lineRule="auto"/>
        <w:ind w:left="426" w:right="260"/>
        <w:rPr>
          <w:rFonts w:ascii="Arial" w:hAnsi="Arial" w:cs="Arial"/>
          <w:iCs/>
        </w:rPr>
      </w:pPr>
    </w:p>
    <w:p w14:paraId="77B821DD" w14:textId="5D8D8846" w:rsidR="00B9109B" w:rsidRPr="0036174D" w:rsidRDefault="00EF4933" w:rsidP="00451B7A">
      <w:pPr>
        <w:numPr>
          <w:ilvl w:val="0"/>
          <w:numId w:val="25"/>
        </w:numPr>
        <w:spacing w:after="120" w:line="240" w:lineRule="auto"/>
        <w:ind w:left="426" w:right="260" w:hanging="426"/>
        <w:rPr>
          <w:rFonts w:ascii="Arial" w:hAnsi="Arial" w:cs="Arial"/>
          <w:b/>
          <w:i/>
          <w:iCs/>
        </w:rPr>
      </w:pPr>
      <w:bookmarkStart w:id="0" w:name="_GoBack"/>
      <w:bookmarkEnd w:id="0"/>
      <w:r w:rsidRPr="00302082">
        <w:rPr>
          <w:rFonts w:ascii="Arial" w:hAnsi="Arial" w:cs="Arial"/>
          <w:b/>
        </w:rPr>
        <w:t>Assessment methods</w:t>
      </w:r>
    </w:p>
    <w:p w14:paraId="1588E158" w14:textId="3F399EA6" w:rsidR="00255B7B" w:rsidRDefault="00255B7B" w:rsidP="00255B7B">
      <w:pPr>
        <w:spacing w:after="0"/>
        <w:ind w:right="-330"/>
        <w:rPr>
          <w:rFonts w:ascii="Arial" w:hAnsi="Arial" w:cs="Arial"/>
          <w:iCs/>
        </w:rPr>
      </w:pPr>
      <w:r>
        <w:rPr>
          <w:rFonts w:ascii="Arial" w:hAnsi="Arial" w:cs="Arial"/>
          <w:iCs/>
        </w:rPr>
        <w:t xml:space="preserve">13.1 </w:t>
      </w:r>
      <w:r w:rsidRPr="00CD77EA">
        <w:rPr>
          <w:rFonts w:ascii="Arial" w:hAnsi="Arial" w:cs="Arial"/>
          <w:iCs/>
        </w:rPr>
        <w:t>Main assessment methods</w:t>
      </w:r>
    </w:p>
    <w:p w14:paraId="51868A21" w14:textId="77777777" w:rsidR="001828E7" w:rsidRPr="00833B8D" w:rsidRDefault="001828E7" w:rsidP="001828E7">
      <w:pPr>
        <w:spacing w:after="0"/>
        <w:ind w:left="426" w:right="-330"/>
        <w:rPr>
          <w:rFonts w:ascii="Arial" w:hAnsi="Arial" w:cs="Arial"/>
          <w:iCs/>
        </w:rPr>
      </w:pPr>
      <w:r w:rsidRPr="00CA7FD8">
        <w:rPr>
          <w:rFonts w:ascii="Arial" w:hAnsi="Arial" w:cs="Arial"/>
          <w:iCs/>
        </w:rPr>
        <w:t>This module will be assessed by 100% coursework.</w:t>
      </w:r>
    </w:p>
    <w:p w14:paraId="2B8C9CA9" w14:textId="77777777" w:rsidR="006C6EEC" w:rsidRDefault="006C6EEC" w:rsidP="006C6EEC">
      <w:pPr>
        <w:spacing w:after="0"/>
        <w:ind w:right="260"/>
        <w:rPr>
          <w:rFonts w:ascii="Arial" w:hAnsi="Arial" w:cs="Arial"/>
        </w:rPr>
      </w:pPr>
    </w:p>
    <w:p w14:paraId="32B7BE41" w14:textId="650D7016" w:rsidR="006C6EEC" w:rsidRPr="006C6EEC" w:rsidRDefault="00622CF3" w:rsidP="00622CF3">
      <w:pPr>
        <w:pStyle w:val="ListParagraph"/>
        <w:numPr>
          <w:ilvl w:val="0"/>
          <w:numId w:val="23"/>
        </w:numPr>
        <w:spacing w:after="0"/>
        <w:ind w:right="260"/>
        <w:rPr>
          <w:rFonts w:ascii="Arial" w:hAnsi="Arial" w:cs="Arial"/>
        </w:rPr>
      </w:pPr>
      <w:r>
        <w:rPr>
          <w:rFonts w:ascii="Arial" w:hAnsi="Arial" w:cs="Arial"/>
        </w:rPr>
        <w:t xml:space="preserve">Essay </w:t>
      </w:r>
      <w:r w:rsidR="00255B7B">
        <w:rPr>
          <w:rFonts w:ascii="Arial" w:hAnsi="Arial" w:cs="Arial"/>
        </w:rPr>
        <w:t xml:space="preserve">(1500 words) </w:t>
      </w:r>
      <w:r>
        <w:rPr>
          <w:rFonts w:ascii="Arial" w:hAnsi="Arial" w:cs="Arial"/>
        </w:rPr>
        <w:t>5</w:t>
      </w:r>
      <w:r w:rsidR="006C6EEC">
        <w:rPr>
          <w:rFonts w:ascii="Arial" w:hAnsi="Arial" w:cs="Arial"/>
        </w:rPr>
        <w:t>0</w:t>
      </w:r>
      <w:r w:rsidR="00255B7B">
        <w:rPr>
          <w:rFonts w:ascii="Arial" w:hAnsi="Arial" w:cs="Arial"/>
        </w:rPr>
        <w:t>%</w:t>
      </w:r>
    </w:p>
    <w:p w14:paraId="75193CC2" w14:textId="3D06C463" w:rsidR="001828E7" w:rsidRPr="006C6EEC" w:rsidRDefault="00D51C19" w:rsidP="00D51C19">
      <w:pPr>
        <w:pStyle w:val="ListParagraph"/>
        <w:numPr>
          <w:ilvl w:val="0"/>
          <w:numId w:val="23"/>
        </w:numPr>
        <w:spacing w:after="0"/>
        <w:ind w:right="260"/>
        <w:rPr>
          <w:rFonts w:ascii="Arial" w:hAnsi="Arial" w:cs="Arial"/>
        </w:rPr>
      </w:pPr>
      <w:r>
        <w:rPr>
          <w:rFonts w:ascii="Arial" w:hAnsi="Arial" w:cs="Arial"/>
        </w:rPr>
        <w:t xml:space="preserve">Contract and </w:t>
      </w:r>
      <w:r w:rsidR="00255B7B">
        <w:rPr>
          <w:rFonts w:ascii="Arial" w:hAnsi="Arial" w:cs="Arial"/>
        </w:rPr>
        <w:t xml:space="preserve">a </w:t>
      </w:r>
      <w:r w:rsidR="00622CF3">
        <w:rPr>
          <w:rFonts w:ascii="Arial" w:hAnsi="Arial" w:cs="Arial"/>
        </w:rPr>
        <w:t>1000</w:t>
      </w:r>
      <w:r w:rsidR="00255B7B">
        <w:rPr>
          <w:rFonts w:ascii="Arial" w:hAnsi="Arial" w:cs="Arial"/>
        </w:rPr>
        <w:t>-</w:t>
      </w:r>
      <w:r w:rsidR="00622CF3">
        <w:rPr>
          <w:rFonts w:ascii="Arial" w:hAnsi="Arial" w:cs="Arial"/>
        </w:rPr>
        <w:t>word</w:t>
      </w:r>
      <w:r>
        <w:rPr>
          <w:rFonts w:ascii="Arial" w:hAnsi="Arial" w:cs="Arial"/>
        </w:rPr>
        <w:t xml:space="preserve"> analysis</w:t>
      </w:r>
      <w:r w:rsidR="00622CF3">
        <w:rPr>
          <w:rFonts w:ascii="Arial" w:hAnsi="Arial" w:cs="Arial"/>
        </w:rPr>
        <w:t xml:space="preserve"> 50</w:t>
      </w:r>
      <w:r w:rsidR="00255B7B">
        <w:rPr>
          <w:rFonts w:ascii="Arial" w:hAnsi="Arial" w:cs="Arial"/>
        </w:rPr>
        <w:t>%</w:t>
      </w:r>
    </w:p>
    <w:p w14:paraId="6DF81258" w14:textId="77777777" w:rsidR="0036174D" w:rsidRDefault="0036174D" w:rsidP="00D50113">
      <w:pPr>
        <w:pStyle w:val="ListParagraph"/>
        <w:spacing w:after="120"/>
        <w:contextualSpacing w:val="0"/>
        <w:rPr>
          <w:rFonts w:ascii="Arial" w:hAnsi="Arial" w:cs="Arial"/>
          <w:iCs/>
        </w:rPr>
      </w:pPr>
    </w:p>
    <w:p w14:paraId="5E74E8F5" w14:textId="4619F8EA" w:rsidR="00255B7B" w:rsidRPr="0036174D" w:rsidRDefault="00255B7B" w:rsidP="00255B7B">
      <w:pPr>
        <w:pStyle w:val="ListParagraph"/>
        <w:spacing w:after="120"/>
        <w:ind w:left="0"/>
        <w:contextualSpacing w:val="0"/>
        <w:rPr>
          <w:rFonts w:ascii="Arial" w:hAnsi="Arial" w:cs="Arial"/>
          <w:iCs/>
        </w:rPr>
      </w:pPr>
      <w:r>
        <w:rPr>
          <w:rFonts w:ascii="Arial" w:hAnsi="Arial" w:cs="Arial"/>
          <w:iCs/>
        </w:rPr>
        <w:t xml:space="preserve">13.2 </w:t>
      </w:r>
      <w:r w:rsidRPr="00CD77EA">
        <w:rPr>
          <w:rFonts w:ascii="Arial" w:hAnsi="Arial" w:cs="Arial"/>
          <w:iCs/>
        </w:rPr>
        <w:t>Reassessment methods</w:t>
      </w:r>
    </w:p>
    <w:p w14:paraId="5F531998" w14:textId="238C47D7" w:rsidR="00255B7B" w:rsidRPr="00B00873" w:rsidRDefault="00496B31" w:rsidP="00B00873">
      <w:pPr>
        <w:spacing w:after="0"/>
        <w:ind w:left="709" w:right="260"/>
        <w:rPr>
          <w:rFonts w:ascii="Arial" w:hAnsi="Arial" w:cs="Arial"/>
        </w:rPr>
      </w:pPr>
      <w:r w:rsidRPr="00B00873">
        <w:rPr>
          <w:rFonts w:ascii="Arial" w:hAnsi="Arial" w:cs="Arial"/>
        </w:rPr>
        <w:t>Like-for-like.</w:t>
      </w:r>
    </w:p>
    <w:p w14:paraId="1AE1E061" w14:textId="77777777" w:rsidR="00255B7B" w:rsidRPr="00747C5F" w:rsidRDefault="00255B7B" w:rsidP="00747C5F">
      <w:pPr>
        <w:pStyle w:val="ListParagraph"/>
        <w:spacing w:after="0"/>
        <w:ind w:right="260"/>
        <w:rPr>
          <w:rFonts w:ascii="Arial" w:hAnsi="Arial" w:cs="Arial"/>
        </w:rPr>
      </w:pPr>
    </w:p>
    <w:p w14:paraId="60E4ABEF" w14:textId="5EC40E6C" w:rsidR="00274ED7" w:rsidRPr="00D50113" w:rsidRDefault="006F3F8B" w:rsidP="00451B7A">
      <w:pPr>
        <w:numPr>
          <w:ilvl w:val="0"/>
          <w:numId w:val="25"/>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747" w:type="dxa"/>
        <w:tblInd w:w="108" w:type="dxa"/>
        <w:tblLayout w:type="fixed"/>
        <w:tblLook w:val="04A0" w:firstRow="1" w:lastRow="0" w:firstColumn="1" w:lastColumn="0" w:noHBand="0" w:noVBand="1"/>
      </w:tblPr>
      <w:tblGrid>
        <w:gridCol w:w="1730"/>
        <w:gridCol w:w="567"/>
        <w:gridCol w:w="567"/>
        <w:gridCol w:w="567"/>
        <w:gridCol w:w="567"/>
        <w:gridCol w:w="567"/>
        <w:gridCol w:w="591"/>
        <w:gridCol w:w="591"/>
      </w:tblGrid>
      <w:tr w:rsidR="00255B7B" w:rsidRPr="00302082" w14:paraId="0333B135" w14:textId="77777777" w:rsidTr="00747C5F">
        <w:tc>
          <w:tcPr>
            <w:tcW w:w="1730" w:type="dxa"/>
            <w:shd w:val="clear" w:color="auto" w:fill="D9D9D9" w:themeFill="background1" w:themeFillShade="D9"/>
          </w:tcPr>
          <w:p w14:paraId="3FA4D44E" w14:textId="77777777" w:rsidR="00255B7B" w:rsidRPr="00302082" w:rsidRDefault="00255B7B" w:rsidP="00302082">
            <w:pPr>
              <w:spacing w:after="120"/>
              <w:ind w:left="33"/>
              <w:rPr>
                <w:rFonts w:ascii="Arial" w:hAnsi="Arial" w:cs="Arial"/>
                <w:b/>
              </w:rPr>
            </w:pPr>
            <w:r w:rsidRPr="00302082">
              <w:rPr>
                <w:rFonts w:ascii="Arial" w:hAnsi="Arial" w:cs="Arial"/>
                <w:b/>
              </w:rPr>
              <w:t>Module learning outcome</w:t>
            </w:r>
          </w:p>
        </w:tc>
        <w:tc>
          <w:tcPr>
            <w:tcW w:w="567" w:type="dxa"/>
          </w:tcPr>
          <w:p w14:paraId="69FE21D3" w14:textId="77777777" w:rsidR="00255B7B" w:rsidRPr="00302082" w:rsidRDefault="00255B7B" w:rsidP="00302082">
            <w:pPr>
              <w:spacing w:after="120"/>
              <w:rPr>
                <w:rFonts w:ascii="Arial" w:hAnsi="Arial" w:cs="Arial"/>
                <w:i/>
              </w:rPr>
            </w:pPr>
            <w:r w:rsidRPr="00302082">
              <w:rPr>
                <w:rFonts w:ascii="Arial" w:hAnsi="Arial" w:cs="Arial"/>
                <w:i/>
              </w:rPr>
              <w:t>8.1</w:t>
            </w:r>
          </w:p>
        </w:tc>
        <w:tc>
          <w:tcPr>
            <w:tcW w:w="567" w:type="dxa"/>
          </w:tcPr>
          <w:p w14:paraId="556478B6" w14:textId="77777777" w:rsidR="00255B7B" w:rsidRPr="00302082" w:rsidRDefault="00255B7B" w:rsidP="00302082">
            <w:pPr>
              <w:spacing w:after="120"/>
              <w:rPr>
                <w:rFonts w:ascii="Arial" w:hAnsi="Arial" w:cs="Arial"/>
                <w:i/>
              </w:rPr>
            </w:pPr>
            <w:r w:rsidRPr="00302082">
              <w:rPr>
                <w:rFonts w:ascii="Arial" w:hAnsi="Arial" w:cs="Arial"/>
                <w:i/>
              </w:rPr>
              <w:t>8.2</w:t>
            </w:r>
          </w:p>
        </w:tc>
        <w:tc>
          <w:tcPr>
            <w:tcW w:w="567" w:type="dxa"/>
          </w:tcPr>
          <w:p w14:paraId="0A77CEE3" w14:textId="77777777" w:rsidR="00255B7B" w:rsidRPr="00302082" w:rsidRDefault="00255B7B" w:rsidP="00302082">
            <w:pPr>
              <w:spacing w:after="120"/>
              <w:rPr>
                <w:rFonts w:ascii="Arial" w:hAnsi="Arial" w:cs="Arial"/>
                <w:i/>
              </w:rPr>
            </w:pPr>
            <w:r w:rsidRPr="00302082">
              <w:rPr>
                <w:rFonts w:ascii="Arial" w:hAnsi="Arial" w:cs="Arial"/>
                <w:i/>
              </w:rPr>
              <w:t>8.3</w:t>
            </w:r>
          </w:p>
        </w:tc>
        <w:tc>
          <w:tcPr>
            <w:tcW w:w="567" w:type="dxa"/>
          </w:tcPr>
          <w:p w14:paraId="34767FA2" w14:textId="77777777" w:rsidR="00255B7B" w:rsidRPr="00302082" w:rsidRDefault="00255B7B" w:rsidP="00302082">
            <w:pPr>
              <w:spacing w:after="120"/>
              <w:rPr>
                <w:rFonts w:ascii="Arial" w:hAnsi="Arial" w:cs="Arial"/>
                <w:i/>
              </w:rPr>
            </w:pPr>
            <w:r w:rsidRPr="00302082">
              <w:rPr>
                <w:rFonts w:ascii="Arial" w:hAnsi="Arial" w:cs="Arial"/>
                <w:i/>
              </w:rPr>
              <w:t>9.1</w:t>
            </w:r>
          </w:p>
        </w:tc>
        <w:tc>
          <w:tcPr>
            <w:tcW w:w="567" w:type="dxa"/>
          </w:tcPr>
          <w:p w14:paraId="410B2831" w14:textId="77777777" w:rsidR="00255B7B" w:rsidRPr="00302082" w:rsidRDefault="00255B7B" w:rsidP="00302082">
            <w:pPr>
              <w:spacing w:after="120"/>
              <w:rPr>
                <w:rFonts w:ascii="Arial" w:hAnsi="Arial" w:cs="Arial"/>
                <w:i/>
              </w:rPr>
            </w:pPr>
            <w:r w:rsidRPr="00302082">
              <w:rPr>
                <w:rFonts w:ascii="Arial" w:hAnsi="Arial" w:cs="Arial"/>
                <w:i/>
              </w:rPr>
              <w:t>9.2</w:t>
            </w:r>
          </w:p>
        </w:tc>
        <w:tc>
          <w:tcPr>
            <w:tcW w:w="591" w:type="dxa"/>
          </w:tcPr>
          <w:p w14:paraId="148FAB45" w14:textId="47A8DA37" w:rsidR="00255B7B" w:rsidRDefault="00255B7B" w:rsidP="00BB76C7">
            <w:pPr>
              <w:spacing w:after="120"/>
              <w:rPr>
                <w:rFonts w:ascii="Arial" w:hAnsi="Arial" w:cs="Arial"/>
                <w:i/>
              </w:rPr>
            </w:pPr>
            <w:r>
              <w:rPr>
                <w:rFonts w:ascii="Arial" w:hAnsi="Arial" w:cs="Arial"/>
                <w:i/>
              </w:rPr>
              <w:t>9.3</w:t>
            </w:r>
          </w:p>
        </w:tc>
        <w:tc>
          <w:tcPr>
            <w:tcW w:w="591" w:type="dxa"/>
          </w:tcPr>
          <w:p w14:paraId="1A20ECC9" w14:textId="33C83810" w:rsidR="00255B7B" w:rsidRDefault="00255B7B" w:rsidP="00BB76C7">
            <w:pPr>
              <w:spacing w:after="120"/>
              <w:rPr>
                <w:rFonts w:ascii="Arial" w:hAnsi="Arial" w:cs="Arial"/>
                <w:i/>
              </w:rPr>
            </w:pPr>
            <w:r>
              <w:rPr>
                <w:rFonts w:ascii="Arial" w:hAnsi="Arial" w:cs="Arial"/>
                <w:i/>
              </w:rPr>
              <w:t>9.4</w:t>
            </w:r>
          </w:p>
        </w:tc>
      </w:tr>
      <w:tr w:rsidR="00255B7B" w:rsidRPr="00302082" w14:paraId="0FB7CDF4" w14:textId="77777777" w:rsidTr="00747C5F">
        <w:trPr>
          <w:trHeight w:val="944"/>
        </w:trPr>
        <w:tc>
          <w:tcPr>
            <w:tcW w:w="1730" w:type="dxa"/>
            <w:shd w:val="clear" w:color="auto" w:fill="D9D9D9" w:themeFill="background1" w:themeFillShade="D9"/>
          </w:tcPr>
          <w:p w14:paraId="7121FBD8" w14:textId="77777777" w:rsidR="00255B7B" w:rsidRPr="00302082" w:rsidRDefault="00255B7B" w:rsidP="00302082">
            <w:pPr>
              <w:spacing w:after="120"/>
              <w:rPr>
                <w:rFonts w:ascii="Arial" w:hAnsi="Arial" w:cs="Arial"/>
                <w:b/>
              </w:rPr>
            </w:pPr>
            <w:r w:rsidRPr="00302082">
              <w:rPr>
                <w:rFonts w:ascii="Arial" w:hAnsi="Arial" w:cs="Arial"/>
                <w:b/>
              </w:rPr>
              <w:t>Learning/ teaching method</w:t>
            </w:r>
          </w:p>
        </w:tc>
        <w:tc>
          <w:tcPr>
            <w:tcW w:w="567" w:type="dxa"/>
          </w:tcPr>
          <w:p w14:paraId="619955F0" w14:textId="77777777" w:rsidR="00255B7B" w:rsidRPr="00302082" w:rsidRDefault="00255B7B" w:rsidP="00302082">
            <w:pPr>
              <w:spacing w:after="120"/>
              <w:rPr>
                <w:rFonts w:ascii="Arial" w:hAnsi="Arial" w:cs="Arial"/>
                <w:b/>
              </w:rPr>
            </w:pPr>
          </w:p>
        </w:tc>
        <w:tc>
          <w:tcPr>
            <w:tcW w:w="567" w:type="dxa"/>
          </w:tcPr>
          <w:p w14:paraId="5282CFEC" w14:textId="77777777" w:rsidR="00255B7B" w:rsidRPr="00302082" w:rsidRDefault="00255B7B" w:rsidP="00302082">
            <w:pPr>
              <w:spacing w:after="120"/>
              <w:rPr>
                <w:rFonts w:ascii="Arial" w:hAnsi="Arial" w:cs="Arial"/>
                <w:b/>
              </w:rPr>
            </w:pPr>
          </w:p>
        </w:tc>
        <w:tc>
          <w:tcPr>
            <w:tcW w:w="567" w:type="dxa"/>
          </w:tcPr>
          <w:p w14:paraId="7F6F749C" w14:textId="77777777" w:rsidR="00255B7B" w:rsidRPr="00302082" w:rsidRDefault="00255B7B" w:rsidP="00302082">
            <w:pPr>
              <w:spacing w:after="120"/>
              <w:rPr>
                <w:rFonts w:ascii="Arial" w:hAnsi="Arial" w:cs="Arial"/>
                <w:b/>
              </w:rPr>
            </w:pPr>
          </w:p>
        </w:tc>
        <w:tc>
          <w:tcPr>
            <w:tcW w:w="567" w:type="dxa"/>
          </w:tcPr>
          <w:p w14:paraId="5A3F1106" w14:textId="77777777" w:rsidR="00255B7B" w:rsidRPr="00302082" w:rsidRDefault="00255B7B" w:rsidP="00302082">
            <w:pPr>
              <w:spacing w:after="120"/>
              <w:rPr>
                <w:rFonts w:ascii="Arial" w:hAnsi="Arial" w:cs="Arial"/>
                <w:b/>
              </w:rPr>
            </w:pPr>
          </w:p>
        </w:tc>
        <w:tc>
          <w:tcPr>
            <w:tcW w:w="567" w:type="dxa"/>
          </w:tcPr>
          <w:p w14:paraId="407D0273" w14:textId="77777777" w:rsidR="00255B7B" w:rsidRPr="00302082" w:rsidRDefault="00255B7B" w:rsidP="00302082">
            <w:pPr>
              <w:spacing w:after="120"/>
              <w:rPr>
                <w:rFonts w:ascii="Arial" w:hAnsi="Arial" w:cs="Arial"/>
                <w:b/>
              </w:rPr>
            </w:pPr>
          </w:p>
        </w:tc>
        <w:tc>
          <w:tcPr>
            <w:tcW w:w="591" w:type="dxa"/>
          </w:tcPr>
          <w:p w14:paraId="27D7D8E1" w14:textId="77777777" w:rsidR="00255B7B" w:rsidRPr="00302082" w:rsidRDefault="00255B7B" w:rsidP="00302082">
            <w:pPr>
              <w:spacing w:after="120"/>
              <w:rPr>
                <w:rFonts w:ascii="Arial" w:hAnsi="Arial" w:cs="Arial"/>
                <w:b/>
              </w:rPr>
            </w:pPr>
          </w:p>
        </w:tc>
        <w:tc>
          <w:tcPr>
            <w:tcW w:w="591" w:type="dxa"/>
          </w:tcPr>
          <w:p w14:paraId="3EC96373" w14:textId="66AA2199" w:rsidR="00255B7B" w:rsidRPr="00302082" w:rsidRDefault="00255B7B" w:rsidP="00302082">
            <w:pPr>
              <w:spacing w:after="120"/>
              <w:rPr>
                <w:rFonts w:ascii="Arial" w:hAnsi="Arial" w:cs="Arial"/>
                <w:b/>
              </w:rPr>
            </w:pPr>
          </w:p>
        </w:tc>
      </w:tr>
      <w:tr w:rsidR="00255B7B" w:rsidRPr="00302082" w14:paraId="35833E75" w14:textId="77777777" w:rsidTr="00747C5F">
        <w:trPr>
          <w:trHeight w:val="422"/>
        </w:trPr>
        <w:tc>
          <w:tcPr>
            <w:tcW w:w="1730" w:type="dxa"/>
          </w:tcPr>
          <w:p w14:paraId="1964C9C8" w14:textId="77777777" w:rsidR="00255B7B" w:rsidRPr="00302082" w:rsidRDefault="00255B7B" w:rsidP="00302082">
            <w:pPr>
              <w:spacing w:after="120"/>
              <w:rPr>
                <w:rFonts w:ascii="Arial" w:hAnsi="Arial" w:cs="Arial"/>
                <w:b/>
              </w:rPr>
            </w:pPr>
            <w:r w:rsidRPr="00302082">
              <w:rPr>
                <w:rFonts w:ascii="Arial" w:hAnsi="Arial" w:cs="Arial"/>
                <w:b/>
              </w:rPr>
              <w:t>Private Study</w:t>
            </w:r>
          </w:p>
        </w:tc>
        <w:tc>
          <w:tcPr>
            <w:tcW w:w="567" w:type="dxa"/>
          </w:tcPr>
          <w:p w14:paraId="216A16F4" w14:textId="31355883" w:rsidR="00255B7B" w:rsidRPr="00302082" w:rsidRDefault="00255B7B" w:rsidP="00302082">
            <w:pPr>
              <w:spacing w:after="120"/>
              <w:rPr>
                <w:rFonts w:ascii="Arial" w:hAnsi="Arial" w:cs="Arial"/>
                <w:b/>
              </w:rPr>
            </w:pPr>
            <w:r>
              <w:rPr>
                <w:rFonts w:ascii="Arial" w:hAnsi="Arial" w:cs="Arial"/>
                <w:b/>
              </w:rPr>
              <w:t xml:space="preserve"> X</w:t>
            </w:r>
          </w:p>
        </w:tc>
        <w:tc>
          <w:tcPr>
            <w:tcW w:w="567" w:type="dxa"/>
          </w:tcPr>
          <w:p w14:paraId="7DFF4F73" w14:textId="6DB793DA" w:rsidR="00255B7B" w:rsidRPr="00302082" w:rsidRDefault="00255B7B" w:rsidP="00302082">
            <w:pPr>
              <w:spacing w:after="120"/>
              <w:rPr>
                <w:rFonts w:ascii="Arial" w:hAnsi="Arial" w:cs="Arial"/>
                <w:b/>
              </w:rPr>
            </w:pPr>
            <w:r>
              <w:rPr>
                <w:rFonts w:ascii="Arial" w:hAnsi="Arial" w:cs="Arial"/>
                <w:b/>
              </w:rPr>
              <w:t xml:space="preserve"> X</w:t>
            </w:r>
          </w:p>
        </w:tc>
        <w:tc>
          <w:tcPr>
            <w:tcW w:w="567" w:type="dxa"/>
          </w:tcPr>
          <w:p w14:paraId="4697F38D" w14:textId="61FC9C36" w:rsidR="00255B7B" w:rsidRPr="00302082" w:rsidRDefault="00255B7B" w:rsidP="00302082">
            <w:pPr>
              <w:spacing w:after="120"/>
              <w:rPr>
                <w:rFonts w:ascii="Arial" w:hAnsi="Arial" w:cs="Arial"/>
                <w:b/>
              </w:rPr>
            </w:pPr>
            <w:r>
              <w:rPr>
                <w:rFonts w:ascii="Arial" w:hAnsi="Arial" w:cs="Arial"/>
                <w:b/>
              </w:rPr>
              <w:t>X</w:t>
            </w:r>
          </w:p>
        </w:tc>
        <w:tc>
          <w:tcPr>
            <w:tcW w:w="567" w:type="dxa"/>
          </w:tcPr>
          <w:p w14:paraId="5CB8B820" w14:textId="685BC085" w:rsidR="00255B7B" w:rsidRPr="00302082" w:rsidRDefault="00255B7B" w:rsidP="00302082">
            <w:pPr>
              <w:spacing w:after="120"/>
              <w:rPr>
                <w:rFonts w:ascii="Arial" w:hAnsi="Arial" w:cs="Arial"/>
                <w:b/>
              </w:rPr>
            </w:pPr>
            <w:r>
              <w:rPr>
                <w:rFonts w:ascii="Arial" w:hAnsi="Arial" w:cs="Arial"/>
                <w:b/>
              </w:rPr>
              <w:t xml:space="preserve"> X</w:t>
            </w:r>
          </w:p>
        </w:tc>
        <w:tc>
          <w:tcPr>
            <w:tcW w:w="567" w:type="dxa"/>
          </w:tcPr>
          <w:p w14:paraId="357C78AB" w14:textId="3B111E2A" w:rsidR="00255B7B" w:rsidRPr="00302082" w:rsidRDefault="00255B7B" w:rsidP="00302082">
            <w:pPr>
              <w:spacing w:after="120"/>
              <w:rPr>
                <w:rFonts w:ascii="Arial" w:hAnsi="Arial" w:cs="Arial"/>
                <w:b/>
              </w:rPr>
            </w:pPr>
            <w:r>
              <w:rPr>
                <w:rFonts w:ascii="Arial" w:hAnsi="Arial" w:cs="Arial"/>
                <w:b/>
              </w:rPr>
              <w:t xml:space="preserve"> X</w:t>
            </w:r>
          </w:p>
        </w:tc>
        <w:tc>
          <w:tcPr>
            <w:tcW w:w="591" w:type="dxa"/>
          </w:tcPr>
          <w:p w14:paraId="2BEC6DD3" w14:textId="5B61EE04" w:rsidR="00255B7B" w:rsidRDefault="00255B7B" w:rsidP="00302082">
            <w:pPr>
              <w:spacing w:after="120"/>
              <w:rPr>
                <w:rFonts w:ascii="Arial" w:hAnsi="Arial" w:cs="Arial"/>
                <w:b/>
              </w:rPr>
            </w:pPr>
            <w:r>
              <w:rPr>
                <w:rFonts w:ascii="Arial" w:hAnsi="Arial" w:cs="Arial"/>
                <w:b/>
              </w:rPr>
              <w:t xml:space="preserve"> X</w:t>
            </w:r>
          </w:p>
        </w:tc>
        <w:tc>
          <w:tcPr>
            <w:tcW w:w="591" w:type="dxa"/>
          </w:tcPr>
          <w:p w14:paraId="443A9180" w14:textId="1EA7F19A" w:rsidR="00255B7B" w:rsidRDefault="00255B7B" w:rsidP="00302082">
            <w:pPr>
              <w:spacing w:after="120"/>
              <w:rPr>
                <w:rFonts w:ascii="Arial" w:hAnsi="Arial" w:cs="Arial"/>
                <w:b/>
              </w:rPr>
            </w:pPr>
            <w:r>
              <w:rPr>
                <w:rFonts w:ascii="Arial" w:hAnsi="Arial" w:cs="Arial"/>
                <w:b/>
              </w:rPr>
              <w:t xml:space="preserve"> X</w:t>
            </w:r>
          </w:p>
        </w:tc>
      </w:tr>
      <w:tr w:rsidR="00255B7B" w:rsidRPr="00302082" w14:paraId="295F3508" w14:textId="77777777" w:rsidTr="00747C5F">
        <w:tc>
          <w:tcPr>
            <w:tcW w:w="1730" w:type="dxa"/>
          </w:tcPr>
          <w:p w14:paraId="06FFEB6B" w14:textId="00E85528" w:rsidR="00255B7B" w:rsidRPr="00302082" w:rsidRDefault="00255B7B" w:rsidP="00302082">
            <w:pPr>
              <w:spacing w:after="120"/>
              <w:rPr>
                <w:rFonts w:ascii="Arial" w:hAnsi="Arial" w:cs="Arial"/>
                <w:i/>
              </w:rPr>
            </w:pPr>
            <w:r>
              <w:rPr>
                <w:rFonts w:ascii="Arial" w:hAnsi="Arial" w:cs="Arial"/>
                <w:i/>
              </w:rPr>
              <w:t>Lectures</w:t>
            </w:r>
          </w:p>
        </w:tc>
        <w:tc>
          <w:tcPr>
            <w:tcW w:w="567" w:type="dxa"/>
          </w:tcPr>
          <w:p w14:paraId="7E39E77B" w14:textId="1CBA999E" w:rsidR="00255B7B" w:rsidRPr="00302082" w:rsidRDefault="00255B7B" w:rsidP="00302082">
            <w:pPr>
              <w:spacing w:after="120"/>
              <w:rPr>
                <w:rFonts w:ascii="Arial" w:hAnsi="Arial" w:cs="Arial"/>
                <w:b/>
              </w:rPr>
            </w:pPr>
            <w:r>
              <w:rPr>
                <w:rFonts w:ascii="Arial" w:hAnsi="Arial" w:cs="Arial"/>
                <w:b/>
              </w:rPr>
              <w:t xml:space="preserve"> X</w:t>
            </w:r>
          </w:p>
        </w:tc>
        <w:tc>
          <w:tcPr>
            <w:tcW w:w="567" w:type="dxa"/>
          </w:tcPr>
          <w:p w14:paraId="0E725DA3" w14:textId="39764750" w:rsidR="00255B7B" w:rsidRPr="00302082" w:rsidRDefault="00255B7B" w:rsidP="004C4FFC">
            <w:pPr>
              <w:spacing w:after="120"/>
              <w:rPr>
                <w:rFonts w:ascii="Arial" w:hAnsi="Arial" w:cs="Arial"/>
                <w:b/>
              </w:rPr>
            </w:pPr>
            <w:r>
              <w:rPr>
                <w:rFonts w:ascii="Arial" w:hAnsi="Arial" w:cs="Arial"/>
                <w:b/>
              </w:rPr>
              <w:t xml:space="preserve"> X</w:t>
            </w:r>
          </w:p>
        </w:tc>
        <w:tc>
          <w:tcPr>
            <w:tcW w:w="567" w:type="dxa"/>
          </w:tcPr>
          <w:p w14:paraId="547EE4BF" w14:textId="7D7163BD" w:rsidR="00255B7B" w:rsidRPr="00302082" w:rsidRDefault="00255B7B" w:rsidP="00302082">
            <w:pPr>
              <w:spacing w:after="120"/>
              <w:rPr>
                <w:rFonts w:ascii="Arial" w:hAnsi="Arial" w:cs="Arial"/>
                <w:b/>
              </w:rPr>
            </w:pPr>
            <w:r>
              <w:rPr>
                <w:rFonts w:ascii="Arial" w:hAnsi="Arial" w:cs="Arial"/>
                <w:b/>
              </w:rPr>
              <w:t xml:space="preserve"> X</w:t>
            </w:r>
          </w:p>
        </w:tc>
        <w:tc>
          <w:tcPr>
            <w:tcW w:w="567" w:type="dxa"/>
          </w:tcPr>
          <w:p w14:paraId="1D1FC8DA" w14:textId="24918DCF" w:rsidR="00255B7B" w:rsidRPr="00302082" w:rsidRDefault="00255B7B" w:rsidP="00451B7A">
            <w:pPr>
              <w:spacing w:after="120"/>
              <w:rPr>
                <w:rFonts w:ascii="Arial" w:hAnsi="Arial" w:cs="Arial"/>
                <w:b/>
              </w:rPr>
            </w:pPr>
            <w:r>
              <w:rPr>
                <w:rFonts w:ascii="Arial" w:hAnsi="Arial" w:cs="Arial"/>
                <w:b/>
              </w:rPr>
              <w:t xml:space="preserve"> X</w:t>
            </w:r>
          </w:p>
        </w:tc>
        <w:tc>
          <w:tcPr>
            <w:tcW w:w="567" w:type="dxa"/>
          </w:tcPr>
          <w:p w14:paraId="67690A0A" w14:textId="63D04AB3" w:rsidR="00255B7B" w:rsidRPr="00302082" w:rsidRDefault="00255B7B" w:rsidP="0019739E">
            <w:pPr>
              <w:spacing w:after="120"/>
              <w:rPr>
                <w:rFonts w:ascii="Arial" w:hAnsi="Arial" w:cs="Arial"/>
                <w:b/>
              </w:rPr>
            </w:pPr>
            <w:r>
              <w:rPr>
                <w:rFonts w:ascii="Arial" w:hAnsi="Arial" w:cs="Arial"/>
                <w:b/>
              </w:rPr>
              <w:t xml:space="preserve"> </w:t>
            </w:r>
          </w:p>
        </w:tc>
        <w:tc>
          <w:tcPr>
            <w:tcW w:w="591" w:type="dxa"/>
          </w:tcPr>
          <w:p w14:paraId="6C88CA9A" w14:textId="2C595253" w:rsidR="00255B7B" w:rsidRPr="00302082" w:rsidRDefault="00255B7B" w:rsidP="00302082">
            <w:pPr>
              <w:spacing w:after="120"/>
              <w:rPr>
                <w:rFonts w:ascii="Arial" w:hAnsi="Arial" w:cs="Arial"/>
                <w:b/>
              </w:rPr>
            </w:pPr>
            <w:r>
              <w:rPr>
                <w:rFonts w:ascii="Arial" w:hAnsi="Arial" w:cs="Arial"/>
                <w:b/>
              </w:rPr>
              <w:t xml:space="preserve"> X</w:t>
            </w:r>
          </w:p>
        </w:tc>
        <w:tc>
          <w:tcPr>
            <w:tcW w:w="591" w:type="dxa"/>
          </w:tcPr>
          <w:p w14:paraId="352F19B1" w14:textId="283DF911" w:rsidR="00255B7B" w:rsidRPr="00302082" w:rsidRDefault="00255B7B" w:rsidP="00302082">
            <w:pPr>
              <w:spacing w:after="120"/>
              <w:rPr>
                <w:rFonts w:ascii="Arial" w:hAnsi="Arial" w:cs="Arial"/>
                <w:b/>
              </w:rPr>
            </w:pPr>
          </w:p>
        </w:tc>
      </w:tr>
      <w:tr w:rsidR="00255B7B" w:rsidRPr="00302082" w14:paraId="25C0FC86" w14:textId="77777777" w:rsidTr="00747C5F">
        <w:tc>
          <w:tcPr>
            <w:tcW w:w="1730" w:type="dxa"/>
          </w:tcPr>
          <w:p w14:paraId="448235FE" w14:textId="6C17873E" w:rsidR="00255B7B" w:rsidRPr="00302082" w:rsidRDefault="00255B7B" w:rsidP="00302082">
            <w:pPr>
              <w:spacing w:after="120"/>
              <w:rPr>
                <w:rFonts w:ascii="Arial" w:hAnsi="Arial" w:cs="Arial"/>
                <w:i/>
              </w:rPr>
            </w:pPr>
            <w:r>
              <w:rPr>
                <w:rFonts w:ascii="Arial" w:hAnsi="Arial" w:cs="Arial"/>
                <w:i/>
              </w:rPr>
              <w:t>Seminars</w:t>
            </w:r>
          </w:p>
        </w:tc>
        <w:tc>
          <w:tcPr>
            <w:tcW w:w="567" w:type="dxa"/>
          </w:tcPr>
          <w:p w14:paraId="02D97B81" w14:textId="3620863F" w:rsidR="00255B7B" w:rsidRPr="00302082" w:rsidRDefault="00255B7B" w:rsidP="004C4FFC">
            <w:pPr>
              <w:spacing w:after="120"/>
              <w:rPr>
                <w:rFonts w:ascii="Arial" w:hAnsi="Arial" w:cs="Arial"/>
                <w:b/>
              </w:rPr>
            </w:pPr>
            <w:r>
              <w:rPr>
                <w:rFonts w:ascii="Arial" w:hAnsi="Arial" w:cs="Arial"/>
                <w:b/>
              </w:rPr>
              <w:t xml:space="preserve"> X</w:t>
            </w:r>
          </w:p>
        </w:tc>
        <w:tc>
          <w:tcPr>
            <w:tcW w:w="567" w:type="dxa"/>
          </w:tcPr>
          <w:p w14:paraId="6C63A80D" w14:textId="41460452" w:rsidR="00255B7B" w:rsidRPr="00302082" w:rsidRDefault="00255B7B" w:rsidP="0019739E">
            <w:pPr>
              <w:spacing w:after="120"/>
              <w:rPr>
                <w:rFonts w:ascii="Arial" w:hAnsi="Arial" w:cs="Arial"/>
                <w:b/>
              </w:rPr>
            </w:pPr>
            <w:r>
              <w:rPr>
                <w:rFonts w:ascii="Arial" w:hAnsi="Arial" w:cs="Arial"/>
                <w:b/>
              </w:rPr>
              <w:t xml:space="preserve"> </w:t>
            </w:r>
          </w:p>
        </w:tc>
        <w:tc>
          <w:tcPr>
            <w:tcW w:w="567" w:type="dxa"/>
          </w:tcPr>
          <w:p w14:paraId="4632F0A9" w14:textId="2ED2AD84" w:rsidR="00255B7B" w:rsidRPr="00302082" w:rsidRDefault="00255B7B" w:rsidP="00302082">
            <w:pPr>
              <w:spacing w:after="120"/>
              <w:rPr>
                <w:rFonts w:ascii="Arial" w:hAnsi="Arial" w:cs="Arial"/>
                <w:b/>
              </w:rPr>
            </w:pPr>
            <w:r>
              <w:rPr>
                <w:rFonts w:ascii="Arial" w:hAnsi="Arial" w:cs="Arial"/>
                <w:b/>
              </w:rPr>
              <w:t xml:space="preserve"> X</w:t>
            </w:r>
          </w:p>
        </w:tc>
        <w:tc>
          <w:tcPr>
            <w:tcW w:w="567" w:type="dxa"/>
          </w:tcPr>
          <w:p w14:paraId="6AC5C229" w14:textId="3BAC80A7" w:rsidR="00255B7B" w:rsidRPr="00302082" w:rsidRDefault="00255B7B" w:rsidP="0019739E">
            <w:pPr>
              <w:spacing w:after="120"/>
              <w:rPr>
                <w:rFonts w:ascii="Arial" w:hAnsi="Arial" w:cs="Arial"/>
                <w:b/>
              </w:rPr>
            </w:pPr>
            <w:r>
              <w:rPr>
                <w:rFonts w:ascii="Arial" w:hAnsi="Arial" w:cs="Arial"/>
                <w:b/>
              </w:rPr>
              <w:t xml:space="preserve"> </w:t>
            </w:r>
          </w:p>
        </w:tc>
        <w:tc>
          <w:tcPr>
            <w:tcW w:w="567" w:type="dxa"/>
          </w:tcPr>
          <w:p w14:paraId="3FB67DC1" w14:textId="30E4970F" w:rsidR="00255B7B" w:rsidRPr="00302082" w:rsidRDefault="00255B7B" w:rsidP="00302082">
            <w:pPr>
              <w:spacing w:after="120"/>
              <w:rPr>
                <w:rFonts w:ascii="Arial" w:hAnsi="Arial" w:cs="Arial"/>
                <w:b/>
              </w:rPr>
            </w:pPr>
            <w:r>
              <w:rPr>
                <w:rFonts w:ascii="Arial" w:hAnsi="Arial" w:cs="Arial"/>
                <w:b/>
              </w:rPr>
              <w:t xml:space="preserve"> X</w:t>
            </w:r>
          </w:p>
        </w:tc>
        <w:tc>
          <w:tcPr>
            <w:tcW w:w="591" w:type="dxa"/>
          </w:tcPr>
          <w:p w14:paraId="3CB9E109" w14:textId="56F4E52C" w:rsidR="00255B7B" w:rsidRDefault="00255B7B" w:rsidP="00302082">
            <w:pPr>
              <w:spacing w:after="120"/>
              <w:rPr>
                <w:rFonts w:ascii="Arial" w:hAnsi="Arial" w:cs="Arial"/>
                <w:b/>
              </w:rPr>
            </w:pPr>
            <w:r>
              <w:rPr>
                <w:rFonts w:ascii="Arial" w:hAnsi="Arial" w:cs="Arial"/>
                <w:b/>
              </w:rPr>
              <w:t xml:space="preserve"> X</w:t>
            </w:r>
          </w:p>
        </w:tc>
        <w:tc>
          <w:tcPr>
            <w:tcW w:w="591" w:type="dxa"/>
          </w:tcPr>
          <w:p w14:paraId="7E24025A" w14:textId="79B7FE09" w:rsidR="00255B7B" w:rsidRDefault="00255B7B" w:rsidP="0019739E">
            <w:pPr>
              <w:spacing w:after="120"/>
              <w:rPr>
                <w:rFonts w:ascii="Arial" w:hAnsi="Arial" w:cs="Arial"/>
                <w:b/>
              </w:rPr>
            </w:pPr>
            <w:r>
              <w:rPr>
                <w:rFonts w:ascii="Arial" w:hAnsi="Arial" w:cs="Arial"/>
                <w:b/>
              </w:rPr>
              <w:t xml:space="preserve"> </w:t>
            </w:r>
          </w:p>
        </w:tc>
      </w:tr>
      <w:tr w:rsidR="00255B7B" w:rsidRPr="00302082" w14:paraId="1D195A80" w14:textId="77777777" w:rsidTr="00747C5F">
        <w:tc>
          <w:tcPr>
            <w:tcW w:w="1730" w:type="dxa"/>
          </w:tcPr>
          <w:p w14:paraId="77A462C3" w14:textId="3D1D5F2F" w:rsidR="00255B7B" w:rsidRPr="00302082" w:rsidRDefault="00255B7B" w:rsidP="00302082">
            <w:pPr>
              <w:spacing w:after="120"/>
              <w:rPr>
                <w:rFonts w:ascii="Arial" w:hAnsi="Arial" w:cs="Arial"/>
                <w:i/>
              </w:rPr>
            </w:pPr>
            <w:r>
              <w:rPr>
                <w:rFonts w:ascii="Arial" w:hAnsi="Arial" w:cs="Arial"/>
                <w:i/>
              </w:rPr>
              <w:t>Feedback Tutorial</w:t>
            </w:r>
          </w:p>
        </w:tc>
        <w:tc>
          <w:tcPr>
            <w:tcW w:w="567" w:type="dxa"/>
          </w:tcPr>
          <w:p w14:paraId="2976D109" w14:textId="08AA5EE8" w:rsidR="00255B7B" w:rsidRPr="00302082" w:rsidRDefault="00255B7B" w:rsidP="00302082">
            <w:pPr>
              <w:spacing w:after="120"/>
              <w:rPr>
                <w:rFonts w:ascii="Arial" w:hAnsi="Arial" w:cs="Arial"/>
                <w:b/>
              </w:rPr>
            </w:pPr>
            <w:r>
              <w:rPr>
                <w:rFonts w:ascii="Arial" w:hAnsi="Arial" w:cs="Arial"/>
                <w:b/>
              </w:rPr>
              <w:t>X</w:t>
            </w:r>
          </w:p>
        </w:tc>
        <w:tc>
          <w:tcPr>
            <w:tcW w:w="567" w:type="dxa"/>
          </w:tcPr>
          <w:p w14:paraId="4E3E17DE" w14:textId="63CB167F" w:rsidR="00255B7B" w:rsidRPr="00302082" w:rsidRDefault="00496B31" w:rsidP="00302082">
            <w:pPr>
              <w:spacing w:after="120"/>
              <w:rPr>
                <w:rFonts w:ascii="Arial" w:hAnsi="Arial" w:cs="Arial"/>
                <w:b/>
              </w:rPr>
            </w:pPr>
            <w:r>
              <w:rPr>
                <w:rFonts w:ascii="Arial" w:hAnsi="Arial" w:cs="Arial"/>
                <w:b/>
              </w:rPr>
              <w:t>X</w:t>
            </w:r>
          </w:p>
        </w:tc>
        <w:tc>
          <w:tcPr>
            <w:tcW w:w="567" w:type="dxa"/>
          </w:tcPr>
          <w:p w14:paraId="3F267212" w14:textId="77777777" w:rsidR="00255B7B" w:rsidRPr="00302082" w:rsidRDefault="00255B7B" w:rsidP="00302082">
            <w:pPr>
              <w:spacing w:after="120"/>
              <w:rPr>
                <w:rFonts w:ascii="Arial" w:hAnsi="Arial" w:cs="Arial"/>
                <w:b/>
              </w:rPr>
            </w:pPr>
          </w:p>
        </w:tc>
        <w:tc>
          <w:tcPr>
            <w:tcW w:w="567" w:type="dxa"/>
          </w:tcPr>
          <w:p w14:paraId="3F8B7F38" w14:textId="77777777" w:rsidR="00255B7B" w:rsidRPr="00302082" w:rsidRDefault="00255B7B" w:rsidP="00302082">
            <w:pPr>
              <w:spacing w:after="120"/>
              <w:rPr>
                <w:rFonts w:ascii="Arial" w:hAnsi="Arial" w:cs="Arial"/>
                <w:b/>
              </w:rPr>
            </w:pPr>
          </w:p>
        </w:tc>
        <w:tc>
          <w:tcPr>
            <w:tcW w:w="567" w:type="dxa"/>
          </w:tcPr>
          <w:p w14:paraId="659C59FD" w14:textId="012AE886" w:rsidR="00255B7B" w:rsidRPr="00302082" w:rsidRDefault="00496B31" w:rsidP="00302082">
            <w:pPr>
              <w:spacing w:after="120"/>
              <w:rPr>
                <w:rFonts w:ascii="Arial" w:hAnsi="Arial" w:cs="Arial"/>
                <w:b/>
              </w:rPr>
            </w:pPr>
            <w:r>
              <w:rPr>
                <w:rFonts w:ascii="Arial" w:hAnsi="Arial" w:cs="Arial"/>
                <w:b/>
              </w:rPr>
              <w:t>X</w:t>
            </w:r>
          </w:p>
        </w:tc>
        <w:tc>
          <w:tcPr>
            <w:tcW w:w="591" w:type="dxa"/>
          </w:tcPr>
          <w:p w14:paraId="515BE50B" w14:textId="77777777" w:rsidR="00255B7B" w:rsidRPr="00302082" w:rsidRDefault="00255B7B" w:rsidP="00302082">
            <w:pPr>
              <w:spacing w:after="120"/>
              <w:rPr>
                <w:rFonts w:ascii="Arial" w:hAnsi="Arial" w:cs="Arial"/>
                <w:b/>
              </w:rPr>
            </w:pPr>
          </w:p>
        </w:tc>
        <w:tc>
          <w:tcPr>
            <w:tcW w:w="591" w:type="dxa"/>
          </w:tcPr>
          <w:p w14:paraId="7ECAF4BF" w14:textId="41FAE625" w:rsidR="00255B7B" w:rsidRPr="00302082" w:rsidRDefault="00255B7B" w:rsidP="00302082">
            <w:pPr>
              <w:spacing w:after="120"/>
              <w:rPr>
                <w:rFonts w:ascii="Arial" w:hAnsi="Arial" w:cs="Arial"/>
                <w:b/>
              </w:rPr>
            </w:pPr>
          </w:p>
        </w:tc>
      </w:tr>
      <w:tr w:rsidR="00255B7B" w:rsidRPr="00302082" w14:paraId="3A051B5C" w14:textId="77777777" w:rsidTr="00747C5F">
        <w:tc>
          <w:tcPr>
            <w:tcW w:w="1730" w:type="dxa"/>
            <w:shd w:val="clear" w:color="auto" w:fill="D9D9D9" w:themeFill="background1" w:themeFillShade="D9"/>
          </w:tcPr>
          <w:p w14:paraId="70B1A701" w14:textId="77777777" w:rsidR="00255B7B" w:rsidRPr="00302082" w:rsidRDefault="00255B7B" w:rsidP="00302082">
            <w:pPr>
              <w:spacing w:after="120"/>
              <w:rPr>
                <w:rFonts w:ascii="Arial" w:hAnsi="Arial" w:cs="Arial"/>
                <w:b/>
              </w:rPr>
            </w:pPr>
            <w:r w:rsidRPr="00302082">
              <w:rPr>
                <w:rFonts w:ascii="Arial" w:hAnsi="Arial" w:cs="Arial"/>
                <w:b/>
              </w:rPr>
              <w:t>Assessment method</w:t>
            </w:r>
          </w:p>
        </w:tc>
        <w:tc>
          <w:tcPr>
            <w:tcW w:w="567" w:type="dxa"/>
          </w:tcPr>
          <w:p w14:paraId="1EE45E65" w14:textId="77777777" w:rsidR="00255B7B" w:rsidRPr="00302082" w:rsidRDefault="00255B7B" w:rsidP="00302082">
            <w:pPr>
              <w:spacing w:after="120"/>
              <w:rPr>
                <w:rFonts w:ascii="Arial" w:hAnsi="Arial" w:cs="Arial"/>
                <w:b/>
              </w:rPr>
            </w:pPr>
          </w:p>
        </w:tc>
        <w:tc>
          <w:tcPr>
            <w:tcW w:w="567" w:type="dxa"/>
          </w:tcPr>
          <w:p w14:paraId="3A0602FC" w14:textId="77777777" w:rsidR="00255B7B" w:rsidRPr="00302082" w:rsidRDefault="00255B7B" w:rsidP="00302082">
            <w:pPr>
              <w:spacing w:after="120"/>
              <w:rPr>
                <w:rFonts w:ascii="Arial" w:hAnsi="Arial" w:cs="Arial"/>
                <w:b/>
              </w:rPr>
            </w:pPr>
          </w:p>
        </w:tc>
        <w:tc>
          <w:tcPr>
            <w:tcW w:w="567" w:type="dxa"/>
          </w:tcPr>
          <w:p w14:paraId="13AD6387" w14:textId="77777777" w:rsidR="00255B7B" w:rsidRPr="00302082" w:rsidRDefault="00255B7B" w:rsidP="00302082">
            <w:pPr>
              <w:spacing w:after="120"/>
              <w:rPr>
                <w:rFonts w:ascii="Arial" w:hAnsi="Arial" w:cs="Arial"/>
                <w:b/>
              </w:rPr>
            </w:pPr>
          </w:p>
        </w:tc>
        <w:tc>
          <w:tcPr>
            <w:tcW w:w="567" w:type="dxa"/>
          </w:tcPr>
          <w:p w14:paraId="06ACA52D" w14:textId="77777777" w:rsidR="00255B7B" w:rsidRPr="00302082" w:rsidRDefault="00255B7B" w:rsidP="00302082">
            <w:pPr>
              <w:spacing w:after="120"/>
              <w:rPr>
                <w:rFonts w:ascii="Arial" w:hAnsi="Arial" w:cs="Arial"/>
                <w:b/>
              </w:rPr>
            </w:pPr>
          </w:p>
        </w:tc>
        <w:tc>
          <w:tcPr>
            <w:tcW w:w="567" w:type="dxa"/>
          </w:tcPr>
          <w:p w14:paraId="28495065" w14:textId="77777777" w:rsidR="00255B7B" w:rsidRPr="00302082" w:rsidRDefault="00255B7B" w:rsidP="00302082">
            <w:pPr>
              <w:spacing w:after="120"/>
              <w:rPr>
                <w:rFonts w:ascii="Arial" w:hAnsi="Arial" w:cs="Arial"/>
                <w:b/>
              </w:rPr>
            </w:pPr>
          </w:p>
        </w:tc>
        <w:tc>
          <w:tcPr>
            <w:tcW w:w="591" w:type="dxa"/>
          </w:tcPr>
          <w:p w14:paraId="2C18212E" w14:textId="77777777" w:rsidR="00255B7B" w:rsidRPr="00302082" w:rsidRDefault="00255B7B" w:rsidP="00302082">
            <w:pPr>
              <w:spacing w:after="120"/>
              <w:rPr>
                <w:rFonts w:ascii="Arial" w:hAnsi="Arial" w:cs="Arial"/>
                <w:b/>
              </w:rPr>
            </w:pPr>
          </w:p>
        </w:tc>
        <w:tc>
          <w:tcPr>
            <w:tcW w:w="591" w:type="dxa"/>
          </w:tcPr>
          <w:p w14:paraId="1850D30C" w14:textId="4D6EBB66" w:rsidR="00255B7B" w:rsidRPr="00302082" w:rsidRDefault="00255B7B" w:rsidP="00302082">
            <w:pPr>
              <w:spacing w:after="120"/>
              <w:rPr>
                <w:rFonts w:ascii="Arial" w:hAnsi="Arial" w:cs="Arial"/>
                <w:b/>
              </w:rPr>
            </w:pPr>
          </w:p>
        </w:tc>
      </w:tr>
      <w:tr w:rsidR="00255B7B" w:rsidRPr="00302082" w14:paraId="391EF25D" w14:textId="77777777" w:rsidTr="00747C5F">
        <w:tc>
          <w:tcPr>
            <w:tcW w:w="1730" w:type="dxa"/>
          </w:tcPr>
          <w:p w14:paraId="4392EB8C" w14:textId="68ED6186" w:rsidR="00255B7B" w:rsidRPr="00302082" w:rsidRDefault="00255B7B" w:rsidP="00451B7A">
            <w:pPr>
              <w:spacing w:after="120"/>
              <w:rPr>
                <w:rFonts w:ascii="Arial" w:hAnsi="Arial" w:cs="Arial"/>
                <w:i/>
              </w:rPr>
            </w:pPr>
            <w:r>
              <w:rPr>
                <w:rFonts w:ascii="Arial" w:hAnsi="Arial" w:cs="Arial"/>
                <w:i/>
              </w:rPr>
              <w:t>1500 word Copyright Report</w:t>
            </w:r>
          </w:p>
        </w:tc>
        <w:tc>
          <w:tcPr>
            <w:tcW w:w="567" w:type="dxa"/>
          </w:tcPr>
          <w:p w14:paraId="5405CB41" w14:textId="1C8DFBA2" w:rsidR="00255B7B" w:rsidRPr="00302082" w:rsidRDefault="00255B7B" w:rsidP="00302082">
            <w:pPr>
              <w:spacing w:after="120"/>
              <w:rPr>
                <w:rFonts w:ascii="Arial" w:hAnsi="Arial" w:cs="Arial"/>
                <w:b/>
              </w:rPr>
            </w:pPr>
            <w:r>
              <w:rPr>
                <w:rFonts w:ascii="Arial" w:hAnsi="Arial" w:cs="Arial"/>
                <w:b/>
              </w:rPr>
              <w:t xml:space="preserve"> X</w:t>
            </w:r>
          </w:p>
        </w:tc>
        <w:tc>
          <w:tcPr>
            <w:tcW w:w="567" w:type="dxa"/>
          </w:tcPr>
          <w:p w14:paraId="7D535E3E" w14:textId="18CAEB2B" w:rsidR="00255B7B" w:rsidRPr="00302082" w:rsidRDefault="00255B7B" w:rsidP="0019739E">
            <w:pPr>
              <w:spacing w:after="120"/>
              <w:rPr>
                <w:rFonts w:ascii="Arial" w:hAnsi="Arial" w:cs="Arial"/>
                <w:b/>
              </w:rPr>
            </w:pPr>
            <w:r>
              <w:rPr>
                <w:rFonts w:ascii="Arial" w:hAnsi="Arial" w:cs="Arial"/>
                <w:b/>
              </w:rPr>
              <w:t xml:space="preserve"> </w:t>
            </w:r>
          </w:p>
        </w:tc>
        <w:tc>
          <w:tcPr>
            <w:tcW w:w="567" w:type="dxa"/>
          </w:tcPr>
          <w:p w14:paraId="0253645E" w14:textId="7BA61C8F" w:rsidR="00255B7B" w:rsidRPr="00302082" w:rsidRDefault="00255B7B" w:rsidP="00302082">
            <w:pPr>
              <w:spacing w:after="120"/>
              <w:rPr>
                <w:rFonts w:ascii="Arial" w:hAnsi="Arial" w:cs="Arial"/>
                <w:b/>
              </w:rPr>
            </w:pPr>
            <w:r>
              <w:rPr>
                <w:rFonts w:ascii="Arial" w:hAnsi="Arial" w:cs="Arial"/>
                <w:b/>
              </w:rPr>
              <w:t xml:space="preserve"> X</w:t>
            </w:r>
          </w:p>
        </w:tc>
        <w:tc>
          <w:tcPr>
            <w:tcW w:w="567" w:type="dxa"/>
          </w:tcPr>
          <w:p w14:paraId="416E755E" w14:textId="08C10AE5" w:rsidR="00255B7B" w:rsidRPr="00302082" w:rsidRDefault="00255B7B" w:rsidP="00302082">
            <w:pPr>
              <w:spacing w:after="120"/>
              <w:rPr>
                <w:rFonts w:ascii="Arial" w:hAnsi="Arial" w:cs="Arial"/>
                <w:b/>
              </w:rPr>
            </w:pPr>
            <w:r>
              <w:rPr>
                <w:rFonts w:ascii="Arial" w:hAnsi="Arial" w:cs="Arial"/>
                <w:b/>
              </w:rPr>
              <w:t xml:space="preserve"> X</w:t>
            </w:r>
          </w:p>
        </w:tc>
        <w:tc>
          <w:tcPr>
            <w:tcW w:w="567" w:type="dxa"/>
          </w:tcPr>
          <w:p w14:paraId="459974E2" w14:textId="48CEB288" w:rsidR="00255B7B" w:rsidRPr="00302082" w:rsidRDefault="00255B7B" w:rsidP="00302082">
            <w:pPr>
              <w:spacing w:after="120"/>
              <w:rPr>
                <w:rFonts w:ascii="Arial" w:hAnsi="Arial" w:cs="Arial"/>
                <w:b/>
              </w:rPr>
            </w:pPr>
            <w:r>
              <w:rPr>
                <w:rFonts w:ascii="Arial" w:hAnsi="Arial" w:cs="Arial"/>
                <w:b/>
              </w:rPr>
              <w:t xml:space="preserve"> X</w:t>
            </w:r>
          </w:p>
        </w:tc>
        <w:tc>
          <w:tcPr>
            <w:tcW w:w="591" w:type="dxa"/>
          </w:tcPr>
          <w:p w14:paraId="6CE80C5E" w14:textId="0C089B09" w:rsidR="00255B7B" w:rsidRDefault="00255B7B" w:rsidP="00302082">
            <w:pPr>
              <w:spacing w:after="120"/>
              <w:rPr>
                <w:rFonts w:ascii="Arial" w:hAnsi="Arial" w:cs="Arial"/>
                <w:b/>
              </w:rPr>
            </w:pPr>
            <w:r>
              <w:rPr>
                <w:rFonts w:ascii="Arial" w:hAnsi="Arial" w:cs="Arial"/>
                <w:b/>
              </w:rPr>
              <w:t xml:space="preserve"> X</w:t>
            </w:r>
          </w:p>
        </w:tc>
        <w:tc>
          <w:tcPr>
            <w:tcW w:w="591" w:type="dxa"/>
          </w:tcPr>
          <w:p w14:paraId="49B52CD1" w14:textId="34BDB57B" w:rsidR="00255B7B" w:rsidRDefault="00255B7B" w:rsidP="00302082">
            <w:pPr>
              <w:spacing w:after="120"/>
              <w:rPr>
                <w:rFonts w:ascii="Arial" w:hAnsi="Arial" w:cs="Arial"/>
                <w:b/>
              </w:rPr>
            </w:pPr>
            <w:r>
              <w:rPr>
                <w:rFonts w:ascii="Arial" w:hAnsi="Arial" w:cs="Arial"/>
                <w:b/>
              </w:rPr>
              <w:t xml:space="preserve"> X</w:t>
            </w:r>
          </w:p>
        </w:tc>
      </w:tr>
      <w:tr w:rsidR="00255B7B" w:rsidRPr="00302082" w14:paraId="3B9D39E3" w14:textId="77777777" w:rsidTr="00747C5F">
        <w:tc>
          <w:tcPr>
            <w:tcW w:w="1730" w:type="dxa"/>
          </w:tcPr>
          <w:p w14:paraId="7344A8FB" w14:textId="4A57A77D" w:rsidR="00255B7B" w:rsidRPr="00302082" w:rsidRDefault="00255B7B" w:rsidP="003511AA">
            <w:pPr>
              <w:spacing w:after="120"/>
              <w:rPr>
                <w:rFonts w:ascii="Arial" w:hAnsi="Arial" w:cs="Arial"/>
                <w:i/>
              </w:rPr>
            </w:pPr>
            <w:r>
              <w:rPr>
                <w:rFonts w:ascii="Arial" w:hAnsi="Arial" w:cs="Arial"/>
              </w:rPr>
              <w:lastRenderedPageBreak/>
              <w:t>Contract and 1000 words analysis 50%</w:t>
            </w:r>
          </w:p>
        </w:tc>
        <w:tc>
          <w:tcPr>
            <w:tcW w:w="567" w:type="dxa"/>
          </w:tcPr>
          <w:p w14:paraId="08B3F907" w14:textId="4299FA72" w:rsidR="00255B7B" w:rsidRPr="00302082" w:rsidRDefault="00255B7B" w:rsidP="00302082">
            <w:pPr>
              <w:spacing w:after="120"/>
              <w:rPr>
                <w:rFonts w:ascii="Arial" w:hAnsi="Arial" w:cs="Arial"/>
                <w:b/>
              </w:rPr>
            </w:pPr>
            <w:r>
              <w:rPr>
                <w:rFonts w:ascii="Arial" w:hAnsi="Arial" w:cs="Arial"/>
                <w:b/>
              </w:rPr>
              <w:t xml:space="preserve"> X</w:t>
            </w:r>
          </w:p>
        </w:tc>
        <w:tc>
          <w:tcPr>
            <w:tcW w:w="567" w:type="dxa"/>
          </w:tcPr>
          <w:p w14:paraId="7B6540EE" w14:textId="2829BEDB" w:rsidR="00255B7B" w:rsidRPr="00302082" w:rsidRDefault="00255B7B" w:rsidP="00302082">
            <w:pPr>
              <w:spacing w:after="120"/>
              <w:rPr>
                <w:rFonts w:ascii="Arial" w:hAnsi="Arial" w:cs="Arial"/>
                <w:b/>
              </w:rPr>
            </w:pPr>
            <w:r>
              <w:rPr>
                <w:rFonts w:ascii="Arial" w:hAnsi="Arial" w:cs="Arial"/>
                <w:b/>
              </w:rPr>
              <w:t xml:space="preserve"> X</w:t>
            </w:r>
          </w:p>
        </w:tc>
        <w:tc>
          <w:tcPr>
            <w:tcW w:w="567" w:type="dxa"/>
          </w:tcPr>
          <w:p w14:paraId="7678DDEC" w14:textId="648BB06C" w:rsidR="00255B7B" w:rsidRPr="00302082" w:rsidRDefault="00255B7B" w:rsidP="00302082">
            <w:pPr>
              <w:spacing w:after="120"/>
              <w:rPr>
                <w:rFonts w:ascii="Arial" w:hAnsi="Arial" w:cs="Arial"/>
                <w:b/>
              </w:rPr>
            </w:pPr>
            <w:r>
              <w:rPr>
                <w:rFonts w:ascii="Arial" w:hAnsi="Arial" w:cs="Arial"/>
                <w:b/>
              </w:rPr>
              <w:t xml:space="preserve"> X</w:t>
            </w:r>
          </w:p>
        </w:tc>
        <w:tc>
          <w:tcPr>
            <w:tcW w:w="567" w:type="dxa"/>
          </w:tcPr>
          <w:p w14:paraId="2479FEDA" w14:textId="43B14FF5" w:rsidR="00255B7B" w:rsidRPr="00302082" w:rsidRDefault="00255B7B" w:rsidP="00302082">
            <w:pPr>
              <w:spacing w:after="120"/>
              <w:rPr>
                <w:rFonts w:ascii="Arial" w:hAnsi="Arial" w:cs="Arial"/>
                <w:b/>
              </w:rPr>
            </w:pPr>
            <w:r>
              <w:rPr>
                <w:rFonts w:ascii="Arial" w:hAnsi="Arial" w:cs="Arial"/>
                <w:b/>
              </w:rPr>
              <w:t xml:space="preserve"> X</w:t>
            </w:r>
          </w:p>
        </w:tc>
        <w:tc>
          <w:tcPr>
            <w:tcW w:w="567" w:type="dxa"/>
          </w:tcPr>
          <w:p w14:paraId="7732C5DC" w14:textId="5607C8AE" w:rsidR="00255B7B" w:rsidRPr="00302082" w:rsidRDefault="00255B7B" w:rsidP="003511AA">
            <w:pPr>
              <w:spacing w:after="120"/>
              <w:rPr>
                <w:rFonts w:ascii="Arial" w:hAnsi="Arial" w:cs="Arial"/>
                <w:b/>
              </w:rPr>
            </w:pPr>
            <w:r>
              <w:rPr>
                <w:rFonts w:ascii="Arial" w:hAnsi="Arial" w:cs="Arial"/>
                <w:b/>
              </w:rPr>
              <w:t xml:space="preserve"> </w:t>
            </w:r>
          </w:p>
        </w:tc>
        <w:tc>
          <w:tcPr>
            <w:tcW w:w="591" w:type="dxa"/>
          </w:tcPr>
          <w:p w14:paraId="3E79ACEE" w14:textId="413057C6" w:rsidR="00255B7B" w:rsidRDefault="00255B7B" w:rsidP="00302082">
            <w:pPr>
              <w:spacing w:after="120"/>
              <w:rPr>
                <w:rFonts w:ascii="Arial" w:hAnsi="Arial" w:cs="Arial"/>
                <w:b/>
              </w:rPr>
            </w:pPr>
            <w:r>
              <w:rPr>
                <w:rFonts w:ascii="Arial" w:hAnsi="Arial" w:cs="Arial"/>
                <w:b/>
              </w:rPr>
              <w:t xml:space="preserve"> X</w:t>
            </w:r>
          </w:p>
        </w:tc>
        <w:tc>
          <w:tcPr>
            <w:tcW w:w="591" w:type="dxa"/>
          </w:tcPr>
          <w:p w14:paraId="7AF7B708" w14:textId="1D2F6671" w:rsidR="00255B7B" w:rsidRDefault="00255B7B" w:rsidP="00302082">
            <w:pPr>
              <w:spacing w:after="120"/>
              <w:rPr>
                <w:rFonts w:ascii="Arial" w:hAnsi="Arial" w:cs="Arial"/>
                <w:b/>
              </w:rPr>
            </w:pPr>
            <w:r>
              <w:rPr>
                <w:rFonts w:ascii="Arial" w:hAnsi="Arial" w:cs="Arial"/>
                <w:b/>
              </w:rPr>
              <w:t xml:space="preserve"> X</w:t>
            </w:r>
          </w:p>
        </w:tc>
      </w:tr>
    </w:tbl>
    <w:p w14:paraId="1C254B6F" w14:textId="77777777" w:rsidR="007A6245" w:rsidRDefault="007A6245" w:rsidP="00302082">
      <w:pPr>
        <w:spacing w:after="120" w:line="240" w:lineRule="auto"/>
        <w:ind w:left="426" w:right="260"/>
        <w:rPr>
          <w:rFonts w:ascii="Arial" w:hAnsi="Arial" w:cs="Arial"/>
          <w:b/>
          <w:iCs/>
        </w:rPr>
      </w:pPr>
    </w:p>
    <w:p w14:paraId="5DCBA8E1" w14:textId="77777777" w:rsidR="00D50113" w:rsidRPr="00D50113" w:rsidRDefault="002A7F48" w:rsidP="00451B7A">
      <w:pPr>
        <w:numPr>
          <w:ilvl w:val="0"/>
          <w:numId w:val="25"/>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91AAB7C" w14:textId="231B8D9D"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392E35">
        <w:rPr>
          <w:rFonts w:ascii="Arial" w:hAnsi="Arial" w:cs="Arial"/>
        </w:rPr>
        <w:t>Centre</w:t>
      </w:r>
      <w:r w:rsidR="00392E35"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319587"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4241F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E8BBF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F7F4DCB" w14:textId="77777777" w:rsidR="00D50113" w:rsidRDefault="00D50113" w:rsidP="00D50113">
      <w:pPr>
        <w:spacing w:after="120" w:line="240" w:lineRule="auto"/>
        <w:ind w:left="426" w:right="260"/>
        <w:rPr>
          <w:rFonts w:ascii="Arial" w:hAnsi="Arial" w:cs="Arial"/>
          <w:iCs/>
        </w:rPr>
      </w:pPr>
    </w:p>
    <w:p w14:paraId="41D82988" w14:textId="77777777" w:rsidR="009A2D37" w:rsidRDefault="002A7F48" w:rsidP="00451B7A">
      <w:pPr>
        <w:numPr>
          <w:ilvl w:val="0"/>
          <w:numId w:val="25"/>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CBE1682" w14:textId="0274501E" w:rsidR="002A7F48" w:rsidRPr="00B82904" w:rsidRDefault="00AB7C44" w:rsidP="002A7F48">
      <w:pPr>
        <w:spacing w:after="120" w:line="240" w:lineRule="auto"/>
        <w:ind w:left="426" w:right="260"/>
        <w:jc w:val="both"/>
        <w:rPr>
          <w:rFonts w:ascii="Arial" w:hAnsi="Arial" w:cs="Arial"/>
          <w:bCs/>
        </w:rPr>
      </w:pPr>
      <w:r w:rsidRPr="006158AF">
        <w:rPr>
          <w:rFonts w:ascii="Arial" w:hAnsi="Arial" w:cs="Arial"/>
        </w:rPr>
        <w:t>Medway, CMAT</w:t>
      </w:r>
    </w:p>
    <w:p w14:paraId="4372335F" w14:textId="77777777" w:rsidR="002A7F48" w:rsidRPr="002A7F48" w:rsidRDefault="002A7F48" w:rsidP="00451B7A">
      <w:pPr>
        <w:numPr>
          <w:ilvl w:val="0"/>
          <w:numId w:val="25"/>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F299B8E" w14:textId="2CE4AEC5" w:rsidR="002A7F48" w:rsidRPr="002A7F48" w:rsidRDefault="003511AA" w:rsidP="004D6A71">
      <w:pPr>
        <w:autoSpaceDE w:val="0"/>
        <w:autoSpaceDN w:val="0"/>
        <w:adjustRightInd w:val="0"/>
        <w:spacing w:after="120" w:line="240" w:lineRule="auto"/>
        <w:ind w:left="425" w:right="261"/>
        <w:jc w:val="both"/>
        <w:rPr>
          <w:rFonts w:ascii="Arial" w:hAnsi="Arial" w:cs="Arial"/>
        </w:rPr>
      </w:pPr>
      <w:r>
        <w:rPr>
          <w:rFonts w:ascii="Arial" w:hAnsi="Arial" w:cs="Arial"/>
        </w:rPr>
        <w:t xml:space="preserve">International copyright law, implementation and contractual variables are investigated within this module. Internationalism within copyright is key to income streams and business disciplines within the music industry </w:t>
      </w:r>
      <w:r w:rsidR="00BB76C7">
        <w:rPr>
          <w:rFonts w:ascii="Arial" w:hAnsi="Arial" w:cs="Arial"/>
        </w:rPr>
        <w:t xml:space="preserve">and students will be able to identify the key factors that affect those income streams and </w:t>
      </w:r>
      <w:r w:rsidR="00CF5432">
        <w:rPr>
          <w:rFonts w:ascii="Arial" w:hAnsi="Arial" w:cs="Arial"/>
        </w:rPr>
        <w:t xml:space="preserve">develop strategies to </w:t>
      </w:r>
      <w:r w:rsidR="004D6A71">
        <w:rPr>
          <w:rFonts w:ascii="Arial" w:hAnsi="Arial" w:cs="Arial"/>
        </w:rPr>
        <w:t>navigate the</w:t>
      </w:r>
      <w:r w:rsidR="00CF5432">
        <w:rPr>
          <w:rFonts w:ascii="Arial" w:hAnsi="Arial" w:cs="Arial"/>
        </w:rPr>
        <w:t xml:space="preserve"> continual changing</w:t>
      </w:r>
      <w:r w:rsidR="004D6A71">
        <w:rPr>
          <w:rFonts w:ascii="Arial" w:hAnsi="Arial" w:cs="Arial"/>
        </w:rPr>
        <w:t xml:space="preserve"> international copyright</w:t>
      </w:r>
      <w:r w:rsidR="00CF5432">
        <w:rPr>
          <w:rFonts w:ascii="Arial" w:hAnsi="Arial" w:cs="Arial"/>
        </w:rPr>
        <w:t xml:space="preserve"> landscape</w:t>
      </w:r>
      <w:r w:rsidR="00BB76C7">
        <w:rPr>
          <w:rFonts w:ascii="Arial" w:hAnsi="Arial" w:cs="Arial"/>
        </w:rPr>
        <w:t>.</w:t>
      </w:r>
    </w:p>
    <w:p w14:paraId="4A415A78" w14:textId="77777777" w:rsidR="009A2D37" w:rsidRDefault="009A2D37" w:rsidP="00D50113">
      <w:pPr>
        <w:spacing w:after="120" w:line="240" w:lineRule="auto"/>
        <w:ind w:left="426" w:right="260"/>
        <w:rPr>
          <w:rFonts w:ascii="Arial" w:hAnsi="Arial" w:cs="Arial"/>
          <w:iCs/>
        </w:rPr>
      </w:pPr>
    </w:p>
    <w:p w14:paraId="6591FEBF" w14:textId="77777777" w:rsidR="00641D6D" w:rsidRPr="00302082" w:rsidRDefault="00641D6D" w:rsidP="002A7F48">
      <w:pPr>
        <w:pBdr>
          <w:bottom w:val="single" w:sz="6" w:space="1" w:color="auto"/>
        </w:pBdr>
        <w:spacing w:after="120" w:line="240" w:lineRule="auto"/>
        <w:ind w:right="261"/>
        <w:rPr>
          <w:rFonts w:ascii="Arial" w:hAnsi="Arial" w:cs="Arial"/>
        </w:rPr>
      </w:pPr>
    </w:p>
    <w:p w14:paraId="2CE6D81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FD3AC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C5D71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628DCA6" w14:textId="77777777" w:rsidTr="00694309">
        <w:trPr>
          <w:trHeight w:val="317"/>
        </w:trPr>
        <w:tc>
          <w:tcPr>
            <w:tcW w:w="1526" w:type="dxa"/>
          </w:tcPr>
          <w:p w14:paraId="17DA4B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7E11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B745AA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9C6083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D3505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8C0DAF" w14:textId="77777777" w:rsidTr="00694309">
        <w:trPr>
          <w:trHeight w:val="305"/>
        </w:trPr>
        <w:tc>
          <w:tcPr>
            <w:tcW w:w="1526" w:type="dxa"/>
          </w:tcPr>
          <w:p w14:paraId="18A5BBBA" w14:textId="77777777" w:rsidR="00422B69" w:rsidRPr="00302082" w:rsidRDefault="00422B69" w:rsidP="00302082">
            <w:pPr>
              <w:spacing w:after="120"/>
              <w:ind w:right="-330"/>
              <w:rPr>
                <w:rFonts w:ascii="Arial" w:hAnsi="Arial" w:cs="Arial"/>
              </w:rPr>
            </w:pPr>
          </w:p>
        </w:tc>
        <w:tc>
          <w:tcPr>
            <w:tcW w:w="1701" w:type="dxa"/>
          </w:tcPr>
          <w:p w14:paraId="291F85F2" w14:textId="77777777" w:rsidR="00422B69" w:rsidRPr="00302082" w:rsidRDefault="00422B69" w:rsidP="00302082">
            <w:pPr>
              <w:spacing w:after="120"/>
              <w:ind w:right="-330"/>
              <w:rPr>
                <w:rFonts w:ascii="Arial" w:hAnsi="Arial" w:cs="Arial"/>
              </w:rPr>
            </w:pPr>
          </w:p>
        </w:tc>
        <w:tc>
          <w:tcPr>
            <w:tcW w:w="2410" w:type="dxa"/>
          </w:tcPr>
          <w:p w14:paraId="3962514F" w14:textId="77777777" w:rsidR="00422B69" w:rsidRPr="00302082" w:rsidRDefault="00422B69" w:rsidP="00302082">
            <w:pPr>
              <w:spacing w:after="120"/>
              <w:ind w:right="-330"/>
              <w:rPr>
                <w:rFonts w:ascii="Arial" w:hAnsi="Arial" w:cs="Arial"/>
              </w:rPr>
            </w:pPr>
          </w:p>
        </w:tc>
        <w:tc>
          <w:tcPr>
            <w:tcW w:w="2448" w:type="dxa"/>
          </w:tcPr>
          <w:p w14:paraId="0BD6069D" w14:textId="77777777" w:rsidR="00422B69" w:rsidRPr="00302082" w:rsidRDefault="00422B69" w:rsidP="00302082">
            <w:pPr>
              <w:spacing w:after="120"/>
              <w:ind w:right="-330"/>
              <w:rPr>
                <w:rFonts w:ascii="Arial" w:hAnsi="Arial" w:cs="Arial"/>
              </w:rPr>
            </w:pPr>
          </w:p>
        </w:tc>
        <w:tc>
          <w:tcPr>
            <w:tcW w:w="2597" w:type="dxa"/>
          </w:tcPr>
          <w:p w14:paraId="2CC87061" w14:textId="77777777" w:rsidR="00422B69" w:rsidRPr="00302082" w:rsidRDefault="00422B69" w:rsidP="00302082">
            <w:pPr>
              <w:spacing w:after="120"/>
              <w:ind w:right="-330"/>
              <w:rPr>
                <w:rFonts w:ascii="Arial" w:hAnsi="Arial" w:cs="Arial"/>
              </w:rPr>
            </w:pPr>
          </w:p>
        </w:tc>
      </w:tr>
      <w:tr w:rsidR="00302082" w:rsidRPr="00302082" w14:paraId="648F1A3A" w14:textId="77777777" w:rsidTr="00694309">
        <w:trPr>
          <w:trHeight w:val="305"/>
        </w:trPr>
        <w:tc>
          <w:tcPr>
            <w:tcW w:w="1526" w:type="dxa"/>
          </w:tcPr>
          <w:p w14:paraId="37F5C140" w14:textId="77777777" w:rsidR="00422B69" w:rsidRPr="00302082" w:rsidRDefault="00422B69" w:rsidP="00302082">
            <w:pPr>
              <w:spacing w:after="120"/>
              <w:ind w:right="-330"/>
              <w:rPr>
                <w:rFonts w:ascii="Arial" w:hAnsi="Arial" w:cs="Arial"/>
              </w:rPr>
            </w:pPr>
          </w:p>
        </w:tc>
        <w:tc>
          <w:tcPr>
            <w:tcW w:w="1701" w:type="dxa"/>
          </w:tcPr>
          <w:p w14:paraId="6A038372" w14:textId="77777777" w:rsidR="00422B69" w:rsidRPr="00302082" w:rsidRDefault="00422B69" w:rsidP="00302082">
            <w:pPr>
              <w:spacing w:after="120"/>
              <w:ind w:right="-330"/>
              <w:rPr>
                <w:rFonts w:ascii="Arial" w:hAnsi="Arial" w:cs="Arial"/>
              </w:rPr>
            </w:pPr>
          </w:p>
        </w:tc>
        <w:tc>
          <w:tcPr>
            <w:tcW w:w="2410" w:type="dxa"/>
          </w:tcPr>
          <w:p w14:paraId="23D6AC65" w14:textId="77777777" w:rsidR="00422B69" w:rsidRPr="00302082" w:rsidRDefault="00422B69" w:rsidP="00302082">
            <w:pPr>
              <w:spacing w:after="120"/>
              <w:ind w:right="-330"/>
              <w:rPr>
                <w:rFonts w:ascii="Arial" w:hAnsi="Arial" w:cs="Arial"/>
              </w:rPr>
            </w:pPr>
          </w:p>
        </w:tc>
        <w:tc>
          <w:tcPr>
            <w:tcW w:w="2448" w:type="dxa"/>
          </w:tcPr>
          <w:p w14:paraId="7DA05B74" w14:textId="77777777" w:rsidR="00422B69" w:rsidRPr="00302082" w:rsidRDefault="00422B69" w:rsidP="00302082">
            <w:pPr>
              <w:spacing w:after="120"/>
              <w:ind w:right="-330"/>
              <w:rPr>
                <w:rFonts w:ascii="Arial" w:hAnsi="Arial" w:cs="Arial"/>
              </w:rPr>
            </w:pPr>
          </w:p>
        </w:tc>
        <w:tc>
          <w:tcPr>
            <w:tcW w:w="2597" w:type="dxa"/>
          </w:tcPr>
          <w:p w14:paraId="0BE17D43" w14:textId="77777777" w:rsidR="00422B69" w:rsidRPr="00302082" w:rsidRDefault="00422B69" w:rsidP="00302082">
            <w:pPr>
              <w:spacing w:after="120"/>
              <w:ind w:right="-330"/>
              <w:rPr>
                <w:rFonts w:ascii="Arial" w:hAnsi="Arial" w:cs="Arial"/>
              </w:rPr>
            </w:pPr>
          </w:p>
        </w:tc>
      </w:tr>
    </w:tbl>
    <w:p w14:paraId="60EE0753" w14:textId="77777777" w:rsidR="00D83563" w:rsidRPr="00302082" w:rsidRDefault="00D83563" w:rsidP="00302082">
      <w:pPr>
        <w:spacing w:after="120" w:line="240" w:lineRule="auto"/>
        <w:ind w:right="-330"/>
        <w:rPr>
          <w:rFonts w:ascii="Arial" w:hAnsi="Arial" w:cs="Arial"/>
        </w:rPr>
      </w:pPr>
    </w:p>
    <w:sectPr w:rsidR="00D83563" w:rsidRPr="00302082" w:rsidSect="00B00873">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824CEC" w16cid:durableId="1E14B028"/>
  <w16cid:commentId w16cid:paraId="59B47F9A" w16cid:durableId="1E14B0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C0C93" w14:textId="77777777" w:rsidR="00137D71" w:rsidRDefault="00137D71" w:rsidP="009A2D37">
      <w:pPr>
        <w:spacing w:after="0" w:line="240" w:lineRule="auto"/>
      </w:pPr>
      <w:r>
        <w:separator/>
      </w:r>
    </w:p>
  </w:endnote>
  <w:endnote w:type="continuationSeparator" w:id="0">
    <w:p w14:paraId="46974F6E" w14:textId="77777777" w:rsidR="00137D71" w:rsidRDefault="00137D71" w:rsidP="009A2D37">
      <w:pPr>
        <w:spacing w:after="0" w:line="240" w:lineRule="auto"/>
      </w:pPr>
      <w:r>
        <w:continuationSeparator/>
      </w:r>
    </w:p>
  </w:endnote>
  <w:endnote w:type="continuationNotice" w:id="1">
    <w:p w14:paraId="608C096C" w14:textId="77777777" w:rsidR="00137D71" w:rsidRDefault="00137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auto"/>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notTrueType/>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B4E723D" w14:textId="77777777" w:rsidR="008B2543" w:rsidRDefault="0019787E" w:rsidP="009A2D37">
        <w:pPr>
          <w:pStyle w:val="Footer"/>
          <w:jc w:val="center"/>
        </w:pPr>
        <w:r>
          <w:fldChar w:fldCharType="begin"/>
        </w:r>
        <w:r>
          <w:instrText xml:space="preserve"> PAGE   \* MERGEFORMAT </w:instrText>
        </w:r>
        <w:r>
          <w:fldChar w:fldCharType="separate"/>
        </w:r>
        <w:r w:rsidR="00B00873">
          <w:rPr>
            <w:noProof/>
          </w:rPr>
          <w:t>3</w:t>
        </w:r>
        <w:r>
          <w:rPr>
            <w:noProof/>
          </w:rPr>
          <w:fldChar w:fldCharType="end"/>
        </w:r>
      </w:p>
    </w:sdtContent>
  </w:sdt>
  <w:p w14:paraId="7B814A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859C2" w14:textId="77777777" w:rsidR="00137D71" w:rsidRDefault="00137D71" w:rsidP="009A2D37">
      <w:pPr>
        <w:spacing w:after="0" w:line="240" w:lineRule="auto"/>
      </w:pPr>
      <w:r>
        <w:separator/>
      </w:r>
    </w:p>
  </w:footnote>
  <w:footnote w:type="continuationSeparator" w:id="0">
    <w:p w14:paraId="3CAA32B0" w14:textId="77777777" w:rsidR="00137D71" w:rsidRDefault="00137D71" w:rsidP="009A2D37">
      <w:pPr>
        <w:spacing w:after="0" w:line="240" w:lineRule="auto"/>
      </w:pPr>
      <w:r>
        <w:continuationSeparator/>
      </w:r>
    </w:p>
  </w:footnote>
  <w:footnote w:type="continuationNotice" w:id="1">
    <w:p w14:paraId="61C1D715" w14:textId="77777777" w:rsidR="00137D71" w:rsidRDefault="00137D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787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BA134" wp14:editId="32F409F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3AC2C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C0C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2F9D9A" wp14:editId="58BDF8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9BCB2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227BA5"/>
    <w:multiLevelType w:val="hybridMultilevel"/>
    <w:tmpl w:val="74DCA2BA"/>
    <w:lvl w:ilvl="0" w:tplc="04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F08BC"/>
    <w:multiLevelType w:val="hybridMultilevel"/>
    <w:tmpl w:val="46EAF3BA"/>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BB8393F"/>
    <w:multiLevelType w:val="hybridMultilevel"/>
    <w:tmpl w:val="E458BA9A"/>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A5AEB74A"/>
    <w:lvl w:ilvl="0" w:tplc="320071D0">
      <w:start w:val="1"/>
      <w:numFmt w:val="decimal"/>
      <w:lvlText w:val="%1."/>
      <w:lvlJc w:val="left"/>
      <w:pPr>
        <w:ind w:left="63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8158D"/>
    <w:multiLevelType w:val="hybridMultilevel"/>
    <w:tmpl w:val="FF8EAEFC"/>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9D32CFE"/>
    <w:multiLevelType w:val="hybridMultilevel"/>
    <w:tmpl w:val="E15C20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C376E7"/>
    <w:multiLevelType w:val="hybridMultilevel"/>
    <w:tmpl w:val="A252CB6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B00FF8"/>
    <w:multiLevelType w:val="hybridMultilevel"/>
    <w:tmpl w:val="68A4E6D2"/>
    <w:lvl w:ilvl="0" w:tplc="0409000F">
      <w:start w:val="1"/>
      <w:numFmt w:val="decimal"/>
      <w:lvlText w:val="%1."/>
      <w:lvlJc w:val="left"/>
      <w:pPr>
        <w:ind w:left="63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44790"/>
    <w:multiLevelType w:val="hybridMultilevel"/>
    <w:tmpl w:val="515A59D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5329A9"/>
    <w:multiLevelType w:val="hybridMultilevel"/>
    <w:tmpl w:val="E15C20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740B80"/>
    <w:multiLevelType w:val="hybridMultilevel"/>
    <w:tmpl w:val="95264790"/>
    <w:lvl w:ilvl="0" w:tplc="DA58FE1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685C0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FA45E0"/>
    <w:multiLevelType w:val="hybridMultilevel"/>
    <w:tmpl w:val="BAE2E50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2E53DA"/>
    <w:multiLevelType w:val="hybridMultilevel"/>
    <w:tmpl w:val="35A8D98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12"/>
  </w:num>
  <w:num w:numId="4">
    <w:abstractNumId w:val="6"/>
  </w:num>
  <w:num w:numId="5">
    <w:abstractNumId w:val="20"/>
  </w:num>
  <w:num w:numId="6">
    <w:abstractNumId w:val="18"/>
  </w:num>
  <w:num w:numId="7">
    <w:abstractNumId w:val="24"/>
  </w:num>
  <w:num w:numId="8">
    <w:abstractNumId w:val="19"/>
  </w:num>
  <w:num w:numId="9">
    <w:abstractNumId w:val="5"/>
  </w:num>
  <w:num w:numId="10">
    <w:abstractNumId w:val="13"/>
  </w:num>
  <w:num w:numId="11">
    <w:abstractNumId w:val="22"/>
  </w:num>
  <w:num w:numId="12">
    <w:abstractNumId w:val="17"/>
  </w:num>
  <w:num w:numId="13">
    <w:abstractNumId w:val="25"/>
  </w:num>
  <w:num w:numId="14">
    <w:abstractNumId w:val="21"/>
  </w:num>
  <w:num w:numId="15">
    <w:abstractNumId w:val="4"/>
  </w:num>
  <w:num w:numId="16">
    <w:abstractNumId w:val="9"/>
  </w:num>
  <w:num w:numId="17">
    <w:abstractNumId w:val="2"/>
  </w:num>
  <w:num w:numId="18">
    <w:abstractNumId w:val="3"/>
  </w:num>
  <w:num w:numId="19">
    <w:abstractNumId w:val="1"/>
  </w:num>
  <w:num w:numId="20">
    <w:abstractNumId w:val="7"/>
  </w:num>
  <w:num w:numId="21">
    <w:abstractNumId w:val="11"/>
  </w:num>
  <w:num w:numId="22">
    <w:abstractNumId w:val="23"/>
  </w:num>
  <w:num w:numId="23">
    <w:abstractNumId w:val="15"/>
  </w:num>
  <w:num w:numId="24">
    <w:abstractNumId w:val="14"/>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3ABD"/>
    <w:rsid w:val="000678D3"/>
    <w:rsid w:val="00090272"/>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D71"/>
    <w:rsid w:val="001402AD"/>
    <w:rsid w:val="001540CE"/>
    <w:rsid w:val="0015717B"/>
    <w:rsid w:val="00157ACA"/>
    <w:rsid w:val="00160427"/>
    <w:rsid w:val="00162D46"/>
    <w:rsid w:val="00172793"/>
    <w:rsid w:val="00175610"/>
    <w:rsid w:val="00180558"/>
    <w:rsid w:val="001811E5"/>
    <w:rsid w:val="001828E7"/>
    <w:rsid w:val="00183B34"/>
    <w:rsid w:val="00185F46"/>
    <w:rsid w:val="00196C6A"/>
    <w:rsid w:val="0019739E"/>
    <w:rsid w:val="0019786F"/>
    <w:rsid w:val="0019787E"/>
    <w:rsid w:val="001A425B"/>
    <w:rsid w:val="001B1B28"/>
    <w:rsid w:val="001B27FB"/>
    <w:rsid w:val="001C1FD8"/>
    <w:rsid w:val="001C3094"/>
    <w:rsid w:val="001C4A85"/>
    <w:rsid w:val="001C5443"/>
    <w:rsid w:val="001D0C7D"/>
    <w:rsid w:val="001D1F2D"/>
    <w:rsid w:val="001D2314"/>
    <w:rsid w:val="001D6398"/>
    <w:rsid w:val="001E1F45"/>
    <w:rsid w:val="001E62C1"/>
    <w:rsid w:val="001E7B4A"/>
    <w:rsid w:val="001F0779"/>
    <w:rsid w:val="001F3C3E"/>
    <w:rsid w:val="00201C5F"/>
    <w:rsid w:val="0020243A"/>
    <w:rsid w:val="0020632E"/>
    <w:rsid w:val="0021578E"/>
    <w:rsid w:val="00227582"/>
    <w:rsid w:val="002308BE"/>
    <w:rsid w:val="002357C3"/>
    <w:rsid w:val="002407C0"/>
    <w:rsid w:val="002461AF"/>
    <w:rsid w:val="002465A1"/>
    <w:rsid w:val="00255B7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80"/>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1AA"/>
    <w:rsid w:val="003524C8"/>
    <w:rsid w:val="00352D8E"/>
    <w:rsid w:val="00356B68"/>
    <w:rsid w:val="0035702D"/>
    <w:rsid w:val="003604D4"/>
    <w:rsid w:val="00360CE2"/>
    <w:rsid w:val="0036174D"/>
    <w:rsid w:val="003627B0"/>
    <w:rsid w:val="00374DF6"/>
    <w:rsid w:val="003759B0"/>
    <w:rsid w:val="00375F84"/>
    <w:rsid w:val="00376E34"/>
    <w:rsid w:val="003804E7"/>
    <w:rsid w:val="00392E35"/>
    <w:rsid w:val="003934D2"/>
    <w:rsid w:val="003973A1"/>
    <w:rsid w:val="003A5DA0"/>
    <w:rsid w:val="003A5EEB"/>
    <w:rsid w:val="003A6143"/>
    <w:rsid w:val="003B35F4"/>
    <w:rsid w:val="003B7C76"/>
    <w:rsid w:val="003C3E0C"/>
    <w:rsid w:val="003C776B"/>
    <w:rsid w:val="003D2D79"/>
    <w:rsid w:val="003D4A1C"/>
    <w:rsid w:val="003D4C49"/>
    <w:rsid w:val="003D7AA0"/>
    <w:rsid w:val="003E1FF7"/>
    <w:rsid w:val="003E311D"/>
    <w:rsid w:val="003F4470"/>
    <w:rsid w:val="003F5A04"/>
    <w:rsid w:val="003F67CD"/>
    <w:rsid w:val="00402ED7"/>
    <w:rsid w:val="004114F8"/>
    <w:rsid w:val="00422B69"/>
    <w:rsid w:val="00423D86"/>
    <w:rsid w:val="00424C90"/>
    <w:rsid w:val="00436BE9"/>
    <w:rsid w:val="00437B24"/>
    <w:rsid w:val="00441195"/>
    <w:rsid w:val="00441E76"/>
    <w:rsid w:val="004443DA"/>
    <w:rsid w:val="00446A75"/>
    <w:rsid w:val="004474A2"/>
    <w:rsid w:val="00450EAA"/>
    <w:rsid w:val="00451B7A"/>
    <w:rsid w:val="00460925"/>
    <w:rsid w:val="00471C6C"/>
    <w:rsid w:val="00472023"/>
    <w:rsid w:val="00485852"/>
    <w:rsid w:val="00486993"/>
    <w:rsid w:val="0049249B"/>
    <w:rsid w:val="00492DA4"/>
    <w:rsid w:val="00496AA3"/>
    <w:rsid w:val="00496B31"/>
    <w:rsid w:val="00497C98"/>
    <w:rsid w:val="004A39D7"/>
    <w:rsid w:val="004A55FA"/>
    <w:rsid w:val="004B5D03"/>
    <w:rsid w:val="004B64CC"/>
    <w:rsid w:val="004C1CB7"/>
    <w:rsid w:val="004C1EC4"/>
    <w:rsid w:val="004C4FFC"/>
    <w:rsid w:val="004D035C"/>
    <w:rsid w:val="004D3DCF"/>
    <w:rsid w:val="004D6A71"/>
    <w:rsid w:val="004D7CD7"/>
    <w:rsid w:val="004E4731"/>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56EEF"/>
    <w:rsid w:val="0056127B"/>
    <w:rsid w:val="00561D26"/>
    <w:rsid w:val="00564738"/>
    <w:rsid w:val="00567EC9"/>
    <w:rsid w:val="00571630"/>
    <w:rsid w:val="00572E92"/>
    <w:rsid w:val="005759F4"/>
    <w:rsid w:val="005779D1"/>
    <w:rsid w:val="0058041A"/>
    <w:rsid w:val="0058743D"/>
    <w:rsid w:val="00587BF7"/>
    <w:rsid w:val="00590F79"/>
    <w:rsid w:val="00592034"/>
    <w:rsid w:val="0059477B"/>
    <w:rsid w:val="00596884"/>
    <w:rsid w:val="005A14B5"/>
    <w:rsid w:val="005B5A98"/>
    <w:rsid w:val="005C1A4F"/>
    <w:rsid w:val="005C27D7"/>
    <w:rsid w:val="005D7CD0"/>
    <w:rsid w:val="005E1A3A"/>
    <w:rsid w:val="005E5152"/>
    <w:rsid w:val="005E6ADC"/>
    <w:rsid w:val="005E6D10"/>
    <w:rsid w:val="005E6D38"/>
    <w:rsid w:val="005E7B3F"/>
    <w:rsid w:val="005F040F"/>
    <w:rsid w:val="005F2C42"/>
    <w:rsid w:val="006043FC"/>
    <w:rsid w:val="006050CF"/>
    <w:rsid w:val="00622CF3"/>
    <w:rsid w:val="006253AA"/>
    <w:rsid w:val="00626023"/>
    <w:rsid w:val="00633150"/>
    <w:rsid w:val="00637A50"/>
    <w:rsid w:val="00641D6D"/>
    <w:rsid w:val="0064364E"/>
    <w:rsid w:val="006438F3"/>
    <w:rsid w:val="0064608E"/>
    <w:rsid w:val="00647907"/>
    <w:rsid w:val="00651A82"/>
    <w:rsid w:val="006525E9"/>
    <w:rsid w:val="0066747B"/>
    <w:rsid w:val="00667878"/>
    <w:rsid w:val="006711ED"/>
    <w:rsid w:val="006725EC"/>
    <w:rsid w:val="00674E1F"/>
    <w:rsid w:val="00674ED0"/>
    <w:rsid w:val="00682650"/>
    <w:rsid w:val="00683609"/>
    <w:rsid w:val="00684851"/>
    <w:rsid w:val="00694309"/>
    <w:rsid w:val="00695285"/>
    <w:rsid w:val="006A6BB4"/>
    <w:rsid w:val="006A7FB0"/>
    <w:rsid w:val="006C2A9A"/>
    <w:rsid w:val="006C423D"/>
    <w:rsid w:val="006C46EF"/>
    <w:rsid w:val="006C4C67"/>
    <w:rsid w:val="006C6EEC"/>
    <w:rsid w:val="006D0F03"/>
    <w:rsid w:val="006D13C0"/>
    <w:rsid w:val="006D41AB"/>
    <w:rsid w:val="006D444F"/>
    <w:rsid w:val="006E089D"/>
    <w:rsid w:val="006E7FD3"/>
    <w:rsid w:val="006F1A15"/>
    <w:rsid w:val="006F3F8B"/>
    <w:rsid w:val="00700488"/>
    <w:rsid w:val="00703404"/>
    <w:rsid w:val="00703F92"/>
    <w:rsid w:val="00704637"/>
    <w:rsid w:val="007105E4"/>
    <w:rsid w:val="00714EE5"/>
    <w:rsid w:val="00720270"/>
    <w:rsid w:val="00724362"/>
    <w:rsid w:val="0072637B"/>
    <w:rsid w:val="00727780"/>
    <w:rsid w:val="0073792C"/>
    <w:rsid w:val="00747C5F"/>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7658"/>
    <w:rsid w:val="008029AF"/>
    <w:rsid w:val="00802FFA"/>
    <w:rsid w:val="008102E5"/>
    <w:rsid w:val="008111B4"/>
    <w:rsid w:val="008133F0"/>
    <w:rsid w:val="00815880"/>
    <w:rsid w:val="00816FFF"/>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4CF5"/>
    <w:rsid w:val="008D7401"/>
    <w:rsid w:val="00903DF6"/>
    <w:rsid w:val="009121B8"/>
    <w:rsid w:val="00921CF6"/>
    <w:rsid w:val="00924EF0"/>
    <w:rsid w:val="00934D7B"/>
    <w:rsid w:val="00947180"/>
    <w:rsid w:val="009567BE"/>
    <w:rsid w:val="009676FA"/>
    <w:rsid w:val="009679E0"/>
    <w:rsid w:val="00977632"/>
    <w:rsid w:val="00982A8E"/>
    <w:rsid w:val="00987DB4"/>
    <w:rsid w:val="00996204"/>
    <w:rsid w:val="00996429"/>
    <w:rsid w:val="009A26CB"/>
    <w:rsid w:val="009A2BC2"/>
    <w:rsid w:val="009A2D37"/>
    <w:rsid w:val="009A7587"/>
    <w:rsid w:val="009B0A69"/>
    <w:rsid w:val="009B10F0"/>
    <w:rsid w:val="009B674A"/>
    <w:rsid w:val="009C2474"/>
    <w:rsid w:val="009C7082"/>
    <w:rsid w:val="009D0006"/>
    <w:rsid w:val="009D068C"/>
    <w:rsid w:val="009E0EF9"/>
    <w:rsid w:val="009E5659"/>
    <w:rsid w:val="009F3A2A"/>
    <w:rsid w:val="009F731F"/>
    <w:rsid w:val="00A021FE"/>
    <w:rsid w:val="00A1270E"/>
    <w:rsid w:val="00A15342"/>
    <w:rsid w:val="00A15C2D"/>
    <w:rsid w:val="00A3007E"/>
    <w:rsid w:val="00A32048"/>
    <w:rsid w:val="00A41F06"/>
    <w:rsid w:val="00A503AE"/>
    <w:rsid w:val="00A50FD4"/>
    <w:rsid w:val="00A52DB4"/>
    <w:rsid w:val="00A56CF4"/>
    <w:rsid w:val="00A618E1"/>
    <w:rsid w:val="00A629B9"/>
    <w:rsid w:val="00A70C20"/>
    <w:rsid w:val="00A74292"/>
    <w:rsid w:val="00A776DE"/>
    <w:rsid w:val="00A80640"/>
    <w:rsid w:val="00A87FFD"/>
    <w:rsid w:val="00A97038"/>
    <w:rsid w:val="00AA3C15"/>
    <w:rsid w:val="00AA6330"/>
    <w:rsid w:val="00AB7C44"/>
    <w:rsid w:val="00AC7022"/>
    <w:rsid w:val="00AC7501"/>
    <w:rsid w:val="00AD31A7"/>
    <w:rsid w:val="00AD748B"/>
    <w:rsid w:val="00AE4865"/>
    <w:rsid w:val="00AF50EE"/>
    <w:rsid w:val="00B00873"/>
    <w:rsid w:val="00B0591D"/>
    <w:rsid w:val="00B13402"/>
    <w:rsid w:val="00B14BC2"/>
    <w:rsid w:val="00B17024"/>
    <w:rsid w:val="00B17CD2"/>
    <w:rsid w:val="00B213D2"/>
    <w:rsid w:val="00B248BA"/>
    <w:rsid w:val="00B24B56"/>
    <w:rsid w:val="00B30E07"/>
    <w:rsid w:val="00B3120E"/>
    <w:rsid w:val="00B34ADD"/>
    <w:rsid w:val="00B52FF5"/>
    <w:rsid w:val="00B5498B"/>
    <w:rsid w:val="00B57219"/>
    <w:rsid w:val="00B61919"/>
    <w:rsid w:val="00B658A3"/>
    <w:rsid w:val="00B6734E"/>
    <w:rsid w:val="00B746A8"/>
    <w:rsid w:val="00B7664D"/>
    <w:rsid w:val="00B80989"/>
    <w:rsid w:val="00B82904"/>
    <w:rsid w:val="00B9109B"/>
    <w:rsid w:val="00B927AE"/>
    <w:rsid w:val="00B93721"/>
    <w:rsid w:val="00B937B1"/>
    <w:rsid w:val="00BA453C"/>
    <w:rsid w:val="00BA4E02"/>
    <w:rsid w:val="00BB2A6D"/>
    <w:rsid w:val="00BB4189"/>
    <w:rsid w:val="00BB551C"/>
    <w:rsid w:val="00BB76C7"/>
    <w:rsid w:val="00BC19F7"/>
    <w:rsid w:val="00BC41ED"/>
    <w:rsid w:val="00BD009E"/>
    <w:rsid w:val="00BD0EF8"/>
    <w:rsid w:val="00BD7A8C"/>
    <w:rsid w:val="00BE2126"/>
    <w:rsid w:val="00BE3B17"/>
    <w:rsid w:val="00BF51AB"/>
    <w:rsid w:val="00BF716B"/>
    <w:rsid w:val="00BF7233"/>
    <w:rsid w:val="00C016EE"/>
    <w:rsid w:val="00C02AA2"/>
    <w:rsid w:val="00C04C95"/>
    <w:rsid w:val="00C12613"/>
    <w:rsid w:val="00C14021"/>
    <w:rsid w:val="00C16DEF"/>
    <w:rsid w:val="00C2492F"/>
    <w:rsid w:val="00C3744A"/>
    <w:rsid w:val="00C4002A"/>
    <w:rsid w:val="00C46912"/>
    <w:rsid w:val="00C56A84"/>
    <w:rsid w:val="00C612A8"/>
    <w:rsid w:val="00C67631"/>
    <w:rsid w:val="00C729D7"/>
    <w:rsid w:val="00C83354"/>
    <w:rsid w:val="00C84004"/>
    <w:rsid w:val="00C843F6"/>
    <w:rsid w:val="00C84507"/>
    <w:rsid w:val="00C862C7"/>
    <w:rsid w:val="00CA3254"/>
    <w:rsid w:val="00CB11CE"/>
    <w:rsid w:val="00CC1602"/>
    <w:rsid w:val="00CC25A2"/>
    <w:rsid w:val="00CD03C2"/>
    <w:rsid w:val="00CD7F07"/>
    <w:rsid w:val="00CE04F3"/>
    <w:rsid w:val="00CE12D8"/>
    <w:rsid w:val="00CE4574"/>
    <w:rsid w:val="00CE70E6"/>
    <w:rsid w:val="00CF2E1E"/>
    <w:rsid w:val="00CF5432"/>
    <w:rsid w:val="00D02E99"/>
    <w:rsid w:val="00D13357"/>
    <w:rsid w:val="00D13A13"/>
    <w:rsid w:val="00D24C24"/>
    <w:rsid w:val="00D2689A"/>
    <w:rsid w:val="00D50113"/>
    <w:rsid w:val="00D51C19"/>
    <w:rsid w:val="00D54F04"/>
    <w:rsid w:val="00D65506"/>
    <w:rsid w:val="00D773CF"/>
    <w:rsid w:val="00D83563"/>
    <w:rsid w:val="00D8448F"/>
    <w:rsid w:val="00D853F1"/>
    <w:rsid w:val="00DA64B6"/>
    <w:rsid w:val="00DB5C9D"/>
    <w:rsid w:val="00DD02E6"/>
    <w:rsid w:val="00DF2449"/>
    <w:rsid w:val="00DF35F0"/>
    <w:rsid w:val="00DF665B"/>
    <w:rsid w:val="00E0152A"/>
    <w:rsid w:val="00E03394"/>
    <w:rsid w:val="00E03C02"/>
    <w:rsid w:val="00E066E5"/>
    <w:rsid w:val="00E22F03"/>
    <w:rsid w:val="00E233C1"/>
    <w:rsid w:val="00E51404"/>
    <w:rsid w:val="00E5233D"/>
    <w:rsid w:val="00E574C9"/>
    <w:rsid w:val="00E610DE"/>
    <w:rsid w:val="00E66167"/>
    <w:rsid w:val="00E661B8"/>
    <w:rsid w:val="00E71F2F"/>
    <w:rsid w:val="00E773FB"/>
    <w:rsid w:val="00E77786"/>
    <w:rsid w:val="00E806FB"/>
    <w:rsid w:val="00EA2822"/>
    <w:rsid w:val="00EB1C2D"/>
    <w:rsid w:val="00EC1810"/>
    <w:rsid w:val="00EC3FCC"/>
    <w:rsid w:val="00ED32FF"/>
    <w:rsid w:val="00EF039B"/>
    <w:rsid w:val="00EF4933"/>
    <w:rsid w:val="00EF5044"/>
    <w:rsid w:val="00EF6F25"/>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42D6"/>
    <w:rsid w:val="00FD689C"/>
    <w:rsid w:val="00FD705C"/>
    <w:rsid w:val="00FD777A"/>
    <w:rsid w:val="00FE260B"/>
    <w:rsid w:val="00FE692E"/>
    <w:rsid w:val="00FF31CA"/>
    <w:rsid w:val="00FF49EE"/>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EB65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extbox">
    <w:name w:val="textbox"/>
    <w:basedOn w:val="Normal"/>
    <w:rsid w:val="0019786F"/>
    <w:pPr>
      <w:spacing w:before="100" w:beforeAutospacing="1" w:after="100" w:afterAutospacing="1" w:line="240" w:lineRule="auto"/>
    </w:pPr>
    <w:rPr>
      <w:rFonts w:ascii="Times New Roman" w:eastAsiaTheme="minorHAnsi" w:hAnsi="Times New Roman" w:cs="Times New Roman"/>
      <w:sz w:val="24"/>
      <w:szCs w:val="24"/>
      <w:lang w:eastAsia="zh-CN"/>
    </w:rPr>
  </w:style>
  <w:style w:type="paragraph" w:styleId="Bibliography">
    <w:name w:val="Bibliography"/>
    <w:basedOn w:val="Normal"/>
    <w:next w:val="Normal"/>
    <w:uiPriority w:val="37"/>
    <w:semiHidden/>
    <w:unhideWhenUsed/>
    <w:rsid w:val="0057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4546">
      <w:bodyDiv w:val="1"/>
      <w:marLeft w:val="0"/>
      <w:marRight w:val="0"/>
      <w:marTop w:val="0"/>
      <w:marBottom w:val="0"/>
      <w:divBdr>
        <w:top w:val="none" w:sz="0" w:space="0" w:color="auto"/>
        <w:left w:val="none" w:sz="0" w:space="0" w:color="auto"/>
        <w:bottom w:val="none" w:sz="0" w:space="0" w:color="auto"/>
        <w:right w:val="none" w:sz="0" w:space="0" w:color="auto"/>
      </w:divBdr>
      <w:divsChild>
        <w:div w:id="2124228210">
          <w:marLeft w:val="0"/>
          <w:marRight w:val="0"/>
          <w:marTop w:val="0"/>
          <w:marBottom w:val="0"/>
          <w:divBdr>
            <w:top w:val="none" w:sz="0" w:space="0" w:color="auto"/>
            <w:left w:val="none" w:sz="0" w:space="0" w:color="auto"/>
            <w:bottom w:val="none" w:sz="0" w:space="0" w:color="auto"/>
            <w:right w:val="none" w:sz="0" w:space="0" w:color="auto"/>
          </w:divBdr>
          <w:divsChild>
            <w:div w:id="13255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B71BE-9E01-4BD7-BCD9-DCC6906396C2}">
  <ds:schemaRefs>
    <ds:schemaRef ds:uri="http://schemas.openxmlformats.org/officeDocument/2006/bibliography"/>
  </ds:schemaRefs>
</ds:datastoreItem>
</file>

<file path=customXml/itemProps2.xml><?xml version="1.0" encoding="utf-8"?>
<ds:datastoreItem xmlns:ds="http://schemas.openxmlformats.org/officeDocument/2006/customXml" ds:itemID="{E0AD6A8F-7B3D-4302-9535-BF33C31B6912}"/>
</file>

<file path=customXml/itemProps3.xml><?xml version="1.0" encoding="utf-8"?>
<ds:datastoreItem xmlns:ds="http://schemas.openxmlformats.org/officeDocument/2006/customXml" ds:itemID="{FA987C57-6F64-4CB7-837B-A7B0C6DF13FE}"/>
</file>

<file path=customXml/itemProps4.xml><?xml version="1.0" encoding="utf-8"?>
<ds:datastoreItem xmlns:ds="http://schemas.openxmlformats.org/officeDocument/2006/customXml" ds:itemID="{FA4B80A9-D8AE-4A60-9B09-EF18B6E40E3D}"/>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2018-03-14T14:06:00Z</dcterms:created>
  <dcterms:modified xsi:type="dcterms:W3CDTF">2018-03-14T14:06:00Z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