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7F64CC" w:rsidP="00154D48">
      <w:pPr>
        <w:spacing w:after="120" w:line="240" w:lineRule="auto"/>
        <w:ind w:left="567" w:right="260"/>
        <w:jc w:val="both"/>
        <w:rPr>
          <w:rFonts w:ascii="Arial" w:hAnsi="Arial" w:cs="Arial"/>
        </w:rPr>
      </w:pPr>
      <w:r w:rsidRPr="007F64CC">
        <w:rPr>
          <w:rFonts w:ascii="Arial" w:hAnsi="Arial" w:cs="Arial"/>
        </w:rPr>
        <w:t>CLAS7130/CLAS7140 (CL713/CL714) – Athenian Powe</w:t>
      </w:r>
      <w:bookmarkStart w:id="0" w:name="_GoBack"/>
      <w:bookmarkEnd w:id="0"/>
      <w:r w:rsidRPr="007F64CC">
        <w:rPr>
          <w:rFonts w:ascii="Arial" w:hAnsi="Arial" w:cs="Arial"/>
        </w:rPr>
        <w:t>r Plays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7F64CC" w:rsidRPr="007F64CC">
        <w:rPr>
          <w:rFonts w:ascii="Arial" w:hAnsi="Arial" w:cs="Arial"/>
        </w:rPr>
        <w:t>5 (CLAS7130) and Level 6 (CLAS7140)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7F64CC" w:rsidP="00154D48">
      <w:pPr>
        <w:spacing w:after="120" w:line="240" w:lineRule="auto"/>
        <w:ind w:left="567" w:right="260"/>
        <w:rPr>
          <w:rFonts w:ascii="Arial" w:hAnsi="Arial" w:cs="Arial"/>
        </w:rPr>
      </w:pPr>
      <w:r w:rsidRPr="007F64CC">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7F64CC" w:rsidP="00154D48">
      <w:pPr>
        <w:spacing w:after="120" w:line="240" w:lineRule="auto"/>
        <w:ind w:left="567" w:right="260"/>
        <w:rPr>
          <w:rFonts w:ascii="Arial" w:hAnsi="Arial" w:cs="Arial"/>
          <w:iCs/>
        </w:rPr>
      </w:pPr>
      <w:r w:rsidRPr="007F64CC">
        <w:rPr>
          <w:rFonts w:ascii="Arial" w:hAnsi="Arial" w:cs="Arial"/>
          <w:iCs/>
        </w:rPr>
        <w:t xml:space="preserve">Autumn or </w:t>
      </w:r>
      <w:proofErr w:type="gramStart"/>
      <w:r w:rsidRPr="007F64C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7F64CC" w:rsidP="00154D48">
      <w:pPr>
        <w:spacing w:after="120" w:line="240" w:lineRule="auto"/>
        <w:ind w:left="567" w:right="260"/>
        <w:rPr>
          <w:rFonts w:ascii="Arial" w:hAnsi="Arial" w:cs="Arial"/>
          <w:iCs/>
        </w:rPr>
      </w:pPr>
      <w:r w:rsidRPr="007F64CC">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7F64CC" w:rsidRPr="007F64CC" w:rsidRDefault="007F64CC" w:rsidP="007F64CC">
      <w:pPr>
        <w:spacing w:after="120" w:line="240" w:lineRule="auto"/>
        <w:ind w:left="567" w:right="260"/>
        <w:jc w:val="both"/>
        <w:rPr>
          <w:rFonts w:ascii="Arial" w:hAnsi="Arial" w:cs="Arial"/>
          <w:iCs/>
        </w:rPr>
      </w:pPr>
      <w:r w:rsidRPr="007F64CC">
        <w:rPr>
          <w:rFonts w:ascii="Arial" w:hAnsi="Arial" w:cs="Arial"/>
          <w:iCs/>
        </w:rPr>
        <w:t>Optional for BA Ancient History; BA Classical Studies; BA Classical &amp; Archaeological Studies (Single and Joint Honours); BA Ancient, Medieval and Modern History</w:t>
      </w:r>
    </w:p>
    <w:p w:rsidR="009A2D37" w:rsidRPr="00154D48" w:rsidRDefault="007F64CC" w:rsidP="007F64CC">
      <w:pPr>
        <w:spacing w:after="120" w:line="240" w:lineRule="auto"/>
        <w:ind w:left="567" w:right="260"/>
        <w:rPr>
          <w:rFonts w:ascii="Arial" w:hAnsi="Arial" w:cs="Arial"/>
          <w:iCs/>
        </w:rPr>
      </w:pPr>
      <w:r w:rsidRPr="007F64CC">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F64CC">
        <w:rPr>
          <w:rFonts w:ascii="Arial" w:hAnsi="Arial" w:cs="Arial"/>
          <w:b/>
        </w:rPr>
        <w:t xml:space="preserve">Level 5 </w:t>
      </w:r>
      <w:r w:rsidR="00C729D7" w:rsidRPr="00302082">
        <w:rPr>
          <w:rFonts w:ascii="Arial" w:hAnsi="Arial" w:cs="Arial"/>
          <w:b/>
        </w:rPr>
        <w:t>students will be able to:</w:t>
      </w:r>
    </w:p>
    <w:p w:rsidR="007F64CC" w:rsidRPr="007F64CC" w:rsidRDefault="00BE773E" w:rsidP="007F64CC">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7F64CC" w:rsidRPr="007F64CC">
        <w:rPr>
          <w:rFonts w:ascii="Arial" w:hAnsi="Arial" w:cs="Arial"/>
        </w:rPr>
        <w:t>Articulate responses to key questions about the nature and value of the dramatic evidence for 5th century Athenian history;</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8.2</w:t>
      </w:r>
      <w:r w:rsidRPr="007F64CC">
        <w:rPr>
          <w:rFonts w:ascii="Arial" w:hAnsi="Arial" w:cs="Arial"/>
        </w:rPr>
        <w:tab/>
        <w:t>Understand the importance and implications of ancient drama within its historical context;</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8.3</w:t>
      </w:r>
      <w:r w:rsidRPr="007F64CC">
        <w:rPr>
          <w:rFonts w:ascii="Arial" w:hAnsi="Arial" w:cs="Arial"/>
        </w:rPr>
        <w:tab/>
        <w:t xml:space="preserve">Comprehend the conceptual nuances (and ambiguities) of key ancient Greek terms used within the dramas studied and prevalent in the political discussions of the time; </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8.4</w:t>
      </w:r>
      <w:r w:rsidRPr="007F64CC">
        <w:rPr>
          <w:rFonts w:ascii="Arial" w:hAnsi="Arial" w:cs="Arial"/>
        </w:rPr>
        <w:tab/>
        <w:t>Demonstrate critical, specific and in-depth analyses of these issues;</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8.5</w:t>
      </w:r>
      <w:r w:rsidRPr="007F64CC">
        <w:rPr>
          <w:rFonts w:ascii="Arial" w:hAnsi="Arial" w:cs="Arial"/>
        </w:rPr>
        <w:tab/>
        <w:t>Engage reflectively with other people’s analyses and interpretations of primary and secondary sources.</w:t>
      </w:r>
    </w:p>
    <w:p w:rsidR="007F64CC" w:rsidRPr="007F64CC" w:rsidRDefault="007F64CC" w:rsidP="007F64CC">
      <w:pPr>
        <w:spacing w:after="120" w:line="240" w:lineRule="auto"/>
        <w:ind w:left="550" w:right="260"/>
        <w:jc w:val="both"/>
        <w:rPr>
          <w:rFonts w:ascii="Arial" w:hAnsi="Arial" w:cs="Arial"/>
          <w:b/>
        </w:rPr>
      </w:pPr>
      <w:r w:rsidRPr="007F64CC">
        <w:rPr>
          <w:rFonts w:ascii="Arial" w:hAnsi="Arial" w:cs="Arial"/>
          <w:b/>
        </w:rPr>
        <w:t>On successfully completing the module Level 6 students will be able to:</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8.6</w:t>
      </w:r>
      <w:r w:rsidRPr="007F64CC">
        <w:rPr>
          <w:rFonts w:ascii="Arial" w:hAnsi="Arial" w:cs="Arial"/>
        </w:rPr>
        <w:tab/>
        <w:t>Articulate detailed and nuanced responses to key questions about the nature and value of the dramatic evidence for 5th century Athenian history;</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8.7</w:t>
      </w:r>
      <w:r w:rsidRPr="007F64CC">
        <w:rPr>
          <w:rFonts w:ascii="Arial" w:hAnsi="Arial" w:cs="Arial"/>
        </w:rPr>
        <w:tab/>
        <w:t>Demonstrate deep understanding of the importance and implications of ancient drama within its historical context;</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8.8</w:t>
      </w:r>
      <w:r w:rsidRPr="007F64CC">
        <w:rPr>
          <w:rFonts w:ascii="Arial" w:hAnsi="Arial" w:cs="Arial"/>
        </w:rPr>
        <w:tab/>
        <w:t xml:space="preserve">Understand the conceptual nuances (and ambiguities) of key ancient Greek terms used within the dramas studied and prevalent in the political discussions of the time; </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8.9</w:t>
      </w:r>
      <w:r w:rsidRPr="007F64CC">
        <w:rPr>
          <w:rFonts w:ascii="Arial" w:hAnsi="Arial" w:cs="Arial"/>
        </w:rPr>
        <w:tab/>
        <w:t>Devise sustained, critical and evaluative arguments related to the interpretation of these issues;</w:t>
      </w:r>
    </w:p>
    <w:p w:rsidR="0026253A" w:rsidRPr="00154D48" w:rsidRDefault="007F64CC" w:rsidP="007F64CC">
      <w:pPr>
        <w:spacing w:after="120" w:line="240" w:lineRule="auto"/>
        <w:ind w:left="1430" w:right="260" w:hanging="550"/>
        <w:jc w:val="both"/>
        <w:rPr>
          <w:rFonts w:ascii="Arial" w:hAnsi="Arial" w:cs="Arial"/>
        </w:rPr>
      </w:pPr>
      <w:r w:rsidRPr="007F64CC">
        <w:rPr>
          <w:rFonts w:ascii="Arial" w:hAnsi="Arial" w:cs="Arial"/>
        </w:rPr>
        <w:t>8.10</w:t>
      </w:r>
      <w:r w:rsidRPr="007F64CC">
        <w:rPr>
          <w:rFonts w:ascii="Arial" w:hAnsi="Arial" w:cs="Arial"/>
        </w:rPr>
        <w:tab/>
        <w:t>Engage reflectively with current research related to primary and secondary sources.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F64CC">
        <w:rPr>
          <w:rFonts w:ascii="Arial" w:hAnsi="Arial" w:cs="Arial"/>
          <w:b/>
        </w:rPr>
        <w:t xml:space="preserve">Level 5 </w:t>
      </w:r>
      <w:r w:rsidR="00C729D7" w:rsidRPr="00302082">
        <w:rPr>
          <w:rFonts w:ascii="Arial" w:hAnsi="Arial" w:cs="Arial"/>
          <w:b/>
        </w:rPr>
        <w:t>students will be able to:</w:t>
      </w:r>
    </w:p>
    <w:p w:rsidR="007F64CC" w:rsidRPr="007F64CC" w:rsidRDefault="0026253A" w:rsidP="007F64CC">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7F64CC" w:rsidRPr="007F64CC">
        <w:rPr>
          <w:rFonts w:ascii="Arial" w:hAnsi="Arial" w:cs="Arial"/>
        </w:rPr>
        <w:t xml:space="preserve">Demonstrate skills in critical analysis and argument, both through their reading and through listening to others; </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9.2</w:t>
      </w:r>
      <w:r w:rsidRPr="007F64CC">
        <w:rPr>
          <w:rFonts w:ascii="Arial" w:hAnsi="Arial" w:cs="Arial"/>
        </w:rPr>
        <w:tab/>
        <w:t xml:space="preserve">Demonstrate their ability to make complex ideas clearly understandable in their writing; </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lastRenderedPageBreak/>
        <w:t>9.3</w:t>
      </w:r>
      <w:r w:rsidRPr="007F64CC">
        <w:rPr>
          <w:rFonts w:ascii="Arial" w:hAnsi="Arial" w:cs="Arial"/>
        </w:rPr>
        <w:tab/>
        <w:t>Work autonomously and to take responsibility for their learning.</w:t>
      </w:r>
    </w:p>
    <w:p w:rsidR="007F64CC" w:rsidRPr="007F64CC" w:rsidRDefault="007F64CC" w:rsidP="007F64CC">
      <w:pPr>
        <w:spacing w:after="120" w:line="240" w:lineRule="auto"/>
        <w:ind w:left="550" w:right="260"/>
        <w:jc w:val="both"/>
        <w:rPr>
          <w:rFonts w:ascii="Arial" w:hAnsi="Arial" w:cs="Arial"/>
          <w:b/>
        </w:rPr>
      </w:pPr>
      <w:r w:rsidRPr="007F64CC">
        <w:rPr>
          <w:rFonts w:ascii="Arial" w:hAnsi="Arial" w:cs="Arial"/>
          <w:b/>
        </w:rPr>
        <w:t>On successfully completing the module Level 6 students will be able to:</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9.4</w:t>
      </w:r>
      <w:r w:rsidRPr="007F64CC">
        <w:rPr>
          <w:rFonts w:ascii="Arial" w:hAnsi="Arial" w:cs="Arial"/>
        </w:rPr>
        <w:tab/>
        <w:t>Demonstrate effective skills in critical analysis and argument, both through their reading and through listening to others;</w:t>
      </w:r>
    </w:p>
    <w:p w:rsidR="007F64CC" w:rsidRPr="007F64CC" w:rsidRDefault="007F64CC" w:rsidP="007F64CC">
      <w:pPr>
        <w:spacing w:after="120" w:line="240" w:lineRule="auto"/>
        <w:ind w:left="1430" w:right="260" w:hanging="550"/>
        <w:jc w:val="both"/>
        <w:rPr>
          <w:rFonts w:ascii="Arial" w:hAnsi="Arial" w:cs="Arial"/>
        </w:rPr>
      </w:pPr>
      <w:r w:rsidRPr="007F64CC">
        <w:rPr>
          <w:rFonts w:ascii="Arial" w:hAnsi="Arial" w:cs="Arial"/>
        </w:rPr>
        <w:t>9.5</w:t>
      </w:r>
      <w:r w:rsidRPr="007F64CC">
        <w:rPr>
          <w:rFonts w:ascii="Arial" w:hAnsi="Arial" w:cs="Arial"/>
        </w:rPr>
        <w:tab/>
        <w:t>Demonstrate their ability to make complex ideas understandable in their writing, and focussed on precision and clarity;</w:t>
      </w:r>
    </w:p>
    <w:p w:rsidR="0026253A" w:rsidRDefault="007F64CC" w:rsidP="007F64CC">
      <w:pPr>
        <w:spacing w:after="120" w:line="240" w:lineRule="auto"/>
        <w:ind w:left="1430" w:right="260" w:hanging="550"/>
        <w:jc w:val="both"/>
      </w:pPr>
      <w:r w:rsidRPr="007F64CC">
        <w:rPr>
          <w:rFonts w:ascii="Arial" w:hAnsi="Arial" w:cs="Arial"/>
        </w:rPr>
        <w:t>9.6</w:t>
      </w:r>
      <w:r w:rsidRPr="007F64CC">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7F64CC" w:rsidP="007F64CC">
      <w:pPr>
        <w:spacing w:after="120" w:line="240" w:lineRule="auto"/>
        <w:ind w:left="567" w:right="260"/>
        <w:jc w:val="both"/>
        <w:rPr>
          <w:rFonts w:ascii="Arial" w:hAnsi="Arial" w:cs="Arial"/>
          <w:iCs/>
        </w:rPr>
      </w:pPr>
      <w:r w:rsidRPr="007F64CC">
        <w:rPr>
          <w:rFonts w:ascii="Arial" w:hAnsi="Arial" w:cs="Arial"/>
          <w:iCs/>
        </w:rPr>
        <w:t xml:space="preserve">This module explores 5th-century Athenian history through the plays that were put on stage during this period of war and political upheaval. Greek tragedies and comedies produced during this tumultuous period (472-405 BC) offer us some of the most enticing, yet challenging, evidence for the state of Athenian politics and attitudes to contemporary events (especially war and empire). In this module, the evidence of key plays will be set against other forms of historical evidence to illuminate the complex relationship between the types of </w:t>
      </w:r>
      <w:r w:rsidR="005815B7" w:rsidRPr="007F64CC">
        <w:rPr>
          <w:rFonts w:ascii="Arial" w:hAnsi="Arial" w:cs="Arial"/>
          <w:iCs/>
        </w:rPr>
        <w:t>evidence that survive</w:t>
      </w:r>
      <w:r w:rsidRPr="007F64CC">
        <w:rPr>
          <w:rFonts w:ascii="Arial" w:hAnsi="Arial" w:cs="Arial"/>
          <w:iCs/>
        </w:rPr>
        <w:t xml:space="preserve"> and the nature of 'making history'.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815B7" w:rsidRDefault="005815B7" w:rsidP="005815B7">
      <w:pPr>
        <w:spacing w:after="120" w:line="240" w:lineRule="auto"/>
        <w:ind w:left="567" w:right="260"/>
        <w:jc w:val="both"/>
        <w:rPr>
          <w:rFonts w:ascii="Arial" w:hAnsi="Arial" w:cs="Arial"/>
        </w:rPr>
      </w:pPr>
      <w:r w:rsidRPr="00677B19">
        <w:rPr>
          <w:rFonts w:ascii="Arial" w:hAnsi="Arial" w:cs="Arial"/>
        </w:rPr>
        <w:t>Collard</w:t>
      </w:r>
      <w:r>
        <w:rPr>
          <w:rFonts w:ascii="Arial" w:hAnsi="Arial" w:cs="Arial"/>
        </w:rPr>
        <w:t>, C.</w:t>
      </w:r>
      <w:r w:rsidRPr="00677B19">
        <w:rPr>
          <w:rFonts w:ascii="Arial" w:hAnsi="Arial" w:cs="Arial"/>
        </w:rPr>
        <w:t xml:space="preserve"> (2008), </w:t>
      </w:r>
      <w:r w:rsidRPr="00677B19">
        <w:rPr>
          <w:rFonts w:ascii="Arial" w:hAnsi="Arial" w:cs="Arial"/>
          <w:i/>
        </w:rPr>
        <w:t>Aeschylus Oresteia</w:t>
      </w:r>
      <w:r w:rsidRPr="00677B19">
        <w:rPr>
          <w:rFonts w:ascii="Arial" w:hAnsi="Arial" w:cs="Arial"/>
        </w:rPr>
        <w:t>. Oxford: Oxford University Press.</w:t>
      </w:r>
    </w:p>
    <w:p w:rsidR="005815B7" w:rsidRDefault="005815B7" w:rsidP="005815B7">
      <w:pPr>
        <w:spacing w:after="120" w:line="240" w:lineRule="auto"/>
        <w:ind w:left="567" w:right="260"/>
        <w:jc w:val="both"/>
        <w:rPr>
          <w:rFonts w:ascii="Arial" w:hAnsi="Arial" w:cs="Arial"/>
        </w:rPr>
      </w:pPr>
      <w:r w:rsidRPr="00677B19">
        <w:rPr>
          <w:rFonts w:ascii="Arial" w:hAnsi="Arial" w:cs="Arial"/>
        </w:rPr>
        <w:t>Davie</w:t>
      </w:r>
      <w:r>
        <w:rPr>
          <w:rFonts w:ascii="Arial" w:hAnsi="Arial" w:cs="Arial"/>
        </w:rPr>
        <w:t>, J.</w:t>
      </w:r>
      <w:r w:rsidRPr="00677B19">
        <w:rPr>
          <w:rFonts w:ascii="Arial" w:hAnsi="Arial" w:cs="Arial"/>
        </w:rPr>
        <w:t xml:space="preserve"> (1998), </w:t>
      </w:r>
      <w:r w:rsidRPr="00677B19">
        <w:rPr>
          <w:rFonts w:ascii="Arial" w:hAnsi="Arial" w:cs="Arial"/>
          <w:i/>
        </w:rPr>
        <w:t>Euripides Suppliant Women, Trojan Women in Electra and Other Plays</w:t>
      </w:r>
      <w:r w:rsidRPr="00677B19">
        <w:rPr>
          <w:rFonts w:ascii="Arial" w:hAnsi="Arial" w:cs="Arial"/>
        </w:rPr>
        <w:t>. London: Penguin.</w:t>
      </w:r>
    </w:p>
    <w:p w:rsidR="005815B7" w:rsidRDefault="005815B7" w:rsidP="005815B7">
      <w:pPr>
        <w:spacing w:after="120" w:line="240" w:lineRule="auto"/>
        <w:ind w:left="567" w:right="260"/>
        <w:jc w:val="both"/>
        <w:rPr>
          <w:rFonts w:ascii="Arial" w:hAnsi="Arial" w:cs="Arial"/>
        </w:rPr>
      </w:pPr>
      <w:r w:rsidRPr="00677B19">
        <w:rPr>
          <w:rFonts w:ascii="Arial" w:hAnsi="Arial" w:cs="Arial"/>
        </w:rPr>
        <w:t xml:space="preserve">De </w:t>
      </w:r>
      <w:proofErr w:type="spellStart"/>
      <w:r w:rsidRPr="00677B19">
        <w:rPr>
          <w:rFonts w:ascii="Arial" w:hAnsi="Arial" w:cs="Arial"/>
        </w:rPr>
        <w:t>Selincourt</w:t>
      </w:r>
      <w:proofErr w:type="spellEnd"/>
      <w:r>
        <w:rPr>
          <w:rFonts w:ascii="Arial" w:hAnsi="Arial" w:cs="Arial"/>
        </w:rPr>
        <w:t>, A.</w:t>
      </w:r>
      <w:r w:rsidRPr="00677B19">
        <w:rPr>
          <w:rFonts w:ascii="Arial" w:hAnsi="Arial" w:cs="Arial"/>
        </w:rPr>
        <w:t xml:space="preserve"> (2003) </w:t>
      </w:r>
      <w:r w:rsidRPr="00677B19">
        <w:rPr>
          <w:rFonts w:ascii="Arial" w:hAnsi="Arial" w:cs="Arial"/>
          <w:i/>
        </w:rPr>
        <w:t>Herodotus</w:t>
      </w:r>
      <w:r>
        <w:rPr>
          <w:rFonts w:ascii="Arial" w:hAnsi="Arial" w:cs="Arial"/>
          <w:i/>
        </w:rPr>
        <w:t>:</w:t>
      </w:r>
      <w:r w:rsidRPr="00677B19">
        <w:rPr>
          <w:rFonts w:ascii="Arial" w:hAnsi="Arial" w:cs="Arial"/>
          <w:i/>
        </w:rPr>
        <w:t xml:space="preserve"> The Histories</w:t>
      </w:r>
      <w:r w:rsidRPr="00677B19">
        <w:rPr>
          <w:rFonts w:ascii="Arial" w:hAnsi="Arial" w:cs="Arial"/>
        </w:rPr>
        <w:t xml:space="preserve"> (especially Books 6-9) in </w:t>
      </w:r>
      <w:r w:rsidRPr="00677B19">
        <w:rPr>
          <w:rFonts w:ascii="Arial" w:hAnsi="Arial" w:cs="Arial"/>
          <w:i/>
        </w:rPr>
        <w:t>The Histories Revised</w:t>
      </w:r>
      <w:r w:rsidRPr="00677B19">
        <w:rPr>
          <w:rFonts w:ascii="Arial" w:hAnsi="Arial" w:cs="Arial"/>
        </w:rPr>
        <w:t>. London: Penguin.</w:t>
      </w:r>
      <w:r w:rsidRPr="00677B19">
        <w:rPr>
          <w:rFonts w:ascii="Arial" w:hAnsi="Arial" w:cs="Arial"/>
        </w:rPr>
        <w:tab/>
      </w:r>
    </w:p>
    <w:p w:rsidR="005815B7" w:rsidRDefault="005815B7" w:rsidP="005815B7">
      <w:pPr>
        <w:spacing w:after="120" w:line="240" w:lineRule="auto"/>
        <w:ind w:left="567" w:right="260"/>
        <w:jc w:val="both"/>
        <w:rPr>
          <w:rFonts w:ascii="Arial" w:hAnsi="Arial" w:cs="Arial"/>
        </w:rPr>
      </w:pPr>
      <w:proofErr w:type="spellStart"/>
      <w:r w:rsidRPr="00677B19">
        <w:rPr>
          <w:rFonts w:ascii="Arial" w:hAnsi="Arial" w:cs="Arial"/>
        </w:rPr>
        <w:t>Sommerstein</w:t>
      </w:r>
      <w:proofErr w:type="spellEnd"/>
      <w:r>
        <w:rPr>
          <w:rFonts w:ascii="Arial" w:hAnsi="Arial" w:cs="Arial"/>
        </w:rPr>
        <w:t>, A.</w:t>
      </w:r>
      <w:r w:rsidRPr="00677B19">
        <w:rPr>
          <w:rFonts w:ascii="Arial" w:hAnsi="Arial" w:cs="Arial"/>
        </w:rPr>
        <w:t xml:space="preserve"> (2003), </w:t>
      </w:r>
      <w:r w:rsidRPr="00677B19">
        <w:rPr>
          <w:rFonts w:ascii="Arial" w:hAnsi="Arial" w:cs="Arial"/>
          <w:i/>
        </w:rPr>
        <w:t xml:space="preserve">Aristophanes </w:t>
      </w:r>
      <w:proofErr w:type="spellStart"/>
      <w:r w:rsidRPr="00677B19">
        <w:rPr>
          <w:rFonts w:ascii="Arial" w:hAnsi="Arial" w:cs="Arial"/>
          <w:i/>
        </w:rPr>
        <w:t>Acharnians</w:t>
      </w:r>
      <w:proofErr w:type="spellEnd"/>
      <w:r w:rsidRPr="00677B19">
        <w:rPr>
          <w:rFonts w:ascii="Arial" w:hAnsi="Arial" w:cs="Arial"/>
          <w:i/>
        </w:rPr>
        <w:t xml:space="preserve">, </w:t>
      </w:r>
      <w:proofErr w:type="spellStart"/>
      <w:r w:rsidRPr="00677B19">
        <w:rPr>
          <w:rFonts w:ascii="Arial" w:hAnsi="Arial" w:cs="Arial"/>
          <w:i/>
        </w:rPr>
        <w:t>Lysistrata</w:t>
      </w:r>
      <w:proofErr w:type="spellEnd"/>
      <w:r w:rsidRPr="00677B19">
        <w:rPr>
          <w:rFonts w:ascii="Arial" w:hAnsi="Arial" w:cs="Arial"/>
          <w:i/>
        </w:rPr>
        <w:t xml:space="preserve"> in Aristophanes </w:t>
      </w:r>
      <w:proofErr w:type="spellStart"/>
      <w:r w:rsidRPr="00677B19">
        <w:rPr>
          <w:rFonts w:ascii="Arial" w:hAnsi="Arial" w:cs="Arial"/>
          <w:i/>
        </w:rPr>
        <w:t>Lysistrata</w:t>
      </w:r>
      <w:proofErr w:type="spellEnd"/>
      <w:r w:rsidRPr="00677B19">
        <w:rPr>
          <w:rFonts w:ascii="Arial" w:hAnsi="Arial" w:cs="Arial"/>
          <w:i/>
        </w:rPr>
        <w:t xml:space="preserve"> and Other Plays</w:t>
      </w:r>
      <w:r w:rsidRPr="00677B19">
        <w:rPr>
          <w:rFonts w:ascii="Arial" w:hAnsi="Arial" w:cs="Arial"/>
        </w:rPr>
        <w:t>. London: Penguin.</w:t>
      </w:r>
    </w:p>
    <w:p w:rsidR="00154D48" w:rsidRPr="00154D48" w:rsidRDefault="005815B7" w:rsidP="005815B7">
      <w:pPr>
        <w:spacing w:after="120" w:line="240" w:lineRule="auto"/>
        <w:ind w:left="567" w:right="260"/>
        <w:jc w:val="both"/>
        <w:rPr>
          <w:rFonts w:ascii="Arial" w:hAnsi="Arial" w:cs="Arial"/>
        </w:rPr>
      </w:pPr>
      <w:r w:rsidRPr="00677B19">
        <w:rPr>
          <w:rFonts w:ascii="Arial" w:hAnsi="Arial" w:cs="Arial"/>
        </w:rPr>
        <w:t>Warner</w:t>
      </w:r>
      <w:r>
        <w:rPr>
          <w:rFonts w:ascii="Arial" w:hAnsi="Arial" w:cs="Arial"/>
        </w:rPr>
        <w:t>, R.</w:t>
      </w:r>
      <w:r w:rsidRPr="00677B19">
        <w:rPr>
          <w:rFonts w:ascii="Arial" w:hAnsi="Arial" w:cs="Arial"/>
        </w:rPr>
        <w:t xml:space="preserve"> (2000). </w:t>
      </w:r>
      <w:r w:rsidRPr="00677B19">
        <w:rPr>
          <w:rFonts w:ascii="Arial" w:hAnsi="Arial" w:cs="Arial"/>
          <w:i/>
        </w:rPr>
        <w:t>Thucydides History of the Peloponnesian War</w:t>
      </w:r>
      <w:r w:rsidRPr="00677B19">
        <w:rPr>
          <w:rFonts w:ascii="Arial" w:hAnsi="Arial" w:cs="Arial"/>
        </w:rPr>
        <w:t>. London: Penguin.</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815B7">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815B7">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815B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5815B7" w:rsidP="00BE773E">
      <w:pPr>
        <w:numPr>
          <w:ilvl w:val="0"/>
          <w:numId w:val="11"/>
        </w:numPr>
        <w:spacing w:after="120" w:line="240" w:lineRule="auto"/>
        <w:ind w:right="260"/>
        <w:rPr>
          <w:rFonts w:ascii="Arial" w:hAnsi="Arial" w:cs="Arial"/>
          <w:iCs/>
        </w:rPr>
      </w:pPr>
      <w:r w:rsidRPr="005815B7">
        <w:rPr>
          <w:rFonts w:ascii="Arial" w:hAnsi="Arial" w:cs="Arial"/>
          <w:iCs/>
        </w:rPr>
        <w:t>Essay (2,000 words) – 60%</w:t>
      </w:r>
    </w:p>
    <w:p w:rsidR="00BE773E" w:rsidRPr="005815B7" w:rsidRDefault="005815B7" w:rsidP="000718B3">
      <w:pPr>
        <w:numPr>
          <w:ilvl w:val="0"/>
          <w:numId w:val="10"/>
        </w:numPr>
        <w:spacing w:after="120" w:line="240" w:lineRule="auto"/>
        <w:ind w:right="260"/>
        <w:rPr>
          <w:rFonts w:ascii="Arial" w:hAnsi="Arial" w:cs="Arial"/>
          <w:iCs/>
        </w:rPr>
      </w:pPr>
      <w:r w:rsidRPr="005815B7">
        <w:rPr>
          <w:rFonts w:ascii="Arial" w:hAnsi="Arial" w:cs="Arial"/>
          <w:iCs/>
        </w:rPr>
        <w:t>Examination (2 hours) – 40%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5815B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5815B7" w:rsidRPr="00302082" w:rsidTr="005815B7">
        <w:trPr>
          <w:cantSplit/>
          <w:trHeight w:val="1158"/>
        </w:trPr>
        <w:tc>
          <w:tcPr>
            <w:tcW w:w="2439" w:type="dxa"/>
            <w:shd w:val="clear" w:color="auto" w:fill="D9D9D9" w:themeFill="background1" w:themeFillShade="D9"/>
          </w:tcPr>
          <w:p w:rsidR="005815B7" w:rsidRPr="00302082" w:rsidRDefault="005815B7"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8.1</w:t>
            </w:r>
            <w:r>
              <w:rPr>
                <w:rFonts w:ascii="Arial" w:hAnsi="Arial" w:cs="Arial"/>
              </w:rPr>
              <w:t xml:space="preserve"> / 8.6</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8.2</w:t>
            </w:r>
            <w:r>
              <w:rPr>
                <w:rFonts w:ascii="Arial" w:hAnsi="Arial" w:cs="Arial"/>
              </w:rPr>
              <w:t xml:space="preserve"> / 8.7</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8.3</w:t>
            </w:r>
            <w:r>
              <w:rPr>
                <w:rFonts w:ascii="Arial" w:hAnsi="Arial" w:cs="Arial"/>
              </w:rPr>
              <w:t xml:space="preserve"> / 8.8</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8.4</w:t>
            </w:r>
            <w:r>
              <w:rPr>
                <w:rFonts w:ascii="Arial" w:hAnsi="Arial" w:cs="Arial"/>
              </w:rPr>
              <w:t xml:space="preserve"> / 8.9</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8.5</w:t>
            </w:r>
            <w:r>
              <w:rPr>
                <w:rFonts w:ascii="Arial" w:hAnsi="Arial" w:cs="Arial"/>
              </w:rPr>
              <w:t xml:space="preserve"> / 8.10</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9.1</w:t>
            </w:r>
            <w:r>
              <w:rPr>
                <w:rFonts w:ascii="Arial" w:hAnsi="Arial" w:cs="Arial"/>
              </w:rPr>
              <w:t xml:space="preserve"> / 9.4</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9.2</w:t>
            </w:r>
            <w:r>
              <w:rPr>
                <w:rFonts w:ascii="Arial" w:hAnsi="Arial" w:cs="Arial"/>
              </w:rPr>
              <w:t xml:space="preserve"> / 9.5</w:t>
            </w:r>
          </w:p>
        </w:tc>
        <w:tc>
          <w:tcPr>
            <w:tcW w:w="567" w:type="dxa"/>
            <w:textDirection w:val="btLr"/>
          </w:tcPr>
          <w:p w:rsidR="005815B7" w:rsidRPr="002302FD" w:rsidRDefault="005815B7" w:rsidP="005815B7">
            <w:pPr>
              <w:spacing w:after="120"/>
              <w:ind w:left="113" w:right="113"/>
              <w:rPr>
                <w:rFonts w:ascii="Arial" w:hAnsi="Arial" w:cs="Arial"/>
              </w:rPr>
            </w:pPr>
            <w:r w:rsidRPr="002302FD">
              <w:rPr>
                <w:rFonts w:ascii="Arial" w:hAnsi="Arial" w:cs="Arial"/>
              </w:rPr>
              <w:t>9.3</w:t>
            </w:r>
            <w:r>
              <w:rPr>
                <w:rFonts w:ascii="Arial" w:hAnsi="Arial" w:cs="Arial"/>
              </w:rPr>
              <w:t xml:space="preserve"> / 9.6</w:t>
            </w:r>
          </w:p>
        </w:tc>
      </w:tr>
      <w:tr w:rsidR="005815B7" w:rsidRPr="00302082" w:rsidTr="005815B7">
        <w:tc>
          <w:tcPr>
            <w:tcW w:w="2439" w:type="dxa"/>
            <w:shd w:val="clear" w:color="auto" w:fill="D9D9D9" w:themeFill="background1" w:themeFillShade="D9"/>
          </w:tcPr>
          <w:p w:rsidR="005815B7" w:rsidRPr="00302082" w:rsidRDefault="005815B7" w:rsidP="00302082">
            <w:pPr>
              <w:spacing w:after="120"/>
              <w:rPr>
                <w:rFonts w:ascii="Arial" w:hAnsi="Arial" w:cs="Arial"/>
                <w:b/>
              </w:rPr>
            </w:pPr>
            <w:r w:rsidRPr="00302082">
              <w:rPr>
                <w:rFonts w:ascii="Arial" w:hAnsi="Arial" w:cs="Arial"/>
                <w:b/>
              </w:rPr>
              <w:t>Learning/ teaching method</w:t>
            </w: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c>
          <w:tcPr>
            <w:tcW w:w="567" w:type="dxa"/>
          </w:tcPr>
          <w:p w:rsidR="005815B7" w:rsidRPr="00302082" w:rsidRDefault="005815B7" w:rsidP="00302082">
            <w:pPr>
              <w:spacing w:after="120"/>
              <w:rPr>
                <w:rFonts w:ascii="Arial" w:hAnsi="Arial" w:cs="Arial"/>
                <w:b/>
              </w:rPr>
            </w:pPr>
          </w:p>
        </w:tc>
      </w:tr>
      <w:tr w:rsidR="005815B7" w:rsidRPr="00302082" w:rsidTr="005815B7">
        <w:tc>
          <w:tcPr>
            <w:tcW w:w="2439" w:type="dxa"/>
          </w:tcPr>
          <w:p w:rsidR="005815B7" w:rsidRPr="00BE773E" w:rsidRDefault="005815B7" w:rsidP="00302082">
            <w:pPr>
              <w:spacing w:after="120"/>
              <w:rPr>
                <w:rFonts w:ascii="Arial" w:hAnsi="Arial" w:cs="Arial"/>
              </w:rPr>
            </w:pPr>
            <w:r w:rsidRPr="00BE773E">
              <w:rPr>
                <w:rFonts w:ascii="Arial" w:hAnsi="Arial" w:cs="Arial"/>
              </w:rPr>
              <w:t>Private Study</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r>
      <w:tr w:rsidR="005815B7" w:rsidRPr="00302082" w:rsidTr="005815B7">
        <w:tc>
          <w:tcPr>
            <w:tcW w:w="2439" w:type="dxa"/>
          </w:tcPr>
          <w:p w:rsidR="005815B7" w:rsidRPr="00154D48" w:rsidRDefault="005815B7" w:rsidP="00302082">
            <w:pPr>
              <w:spacing w:after="120"/>
              <w:rPr>
                <w:rFonts w:ascii="Arial" w:hAnsi="Arial" w:cs="Arial"/>
              </w:rPr>
            </w:pPr>
            <w:r>
              <w:rPr>
                <w:rFonts w:ascii="Arial" w:hAnsi="Arial" w:cs="Arial"/>
              </w:rPr>
              <w:t>Lecture</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p>
        </w:tc>
      </w:tr>
      <w:tr w:rsidR="005815B7" w:rsidRPr="00302082" w:rsidTr="005815B7">
        <w:tc>
          <w:tcPr>
            <w:tcW w:w="2439" w:type="dxa"/>
          </w:tcPr>
          <w:p w:rsidR="005815B7" w:rsidRPr="00154D48" w:rsidRDefault="005815B7" w:rsidP="00302082">
            <w:pPr>
              <w:spacing w:after="120"/>
              <w:rPr>
                <w:rFonts w:ascii="Arial" w:hAnsi="Arial" w:cs="Arial"/>
              </w:rPr>
            </w:pPr>
            <w:r>
              <w:rPr>
                <w:rFonts w:ascii="Arial" w:hAnsi="Arial" w:cs="Arial"/>
              </w:rPr>
              <w:t>Seminar</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r>
      <w:tr w:rsidR="005815B7" w:rsidRPr="00302082" w:rsidTr="005815B7">
        <w:tc>
          <w:tcPr>
            <w:tcW w:w="2439" w:type="dxa"/>
            <w:shd w:val="clear" w:color="auto" w:fill="D9D9D9" w:themeFill="background1" w:themeFillShade="D9"/>
          </w:tcPr>
          <w:p w:rsidR="005815B7" w:rsidRPr="00302082" w:rsidRDefault="005815B7" w:rsidP="00302082">
            <w:pPr>
              <w:spacing w:after="120"/>
              <w:rPr>
                <w:rFonts w:ascii="Arial" w:hAnsi="Arial" w:cs="Arial"/>
                <w:b/>
              </w:rPr>
            </w:pPr>
            <w:r w:rsidRPr="00302082">
              <w:rPr>
                <w:rFonts w:ascii="Arial" w:hAnsi="Arial" w:cs="Arial"/>
                <w:b/>
              </w:rPr>
              <w:t>Assessment method</w:t>
            </w: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c>
          <w:tcPr>
            <w:tcW w:w="567" w:type="dxa"/>
            <w:vAlign w:val="center"/>
          </w:tcPr>
          <w:p w:rsidR="005815B7" w:rsidRPr="00302082" w:rsidRDefault="005815B7" w:rsidP="00E871CF">
            <w:pPr>
              <w:spacing w:after="120"/>
              <w:jc w:val="center"/>
              <w:rPr>
                <w:rFonts w:ascii="Arial" w:hAnsi="Arial" w:cs="Arial"/>
                <w:b/>
              </w:rPr>
            </w:pPr>
          </w:p>
        </w:tc>
      </w:tr>
      <w:tr w:rsidR="005815B7" w:rsidRPr="00302082" w:rsidTr="005815B7">
        <w:tc>
          <w:tcPr>
            <w:tcW w:w="2439" w:type="dxa"/>
          </w:tcPr>
          <w:p w:rsidR="005815B7" w:rsidRPr="00154D48" w:rsidRDefault="005815B7" w:rsidP="00302082">
            <w:pPr>
              <w:spacing w:after="120"/>
              <w:rPr>
                <w:rFonts w:ascii="Arial" w:hAnsi="Arial" w:cs="Arial"/>
              </w:rPr>
            </w:pPr>
            <w:r>
              <w:rPr>
                <w:rFonts w:ascii="Arial" w:hAnsi="Arial" w:cs="Arial"/>
              </w:rPr>
              <w:t>Essay</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r>
      <w:tr w:rsidR="005815B7" w:rsidRPr="00302082" w:rsidTr="005815B7">
        <w:tc>
          <w:tcPr>
            <w:tcW w:w="2439" w:type="dxa"/>
          </w:tcPr>
          <w:p w:rsidR="005815B7" w:rsidRPr="00154D48" w:rsidRDefault="005815B7" w:rsidP="00154D48">
            <w:pPr>
              <w:spacing w:after="120"/>
              <w:rPr>
                <w:rFonts w:ascii="Arial" w:hAnsi="Arial" w:cs="Arial"/>
              </w:rPr>
            </w:pPr>
            <w:r>
              <w:rPr>
                <w:rFonts w:ascii="Arial" w:hAnsi="Arial" w:cs="Arial"/>
              </w:rPr>
              <w:t>Examination</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c>
          <w:tcPr>
            <w:tcW w:w="567" w:type="dxa"/>
            <w:vAlign w:val="center"/>
          </w:tcPr>
          <w:p w:rsidR="005815B7" w:rsidRPr="00302082" w:rsidRDefault="005815B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5815B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5815B7" w:rsidP="005815B7">
      <w:pPr>
        <w:spacing w:after="120" w:line="240" w:lineRule="auto"/>
        <w:ind w:left="567" w:right="260"/>
        <w:jc w:val="both"/>
        <w:rPr>
          <w:rFonts w:ascii="Arial" w:hAnsi="Arial" w:cs="Arial"/>
          <w:iCs/>
        </w:rPr>
      </w:pPr>
      <w:r w:rsidRPr="005815B7">
        <w:rPr>
          <w:rFonts w:ascii="Arial" w:hAnsi="Arial" w:cs="Arial"/>
          <w:iCs/>
        </w:rPr>
        <w:t>The study of a different culture, in this case ancient Greece, is, in many respects, an inherently international activity since it invites students to look beyond the society in which they are undertaking their studies (i.e. the U.K.). The internationalism inherent to the study of ancient Greek society is reinforced in this particular module.  This is done by heightening student awareness of cultural difference through the study of the conceptual nuance of terminology used in ancient Greek society; this understanding of conceptual nuance is central to intercultural competencies (</w:t>
      </w:r>
      <w:proofErr w:type="spellStart"/>
      <w:r w:rsidRPr="005815B7">
        <w:rPr>
          <w:rFonts w:ascii="Arial" w:hAnsi="Arial" w:cs="Arial"/>
          <w:iCs/>
        </w:rPr>
        <w:t>cf</w:t>
      </w:r>
      <w:proofErr w:type="spellEnd"/>
      <w:r w:rsidRPr="005815B7">
        <w:rPr>
          <w:rFonts w:ascii="Arial" w:hAnsi="Arial" w:cs="Arial"/>
          <w:iCs/>
        </w:rPr>
        <w:t xml:space="preserve"> Hofstede) and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rsidR="00641D6D" w:rsidRDefault="00641D6D" w:rsidP="00302082">
      <w:pPr>
        <w:pBdr>
          <w:bottom w:val="single" w:sz="6" w:space="1" w:color="auto"/>
        </w:pBdr>
        <w:spacing w:after="120" w:line="240" w:lineRule="auto"/>
        <w:ind w:right="260"/>
        <w:rPr>
          <w:rFonts w:ascii="Arial" w:hAnsi="Arial" w:cs="Arial"/>
        </w:rPr>
      </w:pPr>
    </w:p>
    <w:p w:rsidR="00F51A6B" w:rsidRPr="00302082" w:rsidRDefault="00F51A6B"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lastRenderedPageBreak/>
              <w:t>26/01/17</w:t>
            </w:r>
          </w:p>
        </w:tc>
        <w:tc>
          <w:tcPr>
            <w:tcW w:w="1701"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t>September 2017</w:t>
            </w:r>
          </w:p>
        </w:tc>
        <w:tc>
          <w:tcPr>
            <w:tcW w:w="2552"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t>13</w:t>
            </w:r>
          </w:p>
        </w:tc>
        <w:tc>
          <w:tcPr>
            <w:tcW w:w="2685" w:type="dxa"/>
            <w:vAlign w:val="center"/>
          </w:tcPr>
          <w:p w:rsidR="00422B69" w:rsidRPr="007A689A" w:rsidRDefault="005815B7"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F51A6B"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5815B7" w:rsidRPr="00F74B16" w:rsidTr="005815B7">
        <w:trPr>
          <w:trHeight w:val="305"/>
        </w:trPr>
        <w:tc>
          <w:tcPr>
            <w:tcW w:w="10335" w:type="dxa"/>
            <w:vAlign w:val="center"/>
          </w:tcPr>
          <w:p w:rsidR="005815B7" w:rsidRPr="00F74B16" w:rsidRDefault="005815B7" w:rsidP="00F51A6B">
            <w:pPr>
              <w:rPr>
                <w:rFonts w:ascii="Arial" w:hAnsi="Arial" w:cs="Arial"/>
                <w:sz w:val="18"/>
                <w:szCs w:val="18"/>
              </w:rPr>
            </w:pPr>
            <w:r w:rsidRPr="00F74B16">
              <w:rPr>
                <w:rFonts w:ascii="Arial" w:hAnsi="Arial" w:cs="Arial"/>
                <w:sz w:val="18"/>
                <w:szCs w:val="18"/>
              </w:rPr>
              <w:t xml:space="preserve">Revised FSO </w:t>
            </w:r>
            <w:r w:rsidR="00F51A6B">
              <w:rPr>
                <w:rFonts w:ascii="Arial" w:hAnsi="Arial" w:cs="Arial"/>
                <w:sz w:val="18"/>
                <w:szCs w:val="18"/>
              </w:rPr>
              <w:t>Feb 2020</w:t>
            </w:r>
          </w:p>
        </w:tc>
      </w:tr>
    </w:tbl>
    <w:p w:rsidR="005815B7" w:rsidRPr="00302082" w:rsidRDefault="005815B7" w:rsidP="00302082">
      <w:pPr>
        <w:spacing w:after="120" w:line="240" w:lineRule="auto"/>
        <w:ind w:right="-330"/>
        <w:rPr>
          <w:rFonts w:ascii="Arial" w:hAnsi="Arial" w:cs="Arial"/>
        </w:rPr>
      </w:pPr>
    </w:p>
    <w:sectPr w:rsidR="005815B7"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51A6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F51A6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B0E"/>
    <w:rsid w:val="00513689"/>
    <w:rsid w:val="0051375A"/>
    <w:rsid w:val="00521097"/>
    <w:rsid w:val="0053059E"/>
    <w:rsid w:val="00532F6F"/>
    <w:rsid w:val="00533663"/>
    <w:rsid w:val="00534F73"/>
    <w:rsid w:val="00543C2E"/>
    <w:rsid w:val="005460C2"/>
    <w:rsid w:val="005526FB"/>
    <w:rsid w:val="0055280A"/>
    <w:rsid w:val="005548E1"/>
    <w:rsid w:val="0055585D"/>
    <w:rsid w:val="0056127B"/>
    <w:rsid w:val="00561D26"/>
    <w:rsid w:val="00564738"/>
    <w:rsid w:val="00567EC9"/>
    <w:rsid w:val="00571630"/>
    <w:rsid w:val="005759F4"/>
    <w:rsid w:val="005779D1"/>
    <w:rsid w:val="0058041A"/>
    <w:rsid w:val="005815B7"/>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7F64CC"/>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368C"/>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1A6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4B5A5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815B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4A835-AFE8-44C7-AEA5-6DC0DEECDED7}">
  <ds:schemaRefs>
    <ds:schemaRef ds:uri="http://schemas.openxmlformats.org/officeDocument/2006/bibliography"/>
  </ds:schemaRefs>
</ds:datastoreItem>
</file>

<file path=customXml/itemProps2.xml><?xml version="1.0" encoding="utf-8"?>
<ds:datastoreItem xmlns:ds="http://schemas.openxmlformats.org/officeDocument/2006/customXml" ds:itemID="{02FDE3FF-8C42-406D-8C7B-728A8A82EA0E}"/>
</file>

<file path=customXml/itemProps3.xml><?xml version="1.0" encoding="utf-8"?>
<ds:datastoreItem xmlns:ds="http://schemas.openxmlformats.org/officeDocument/2006/customXml" ds:itemID="{22C9CAEB-7AFD-45AA-B72D-96F47C429A5B}"/>
</file>

<file path=customXml/itemProps4.xml><?xml version="1.0" encoding="utf-8"?>
<ds:datastoreItem xmlns:ds="http://schemas.openxmlformats.org/officeDocument/2006/customXml" ds:itemID="{EC2747E5-1B12-4DC3-8AD4-446313EFBFA8}"/>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2020-01-14T10:26:00Z</dcterms:created>
  <dcterms:modified xsi:type="dcterms:W3CDTF">2020-02-10T11:39:00Z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