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2123-CF3D-49ED-95B7-6BAF90279A65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cd1b524c-7874-4f84-ad56-e8a462e3152d</vt:lpwstr>
  </property>
</Properties>
</file>