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D992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bookmarkStart w:id="0" w:name="_GoBack"/>
      <w:bookmarkEnd w:id="0"/>
      <w:r w:rsidRPr="008B5915">
        <w:rPr>
          <w:rFonts w:ascii="Arial" w:hAnsi="Arial" w:cs="Arial"/>
          <w:b/>
        </w:rPr>
        <w:t>Title of the module</w:t>
      </w:r>
    </w:p>
    <w:p w14:paraId="653370C8" w14:textId="678FA969" w:rsidR="008C3B43" w:rsidRPr="008B5915" w:rsidRDefault="00767074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BUSN9138 (CB9138) </w:t>
      </w:r>
      <w:r w:rsidR="002B3248" w:rsidRPr="008B5915">
        <w:rPr>
          <w:rFonts w:ascii="Arial" w:hAnsi="Arial" w:cs="Arial"/>
        </w:rPr>
        <w:t>Digital Marketing Data Mining and Analytics</w:t>
      </w:r>
      <w:r>
        <w:rPr>
          <w:rFonts w:ascii="Arial" w:hAnsi="Arial" w:cs="Arial"/>
        </w:rPr>
        <w:t xml:space="preserve"> </w:t>
      </w:r>
    </w:p>
    <w:p w14:paraId="017A9216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School or partner institution which will be responsible for management of the module</w:t>
      </w:r>
    </w:p>
    <w:p w14:paraId="5642F8E8" w14:textId="77777777" w:rsidR="008C3B43" w:rsidRPr="008B5915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8B5915">
        <w:rPr>
          <w:rFonts w:ascii="Arial" w:hAnsi="Arial" w:cs="Arial"/>
          <w:iCs/>
        </w:rPr>
        <w:t>Kent Business School</w:t>
      </w:r>
    </w:p>
    <w:p w14:paraId="6253CED9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The level of the module (e.g. Level 4, Level 5, Level 6 or Level 7)</w:t>
      </w:r>
    </w:p>
    <w:p w14:paraId="443335B8" w14:textId="77777777" w:rsidR="008C3B43" w:rsidRPr="008B5915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8B5915">
        <w:rPr>
          <w:rFonts w:ascii="Arial" w:hAnsi="Arial" w:cs="Arial"/>
          <w:iCs/>
        </w:rPr>
        <w:t xml:space="preserve">Level </w:t>
      </w:r>
      <w:proofErr w:type="gramStart"/>
      <w:r w:rsidRPr="008B5915">
        <w:rPr>
          <w:rFonts w:ascii="Arial" w:hAnsi="Arial" w:cs="Arial"/>
          <w:iCs/>
        </w:rPr>
        <w:t>7</w:t>
      </w:r>
      <w:proofErr w:type="gramEnd"/>
    </w:p>
    <w:p w14:paraId="7BA0BA58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 xml:space="preserve">The number of credits and the ECTS value which the module represents </w:t>
      </w:r>
    </w:p>
    <w:p w14:paraId="6019AE63" w14:textId="77777777" w:rsidR="008C3B43" w:rsidRPr="008B5915" w:rsidRDefault="008C3B43" w:rsidP="008C3B43">
      <w:pPr>
        <w:spacing w:after="120" w:line="240" w:lineRule="auto"/>
        <w:ind w:left="426" w:right="260"/>
        <w:rPr>
          <w:rFonts w:ascii="Arial" w:hAnsi="Arial" w:cs="Arial"/>
        </w:rPr>
      </w:pPr>
      <w:r w:rsidRPr="008B5915">
        <w:rPr>
          <w:rFonts w:ascii="Arial" w:hAnsi="Arial" w:cs="Arial"/>
        </w:rPr>
        <w:t>15 (7.5ECTS)</w:t>
      </w:r>
    </w:p>
    <w:p w14:paraId="544405DF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Which term(s) the module is to be taught in (or other teaching pattern)</w:t>
      </w:r>
    </w:p>
    <w:p w14:paraId="50A22A28" w14:textId="7D09175B" w:rsidR="008C3B43" w:rsidRPr="008B5915" w:rsidRDefault="00BF4EB7" w:rsidP="008C3B43">
      <w:pPr>
        <w:ind w:firstLine="426"/>
        <w:rPr>
          <w:rFonts w:ascii="Arial" w:hAnsi="Arial" w:cs="Arial"/>
        </w:rPr>
      </w:pPr>
      <w:r w:rsidRPr="008B5915">
        <w:rPr>
          <w:rFonts w:ascii="Arial" w:hAnsi="Arial" w:cs="Arial"/>
        </w:rPr>
        <w:t>Spring</w:t>
      </w:r>
    </w:p>
    <w:p w14:paraId="78381AD1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Prerequisite and co-requisite modules</w:t>
      </w:r>
    </w:p>
    <w:p w14:paraId="1B69BF69" w14:textId="77777777" w:rsidR="008C3B43" w:rsidRPr="008B5915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8B5915">
        <w:rPr>
          <w:rFonts w:ascii="Arial" w:hAnsi="Arial" w:cs="Arial"/>
          <w:iCs/>
        </w:rPr>
        <w:t>None</w:t>
      </w:r>
    </w:p>
    <w:p w14:paraId="42E0DFCF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The programmes of study to which the module contributes</w:t>
      </w:r>
    </w:p>
    <w:p w14:paraId="47F6D8AC" w14:textId="77777777" w:rsidR="008C3B43" w:rsidRPr="008B5915" w:rsidRDefault="00F72A67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8B5915">
        <w:rPr>
          <w:rFonts w:ascii="Arial" w:hAnsi="Arial" w:cs="Arial"/>
          <w:iCs/>
        </w:rPr>
        <w:t xml:space="preserve">MSc </w:t>
      </w:r>
      <w:r w:rsidR="00E11F8D" w:rsidRPr="008B5915">
        <w:rPr>
          <w:rFonts w:ascii="Arial" w:hAnsi="Arial" w:cs="Arial"/>
          <w:iCs/>
        </w:rPr>
        <w:t>Digital Marketing and Analytics</w:t>
      </w:r>
    </w:p>
    <w:p w14:paraId="63E31B78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The intended subject specific learning outcomes.</w:t>
      </w:r>
      <w:r w:rsidRPr="008B5915">
        <w:rPr>
          <w:rFonts w:ascii="Arial" w:hAnsi="Arial" w:cs="Arial"/>
          <w:b/>
        </w:rPr>
        <w:br/>
        <w:t>On successfully completing the module students will be able to:</w:t>
      </w:r>
    </w:p>
    <w:p w14:paraId="64E96DAE" w14:textId="6A219A81" w:rsidR="00851AF6" w:rsidRPr="008B5915" w:rsidRDefault="00851AF6" w:rsidP="002B3248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Demonstrate a systematic understanding of the potential of data mining for gaining marketing insight and supporting marketing </w:t>
      </w:r>
      <w:proofErr w:type="gramStart"/>
      <w:r w:rsidRPr="008B5915">
        <w:rPr>
          <w:rFonts w:ascii="Arial" w:hAnsi="Arial" w:cs="Arial"/>
        </w:rPr>
        <w:t>decision making</w:t>
      </w:r>
      <w:proofErr w:type="gramEnd"/>
      <w:r w:rsidRPr="008B5915">
        <w:rPr>
          <w:rFonts w:ascii="Arial" w:hAnsi="Arial" w:cs="Arial"/>
        </w:rPr>
        <w:t>.</w:t>
      </w:r>
    </w:p>
    <w:p w14:paraId="33D67DB5" w14:textId="22CD99A0" w:rsidR="00C0530C" w:rsidRPr="008B5915" w:rsidRDefault="00851AF6" w:rsidP="002B3248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Critically evaluate </w:t>
      </w:r>
      <w:r w:rsidR="00636254" w:rsidRPr="008B5915">
        <w:rPr>
          <w:rFonts w:ascii="Arial" w:hAnsi="Arial" w:cs="Arial"/>
        </w:rPr>
        <w:t xml:space="preserve">concepts and </w:t>
      </w:r>
      <w:r w:rsidR="00C0530C" w:rsidRPr="008B5915">
        <w:rPr>
          <w:rFonts w:ascii="Arial" w:hAnsi="Arial" w:cs="Arial"/>
        </w:rPr>
        <w:t xml:space="preserve">tools needed to analyse and interpret </w:t>
      </w:r>
      <w:r w:rsidR="00CF2EF7">
        <w:rPr>
          <w:rFonts w:ascii="Arial" w:hAnsi="Arial" w:cs="Arial"/>
        </w:rPr>
        <w:t xml:space="preserve">digital </w:t>
      </w:r>
      <w:r w:rsidR="00C0530C" w:rsidRPr="008B5915">
        <w:rPr>
          <w:rFonts w:ascii="Arial" w:hAnsi="Arial" w:cs="Arial"/>
        </w:rPr>
        <w:t>marketing data.</w:t>
      </w:r>
    </w:p>
    <w:p w14:paraId="214A1E9E" w14:textId="77777777" w:rsidR="001F23BA" w:rsidRPr="008B5915" w:rsidRDefault="00C0530C" w:rsidP="00A218DF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Practice with leading data mining methods and their application to marketing </w:t>
      </w:r>
      <w:r w:rsidR="001F23BA" w:rsidRPr="008B5915">
        <w:rPr>
          <w:rFonts w:ascii="Arial" w:hAnsi="Arial" w:cs="Arial"/>
        </w:rPr>
        <w:t>challenges in a variety of contexts.</w:t>
      </w:r>
    </w:p>
    <w:p w14:paraId="18A767EB" w14:textId="448B624C" w:rsidR="008C3B43" w:rsidRPr="008B5915" w:rsidRDefault="00712488" w:rsidP="007E39C2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8.4. </w:t>
      </w:r>
      <w:r w:rsidR="001F23BA" w:rsidRPr="008B5915">
        <w:rPr>
          <w:rFonts w:ascii="Arial" w:hAnsi="Arial" w:cs="Arial"/>
        </w:rPr>
        <w:t xml:space="preserve">Critically apply the practical experience and the theoretical insights needed to reveal patterns and valuable information </w:t>
      </w:r>
      <w:r w:rsidR="00CF2EF7">
        <w:rPr>
          <w:rFonts w:ascii="Arial" w:hAnsi="Arial" w:cs="Arial"/>
        </w:rPr>
        <w:t xml:space="preserve">embedded </w:t>
      </w:r>
      <w:r w:rsidR="001F23BA" w:rsidRPr="008B5915">
        <w:rPr>
          <w:rFonts w:ascii="Arial" w:hAnsi="Arial" w:cs="Arial"/>
        </w:rPr>
        <w:t xml:space="preserve">in large data sets </w:t>
      </w:r>
      <w:r w:rsidR="00A218DF" w:rsidRPr="008B5915">
        <w:rPr>
          <w:rFonts w:ascii="Arial" w:hAnsi="Arial" w:cs="Arial"/>
        </w:rPr>
        <w:t xml:space="preserve">to support digital marketing </w:t>
      </w:r>
      <w:r w:rsidR="00BA5FD0" w:rsidRPr="008B5915">
        <w:rPr>
          <w:rFonts w:ascii="Arial" w:hAnsi="Arial" w:cs="Arial"/>
        </w:rPr>
        <w:t xml:space="preserve">decision-making and </w:t>
      </w:r>
      <w:r w:rsidR="00A218DF" w:rsidRPr="008B5915">
        <w:rPr>
          <w:rFonts w:ascii="Arial" w:hAnsi="Arial" w:cs="Arial"/>
        </w:rPr>
        <w:t>activities.</w:t>
      </w:r>
    </w:p>
    <w:p w14:paraId="694A5ED6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The intended generic learning outcomes.</w:t>
      </w:r>
      <w:r w:rsidRPr="008B5915">
        <w:rPr>
          <w:rFonts w:ascii="Arial" w:hAnsi="Arial" w:cs="Arial"/>
          <w:b/>
        </w:rPr>
        <w:br/>
        <w:t>On successfully completing the module students will be able to:</w:t>
      </w:r>
    </w:p>
    <w:p w14:paraId="2624DDD2" w14:textId="6F5E9761" w:rsidR="001F23BA" w:rsidRPr="008B5915" w:rsidRDefault="001F23BA" w:rsidP="00AC1183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8B5915">
        <w:rPr>
          <w:rFonts w:ascii="Arial" w:hAnsi="Arial" w:cs="Arial"/>
        </w:rPr>
        <w:t>Develop technical and analytical skills.</w:t>
      </w:r>
    </w:p>
    <w:p w14:paraId="1AE25921" w14:textId="4031DDED" w:rsidR="001F23BA" w:rsidRPr="008B5915" w:rsidRDefault="001F23BA" w:rsidP="00AC1183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8B5915">
        <w:rPr>
          <w:rFonts w:ascii="Arial" w:hAnsi="Arial" w:cs="Arial"/>
        </w:rPr>
        <w:t>Demonstrate the ability to persuade, convince and argue effectively.</w:t>
      </w:r>
    </w:p>
    <w:p w14:paraId="4C61395B" w14:textId="73F4739F" w:rsidR="00A5175D" w:rsidRPr="008B5915" w:rsidRDefault="001F23BA" w:rsidP="001F23BA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Manage </w:t>
      </w:r>
      <w:r w:rsidR="008B5915">
        <w:rPr>
          <w:rFonts w:ascii="Arial" w:hAnsi="Arial" w:cs="Arial"/>
        </w:rPr>
        <w:t>themselves</w:t>
      </w:r>
      <w:r w:rsidRPr="008B5915">
        <w:rPr>
          <w:rFonts w:ascii="Arial" w:hAnsi="Arial" w:cs="Arial"/>
        </w:rPr>
        <w:t>, time and resources effectively.</w:t>
      </w:r>
    </w:p>
    <w:p w14:paraId="3B0AF015" w14:textId="694B910B" w:rsidR="00A5175D" w:rsidRPr="008B5915" w:rsidRDefault="00A5175D" w:rsidP="00AC1183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8B5915">
        <w:rPr>
          <w:rFonts w:ascii="Arial" w:hAnsi="Arial" w:cs="Arial"/>
        </w:rPr>
        <w:t>Demonstrate an ability to work pro-actively to formulate business plan and problem solutions</w:t>
      </w:r>
      <w:r w:rsidR="00CF2EF7">
        <w:rPr>
          <w:rFonts w:ascii="Arial" w:hAnsi="Arial" w:cs="Arial"/>
        </w:rPr>
        <w:t>.</w:t>
      </w:r>
    </w:p>
    <w:p w14:paraId="114FACD8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A synopsis of the curriculum</w:t>
      </w:r>
    </w:p>
    <w:p w14:paraId="05524429" w14:textId="7FD9B90B" w:rsidR="008C3C2E" w:rsidRPr="008B5915" w:rsidRDefault="008C3C2E" w:rsidP="007E39C2">
      <w:pPr>
        <w:pStyle w:val="ListParagraph"/>
        <w:spacing w:line="240" w:lineRule="auto"/>
        <w:ind w:left="426"/>
        <w:jc w:val="both"/>
        <w:rPr>
          <w:rFonts w:ascii="Arial" w:hAnsi="Arial" w:cs="Arial"/>
          <w:lang w:eastAsia="zh-TW"/>
        </w:rPr>
      </w:pPr>
      <w:r w:rsidRPr="008B5915">
        <w:rPr>
          <w:rFonts w:ascii="Arial" w:hAnsi="Arial" w:cs="Arial"/>
          <w:lang w:eastAsia="zh-TW"/>
        </w:rPr>
        <w:t xml:space="preserve">This module covers data mining techniques and their use in marketing decision making. In </w:t>
      </w:r>
      <w:proofErr w:type="gramStart"/>
      <w:r w:rsidRPr="008B5915">
        <w:rPr>
          <w:rFonts w:ascii="Arial" w:hAnsi="Arial" w:cs="Arial"/>
          <w:lang w:eastAsia="zh-TW"/>
        </w:rPr>
        <w:t>this</w:t>
      </w:r>
      <w:proofErr w:type="gramEnd"/>
      <w:r w:rsidRPr="008B5915">
        <w:rPr>
          <w:rFonts w:ascii="Arial" w:hAnsi="Arial" w:cs="Arial"/>
          <w:lang w:eastAsia="zh-TW"/>
        </w:rPr>
        <w:t xml:space="preserve"> module students will gain practical experience and will critically apply software commonly used in contemporary organisations to support marketing strategies based on marketing data.</w:t>
      </w:r>
    </w:p>
    <w:p w14:paraId="6C82E1D6" w14:textId="5DD82588" w:rsidR="008C3B43" w:rsidRPr="008B5915" w:rsidRDefault="00D5454C" w:rsidP="008C3B43">
      <w:pPr>
        <w:tabs>
          <w:tab w:val="left" w:pos="720"/>
        </w:tabs>
        <w:ind w:left="425"/>
        <w:rPr>
          <w:rFonts w:ascii="Arial" w:hAnsi="Arial" w:cs="Arial"/>
        </w:rPr>
      </w:pPr>
      <w:r>
        <w:rPr>
          <w:rFonts w:ascii="Arial" w:hAnsi="Arial" w:cs="Arial"/>
        </w:rPr>
        <w:t>Indicative t</w:t>
      </w:r>
      <w:r w:rsidR="006077CD" w:rsidRPr="008B5915">
        <w:rPr>
          <w:rFonts w:ascii="Arial" w:hAnsi="Arial" w:cs="Arial"/>
        </w:rPr>
        <w:t>opics</w:t>
      </w:r>
      <w:r w:rsidR="001D0272" w:rsidRPr="008B5915">
        <w:rPr>
          <w:rFonts w:ascii="Arial" w:hAnsi="Arial" w:cs="Arial"/>
        </w:rPr>
        <w:t xml:space="preserve"> </w:t>
      </w:r>
      <w:r w:rsidR="00A5175D" w:rsidRPr="008B5915">
        <w:rPr>
          <w:rFonts w:ascii="Arial" w:hAnsi="Arial" w:cs="Arial"/>
        </w:rPr>
        <w:t xml:space="preserve">to be </w:t>
      </w:r>
      <w:r w:rsidR="001D0272" w:rsidRPr="008B5915">
        <w:rPr>
          <w:rFonts w:ascii="Arial" w:hAnsi="Arial" w:cs="Arial"/>
        </w:rPr>
        <w:t xml:space="preserve">covered </w:t>
      </w:r>
      <w:r w:rsidR="00CF2EF7">
        <w:rPr>
          <w:rFonts w:ascii="Arial" w:hAnsi="Arial" w:cs="Arial"/>
        </w:rPr>
        <w:t xml:space="preserve">are likely to </w:t>
      </w:r>
      <w:r w:rsidR="001D0272" w:rsidRPr="008B5915">
        <w:rPr>
          <w:rFonts w:ascii="Arial" w:hAnsi="Arial" w:cs="Arial"/>
        </w:rPr>
        <w:t>include:</w:t>
      </w:r>
    </w:p>
    <w:p w14:paraId="0A3F6C83" w14:textId="6ABC19B8" w:rsidR="0004380B" w:rsidRPr="008B5915" w:rsidRDefault="00EF784B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Introduction to d</w:t>
      </w:r>
      <w:r w:rsidR="0004380B" w:rsidRPr="008B5915">
        <w:rPr>
          <w:rFonts w:ascii="Arial" w:hAnsi="Arial" w:cs="Arial"/>
        </w:rPr>
        <w:t xml:space="preserve">ata mining </w:t>
      </w:r>
      <w:r w:rsidR="005634C4">
        <w:rPr>
          <w:rFonts w:ascii="Arial" w:hAnsi="Arial" w:cs="Arial"/>
        </w:rPr>
        <w:t xml:space="preserve">(e.g., cluster analysis, PCA/factor analysis) </w:t>
      </w:r>
      <w:r w:rsidR="00A5175D" w:rsidRPr="008B5915">
        <w:rPr>
          <w:rFonts w:ascii="Arial" w:hAnsi="Arial" w:cs="Arial"/>
        </w:rPr>
        <w:t>for</w:t>
      </w:r>
      <w:r w:rsidR="00CF2EF7">
        <w:rPr>
          <w:rFonts w:ascii="Arial" w:hAnsi="Arial" w:cs="Arial"/>
        </w:rPr>
        <w:t xml:space="preserve"> digital</w:t>
      </w:r>
      <w:r w:rsidR="00A5175D" w:rsidRPr="008B5915">
        <w:rPr>
          <w:rFonts w:ascii="Arial" w:hAnsi="Arial" w:cs="Arial"/>
        </w:rPr>
        <w:t xml:space="preserve"> marketing</w:t>
      </w:r>
    </w:p>
    <w:p w14:paraId="36685A93" w14:textId="0BB645BF" w:rsidR="0004380B" w:rsidRPr="008B5915" w:rsidRDefault="0004380B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Data </w:t>
      </w:r>
      <w:r w:rsidR="00A5175D" w:rsidRPr="008B5915">
        <w:rPr>
          <w:rFonts w:ascii="Arial" w:hAnsi="Arial" w:cs="Arial"/>
        </w:rPr>
        <w:t>pre-processing, visualisation and exploratory analysis used to provide insight into marketing activities.</w:t>
      </w:r>
    </w:p>
    <w:p w14:paraId="2B14D5BE" w14:textId="1DD253A8" w:rsidR="00A5175D" w:rsidRPr="008B5915" w:rsidRDefault="00A5175D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Key marketing tasks: e.g., segmentation, profiling.</w:t>
      </w:r>
    </w:p>
    <w:p w14:paraId="5A5A2445" w14:textId="52079CF9" w:rsidR="00D002DA" w:rsidRPr="008B5915" w:rsidRDefault="00D002DA" w:rsidP="00D002D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Data Mining Methods for Classification</w:t>
      </w:r>
    </w:p>
    <w:p w14:paraId="39D0E447" w14:textId="2DE98E75" w:rsidR="00A5175D" w:rsidRPr="008B5915" w:rsidRDefault="00A5175D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Data mining predictive models and their application</w:t>
      </w:r>
    </w:p>
    <w:p w14:paraId="0017D8EC" w14:textId="61092841" w:rsidR="00A5175D" w:rsidRPr="008B5915" w:rsidRDefault="00A5175D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Accessing and collecting data from the Web and introduction to text mining.</w:t>
      </w:r>
    </w:p>
    <w:p w14:paraId="740AE53C" w14:textId="375A3063" w:rsidR="00A5175D" w:rsidRPr="008B5915" w:rsidRDefault="00A5175D" w:rsidP="00BD5FF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8B5915">
        <w:rPr>
          <w:rFonts w:ascii="Arial" w:hAnsi="Arial" w:cs="Arial"/>
        </w:rPr>
        <w:t>Web-analytics and data mining models in real-world applications.</w:t>
      </w:r>
    </w:p>
    <w:p w14:paraId="7A45E9F1" w14:textId="5A9F95F9" w:rsidR="001D0272" w:rsidRPr="008B5915" w:rsidRDefault="001D0272" w:rsidP="00BD5FFE">
      <w:pPr>
        <w:tabs>
          <w:tab w:val="left" w:pos="720"/>
        </w:tabs>
        <w:spacing w:after="0" w:line="240" w:lineRule="auto"/>
        <w:ind w:left="425"/>
        <w:rPr>
          <w:rFonts w:ascii="Arial" w:hAnsi="Arial" w:cs="Arial"/>
        </w:rPr>
      </w:pPr>
    </w:p>
    <w:p w14:paraId="672CB364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lastRenderedPageBreak/>
        <w:t>Reading List (Indicative list, current at time of publication. Reading lists will be published annually)</w:t>
      </w:r>
    </w:p>
    <w:p w14:paraId="38EAF273" w14:textId="77777777" w:rsidR="00CA14F9" w:rsidRPr="008B5915" w:rsidRDefault="00CA14F9" w:rsidP="00E20E15">
      <w:pPr>
        <w:ind w:left="426"/>
        <w:rPr>
          <w:rFonts w:ascii="Arial" w:hAnsi="Arial" w:cs="Arial"/>
          <w:u w:val="single"/>
        </w:rPr>
      </w:pPr>
      <w:r w:rsidRPr="008B5915">
        <w:rPr>
          <w:rFonts w:ascii="Arial" w:hAnsi="Arial" w:cs="Arial"/>
          <w:u w:val="single"/>
        </w:rPr>
        <w:t>Essential reading</w:t>
      </w:r>
    </w:p>
    <w:p w14:paraId="68A113E6" w14:textId="437752B4" w:rsidR="00EB3EE6" w:rsidRPr="008B5915" w:rsidRDefault="00EB3EE6" w:rsidP="00EB3EE6">
      <w:pPr>
        <w:spacing w:after="0" w:line="240" w:lineRule="auto"/>
        <w:ind w:left="426"/>
        <w:rPr>
          <w:rFonts w:ascii="Arial" w:hAnsi="Arial" w:cs="Arial"/>
        </w:rPr>
      </w:pPr>
      <w:r w:rsidRPr="008B5915">
        <w:rPr>
          <w:rFonts w:ascii="Arial" w:hAnsi="Arial" w:cs="Arial"/>
        </w:rPr>
        <w:t>Grigsby, M (2015)</w:t>
      </w:r>
      <w:r w:rsidR="000537A5" w:rsidRPr="008B5915">
        <w:rPr>
          <w:rFonts w:ascii="Arial" w:hAnsi="Arial" w:cs="Arial"/>
        </w:rPr>
        <w:t>.</w:t>
      </w:r>
      <w:r w:rsidRPr="008B5915">
        <w:rPr>
          <w:rFonts w:ascii="Arial" w:hAnsi="Arial" w:cs="Arial"/>
        </w:rPr>
        <w:t xml:space="preserve"> Marketing analytics: A practical guide to real marketing science. </w:t>
      </w:r>
      <w:proofErr w:type="gramStart"/>
      <w:r w:rsidRPr="008B5915">
        <w:rPr>
          <w:rFonts w:ascii="Arial" w:hAnsi="Arial" w:cs="Arial"/>
        </w:rPr>
        <w:t>1</w:t>
      </w:r>
      <w:r w:rsidRPr="008B5915">
        <w:rPr>
          <w:rFonts w:ascii="Arial" w:hAnsi="Arial" w:cs="Arial"/>
          <w:vertAlign w:val="superscript"/>
        </w:rPr>
        <w:t>st</w:t>
      </w:r>
      <w:proofErr w:type="gramEnd"/>
      <w:r w:rsidR="00EA548B" w:rsidRPr="008B5915">
        <w:rPr>
          <w:rFonts w:ascii="Arial" w:hAnsi="Arial" w:cs="Arial"/>
        </w:rPr>
        <w:t xml:space="preserve"> ed</w:t>
      </w:r>
      <w:r w:rsidRPr="008B5915">
        <w:rPr>
          <w:rFonts w:ascii="Arial" w:hAnsi="Arial" w:cs="Arial"/>
        </w:rPr>
        <w:t xml:space="preserve">. </w:t>
      </w:r>
      <w:proofErr w:type="spellStart"/>
      <w:r w:rsidRPr="008B5915">
        <w:rPr>
          <w:rFonts w:ascii="Arial" w:hAnsi="Arial" w:cs="Arial"/>
        </w:rPr>
        <w:t>Kogan</w:t>
      </w:r>
      <w:proofErr w:type="spellEnd"/>
      <w:r w:rsidRPr="008B5915">
        <w:rPr>
          <w:rFonts w:ascii="Arial" w:hAnsi="Arial" w:cs="Arial"/>
        </w:rPr>
        <w:t xml:space="preserve"> Page.</w:t>
      </w:r>
      <w:r w:rsidR="00FD1D80" w:rsidRPr="008B5915">
        <w:rPr>
          <w:rFonts w:ascii="Arial" w:hAnsi="Arial" w:cs="Arial"/>
        </w:rPr>
        <w:t xml:space="preserve"> ISBN-10: 0749474173.</w:t>
      </w:r>
    </w:p>
    <w:p w14:paraId="7E9C3AFF" w14:textId="77777777" w:rsidR="00EB3EE6" w:rsidRPr="008B5915" w:rsidRDefault="00EB3EE6" w:rsidP="00EB3EE6">
      <w:pPr>
        <w:spacing w:after="0" w:line="240" w:lineRule="auto"/>
        <w:ind w:left="426"/>
        <w:rPr>
          <w:rFonts w:ascii="Arial" w:hAnsi="Arial" w:cs="Arial"/>
        </w:rPr>
      </w:pPr>
    </w:p>
    <w:p w14:paraId="74B174BA" w14:textId="21497B67" w:rsidR="00F419A0" w:rsidRPr="008B5915" w:rsidRDefault="00F419A0" w:rsidP="00F419A0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>Witten, I. H., Frank, E., Hall, M. A</w:t>
      </w:r>
      <w:proofErr w:type="gramStart"/>
      <w:r w:rsidRPr="008B5915">
        <w:rPr>
          <w:rFonts w:ascii="Arial" w:hAnsi="Arial" w:cs="Arial"/>
        </w:rPr>
        <w:t>. ,</w:t>
      </w:r>
      <w:proofErr w:type="gramEnd"/>
      <w:r w:rsidRPr="008B5915">
        <w:rPr>
          <w:rFonts w:ascii="Arial" w:hAnsi="Arial" w:cs="Arial"/>
        </w:rPr>
        <w:t xml:space="preserve"> Pal, C. J. (2016)</w:t>
      </w:r>
      <w:r w:rsidR="000537A5" w:rsidRPr="008B5915">
        <w:rPr>
          <w:rFonts w:ascii="Arial" w:hAnsi="Arial" w:cs="Arial"/>
        </w:rPr>
        <w:t>.</w:t>
      </w:r>
      <w:r w:rsidRPr="008B5915">
        <w:rPr>
          <w:rFonts w:ascii="Arial" w:hAnsi="Arial" w:cs="Arial"/>
        </w:rPr>
        <w:t xml:space="preserve"> Data Mining: Practical Machine Learning Tools and Techniques. </w:t>
      </w:r>
      <w:proofErr w:type="gramStart"/>
      <w:r w:rsidRPr="008B5915">
        <w:rPr>
          <w:rFonts w:ascii="Arial" w:hAnsi="Arial" w:cs="Arial"/>
        </w:rPr>
        <w:t>4</w:t>
      </w:r>
      <w:r w:rsidRPr="008B5915">
        <w:rPr>
          <w:rFonts w:ascii="Arial" w:hAnsi="Arial" w:cs="Arial"/>
          <w:vertAlign w:val="superscript"/>
        </w:rPr>
        <w:t>th</w:t>
      </w:r>
      <w:proofErr w:type="gramEnd"/>
      <w:r w:rsidR="00EA548B" w:rsidRPr="008B5915">
        <w:rPr>
          <w:rFonts w:ascii="Arial" w:hAnsi="Arial" w:cs="Arial"/>
        </w:rPr>
        <w:t xml:space="preserve"> ed</w:t>
      </w:r>
      <w:r w:rsidRPr="008B5915">
        <w:rPr>
          <w:rFonts w:ascii="Arial" w:hAnsi="Arial" w:cs="Arial"/>
        </w:rPr>
        <w:t>. Morgan Kaufmann. ISBN-10: 0128042915</w:t>
      </w:r>
    </w:p>
    <w:p w14:paraId="34585FD1" w14:textId="77777777" w:rsidR="00F419A0" w:rsidRPr="008B5915" w:rsidRDefault="00F419A0" w:rsidP="00E20E15">
      <w:pPr>
        <w:spacing w:after="120" w:line="240" w:lineRule="auto"/>
        <w:ind w:left="426" w:right="260"/>
        <w:jc w:val="both"/>
        <w:rPr>
          <w:rFonts w:ascii="Arial" w:hAnsi="Arial" w:cs="Arial"/>
          <w:u w:val="single"/>
        </w:rPr>
      </w:pPr>
    </w:p>
    <w:p w14:paraId="345E1899" w14:textId="77777777" w:rsidR="00CA14F9" w:rsidRPr="008B5915" w:rsidRDefault="00CA14F9" w:rsidP="00E20E15">
      <w:pPr>
        <w:spacing w:after="120" w:line="240" w:lineRule="auto"/>
        <w:ind w:left="426" w:right="260"/>
        <w:jc w:val="both"/>
        <w:rPr>
          <w:rFonts w:ascii="Arial" w:hAnsi="Arial" w:cs="Arial"/>
          <w:u w:val="single"/>
        </w:rPr>
      </w:pPr>
      <w:r w:rsidRPr="008B5915">
        <w:rPr>
          <w:rFonts w:ascii="Arial" w:hAnsi="Arial" w:cs="Arial"/>
          <w:u w:val="single"/>
        </w:rPr>
        <w:t>Background Reading</w:t>
      </w:r>
    </w:p>
    <w:p w14:paraId="102D1E4E" w14:textId="1B0FDFE8" w:rsidR="00F419A0" w:rsidRPr="008B5915" w:rsidRDefault="00F419A0" w:rsidP="00F419A0">
      <w:pPr>
        <w:spacing w:after="0" w:line="240" w:lineRule="auto"/>
        <w:ind w:left="426"/>
        <w:rPr>
          <w:rFonts w:ascii="Arial" w:hAnsi="Arial" w:cs="Arial"/>
        </w:rPr>
      </w:pPr>
      <w:r w:rsidRPr="008B5915">
        <w:rPr>
          <w:rFonts w:ascii="Arial" w:hAnsi="Arial" w:cs="Arial"/>
        </w:rPr>
        <w:t>Field, A. (2013)</w:t>
      </w:r>
      <w:r w:rsidR="000537A5" w:rsidRPr="008B5915">
        <w:rPr>
          <w:rFonts w:ascii="Arial" w:hAnsi="Arial" w:cs="Arial"/>
        </w:rPr>
        <w:t>.</w:t>
      </w:r>
      <w:r w:rsidRPr="008B5915">
        <w:rPr>
          <w:rFonts w:ascii="Arial" w:hAnsi="Arial" w:cs="Arial"/>
        </w:rPr>
        <w:t xml:space="preserve"> Discovering statistics using IBM SPSS statistics. </w:t>
      </w:r>
      <w:proofErr w:type="gramStart"/>
      <w:r w:rsidRPr="008B5915">
        <w:rPr>
          <w:rFonts w:ascii="Arial" w:hAnsi="Arial" w:cs="Arial"/>
        </w:rPr>
        <w:t>4</w:t>
      </w:r>
      <w:r w:rsidRPr="008B5915">
        <w:rPr>
          <w:rFonts w:ascii="Arial" w:hAnsi="Arial" w:cs="Arial"/>
          <w:vertAlign w:val="superscript"/>
        </w:rPr>
        <w:t>th</w:t>
      </w:r>
      <w:proofErr w:type="gramEnd"/>
      <w:r w:rsidR="00EA548B" w:rsidRPr="008B5915">
        <w:rPr>
          <w:rFonts w:ascii="Arial" w:hAnsi="Arial" w:cs="Arial"/>
        </w:rPr>
        <w:t xml:space="preserve"> ed</w:t>
      </w:r>
      <w:r w:rsidRPr="008B5915">
        <w:rPr>
          <w:rFonts w:ascii="Arial" w:hAnsi="Arial" w:cs="Arial"/>
        </w:rPr>
        <w:t>. London: SAGE Publications Ltd. ISBN-10: 1446249182.</w:t>
      </w:r>
    </w:p>
    <w:p w14:paraId="56D7EAD2" w14:textId="77777777" w:rsidR="00F419A0" w:rsidRPr="008B5915" w:rsidRDefault="00F419A0" w:rsidP="00EB3EE6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1E4C9A93" w14:textId="4B0D97AE" w:rsidR="00EB3EE6" w:rsidRPr="008B5915" w:rsidRDefault="00EB3EE6" w:rsidP="00EB3EE6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proofErr w:type="spellStart"/>
      <w:r w:rsidRPr="008B5915">
        <w:rPr>
          <w:rFonts w:ascii="Arial" w:hAnsi="Arial" w:cs="Arial"/>
        </w:rPr>
        <w:t>StatSoft</w:t>
      </w:r>
      <w:proofErr w:type="spellEnd"/>
      <w:r w:rsidRPr="008B5915">
        <w:rPr>
          <w:rFonts w:ascii="Arial" w:hAnsi="Arial" w:cs="Arial"/>
        </w:rPr>
        <w:t>, Inc. (2013)</w:t>
      </w:r>
      <w:r w:rsidR="000537A5" w:rsidRPr="008B5915">
        <w:rPr>
          <w:rFonts w:ascii="Arial" w:hAnsi="Arial" w:cs="Arial"/>
        </w:rPr>
        <w:t>.</w:t>
      </w:r>
      <w:r w:rsidRPr="008B5915">
        <w:rPr>
          <w:rFonts w:ascii="Arial" w:hAnsi="Arial" w:cs="Arial"/>
          <w:i/>
        </w:rPr>
        <w:t xml:space="preserve"> Electronic </w:t>
      </w:r>
      <w:r w:rsidR="00F419A0" w:rsidRPr="008B5915">
        <w:rPr>
          <w:rFonts w:ascii="Arial" w:hAnsi="Arial" w:cs="Arial"/>
          <w:i/>
        </w:rPr>
        <w:t>statistics t</w:t>
      </w:r>
      <w:r w:rsidRPr="008B5915">
        <w:rPr>
          <w:rFonts w:ascii="Arial" w:hAnsi="Arial" w:cs="Arial"/>
          <w:i/>
        </w:rPr>
        <w:t xml:space="preserve">extbook </w:t>
      </w:r>
      <w:r w:rsidRPr="008B5915">
        <w:rPr>
          <w:rFonts w:ascii="Arial" w:hAnsi="Arial" w:cs="Arial"/>
        </w:rPr>
        <w:t>[online] available from &lt;</w:t>
      </w:r>
      <w:hyperlink r:id="rId8" w:history="1">
        <w:r w:rsidRPr="008B5915">
          <w:rPr>
            <w:rStyle w:val="Hyperlink"/>
            <w:rFonts w:ascii="Arial" w:hAnsi="Arial" w:cs="Arial"/>
            <w:color w:val="auto"/>
          </w:rPr>
          <w:t>http://www.statsoft.com/textbook</w:t>
        </w:r>
      </w:hyperlink>
      <w:r w:rsidRPr="008B5915">
        <w:rPr>
          <w:rFonts w:ascii="Arial" w:hAnsi="Arial" w:cs="Arial"/>
        </w:rPr>
        <w:t xml:space="preserve"> &gt; </w:t>
      </w:r>
    </w:p>
    <w:p w14:paraId="504CCEE6" w14:textId="77777777" w:rsidR="00E05BF5" w:rsidRPr="008B5915" w:rsidRDefault="00E05BF5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0F45502" w14:textId="2E249FDD" w:rsidR="00C52A75" w:rsidRPr="008B5915" w:rsidRDefault="008C3B43" w:rsidP="007E39C2">
      <w:pPr>
        <w:pStyle w:val="ListParagraph"/>
        <w:numPr>
          <w:ilvl w:val="0"/>
          <w:numId w:val="1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Learning and Teaching methods</w:t>
      </w:r>
    </w:p>
    <w:p w14:paraId="4DEC015A" w14:textId="77777777" w:rsidR="00D5454C" w:rsidRPr="00D5454C" w:rsidRDefault="00D5454C" w:rsidP="00D5454C">
      <w:pPr>
        <w:ind w:left="426"/>
        <w:jc w:val="both"/>
        <w:rPr>
          <w:rFonts w:ascii="Arial" w:hAnsi="Arial" w:cs="Arial"/>
          <w:iCs/>
        </w:rPr>
      </w:pPr>
      <w:r w:rsidRPr="00D5454C">
        <w:rPr>
          <w:rFonts w:ascii="Arial" w:hAnsi="Arial" w:cs="Arial"/>
          <w:iCs/>
        </w:rPr>
        <w:t>Contact hours: 24</w:t>
      </w:r>
    </w:p>
    <w:p w14:paraId="71FCBCF9" w14:textId="77777777" w:rsidR="00D5454C" w:rsidRPr="00D5454C" w:rsidRDefault="00D5454C" w:rsidP="00D5454C">
      <w:pPr>
        <w:ind w:left="426"/>
        <w:jc w:val="both"/>
        <w:rPr>
          <w:rFonts w:ascii="Arial" w:hAnsi="Arial" w:cs="Arial"/>
          <w:iCs/>
        </w:rPr>
      </w:pPr>
      <w:r w:rsidRPr="00D5454C">
        <w:rPr>
          <w:rFonts w:ascii="Arial" w:hAnsi="Arial" w:cs="Arial"/>
          <w:iCs/>
        </w:rPr>
        <w:t>Private study hours: 126</w:t>
      </w:r>
    </w:p>
    <w:p w14:paraId="0BD0C71E" w14:textId="59BE304C" w:rsidR="00454082" w:rsidRPr="008B5915" w:rsidRDefault="00D5454C" w:rsidP="00CD28E0">
      <w:pPr>
        <w:ind w:left="426"/>
        <w:jc w:val="both"/>
        <w:rPr>
          <w:rFonts w:ascii="Arial" w:hAnsi="Arial" w:cs="Arial"/>
          <w:highlight w:val="yellow"/>
        </w:rPr>
      </w:pPr>
      <w:r w:rsidRPr="00D5454C">
        <w:rPr>
          <w:rFonts w:ascii="Arial" w:hAnsi="Arial" w:cs="Arial"/>
          <w:iCs/>
        </w:rPr>
        <w:t>Total hours: 150</w:t>
      </w:r>
    </w:p>
    <w:p w14:paraId="63738923" w14:textId="77777777" w:rsidR="00454082" w:rsidRPr="008B5915" w:rsidRDefault="008C3B43" w:rsidP="006649D4">
      <w:pPr>
        <w:numPr>
          <w:ilvl w:val="0"/>
          <w:numId w:val="1"/>
        </w:numPr>
        <w:spacing w:after="0" w:line="240" w:lineRule="auto"/>
        <w:ind w:left="360" w:right="260" w:hanging="426"/>
        <w:rPr>
          <w:rFonts w:ascii="Arial" w:hAnsi="Arial" w:cs="Arial"/>
        </w:rPr>
      </w:pPr>
      <w:r w:rsidRPr="008B5915">
        <w:rPr>
          <w:rFonts w:ascii="Arial" w:hAnsi="Arial" w:cs="Arial"/>
          <w:b/>
        </w:rPr>
        <w:t>Assessment methods.</w:t>
      </w:r>
    </w:p>
    <w:p w14:paraId="2E504FCA" w14:textId="77777777" w:rsidR="00D5454C" w:rsidRP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D5454C">
        <w:rPr>
          <w:rFonts w:ascii="Arial" w:hAnsi="Arial" w:cs="Arial"/>
          <w:iCs/>
        </w:rPr>
        <w:t>13.1 Main Assessment methods</w:t>
      </w:r>
    </w:p>
    <w:p w14:paraId="5A11C8B4" w14:textId="5A8B10A1" w:rsidR="00D5454C" w:rsidRP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Examination</w:t>
      </w:r>
      <w:r w:rsidRPr="00D5454C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2 hours (6</w:t>
      </w:r>
      <w:r w:rsidRPr="00D5454C">
        <w:rPr>
          <w:rFonts w:ascii="Arial" w:hAnsi="Arial" w:cs="Arial"/>
          <w:iCs/>
        </w:rPr>
        <w:t>0%)</w:t>
      </w:r>
    </w:p>
    <w:p w14:paraId="774D96CD" w14:textId="7900CC3B" w:rsidR="00D5454C" w:rsidRP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Individual report, 3000 words</w:t>
      </w:r>
      <w:r w:rsidRPr="00D5454C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4</w:t>
      </w:r>
      <w:r w:rsidRPr="00D5454C">
        <w:rPr>
          <w:rFonts w:ascii="Arial" w:hAnsi="Arial" w:cs="Arial"/>
          <w:iCs/>
        </w:rPr>
        <w:t>0%)</w:t>
      </w:r>
    </w:p>
    <w:p w14:paraId="769F2883" w14:textId="77777777" w:rsidR="00D5454C" w:rsidRP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52E2151C" w14:textId="77777777" w:rsidR="00D5454C" w:rsidRP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D5454C">
        <w:rPr>
          <w:rFonts w:ascii="Arial" w:hAnsi="Arial" w:cs="Arial"/>
          <w:iCs/>
        </w:rPr>
        <w:t>13.2 Reassessment methods</w:t>
      </w:r>
    </w:p>
    <w:p w14:paraId="3E9CA865" w14:textId="529B3554" w:rsidR="00D5454C" w:rsidRDefault="00D5454C" w:rsidP="00D5454C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proofErr w:type="gramStart"/>
      <w:r w:rsidRPr="00D5454C">
        <w:rPr>
          <w:rFonts w:ascii="Arial" w:hAnsi="Arial" w:cs="Arial"/>
          <w:iCs/>
        </w:rPr>
        <w:t>100%</w:t>
      </w:r>
      <w:proofErr w:type="gramEnd"/>
      <w:r>
        <w:rPr>
          <w:rFonts w:ascii="Arial" w:hAnsi="Arial" w:cs="Arial"/>
          <w:iCs/>
        </w:rPr>
        <w:t xml:space="preserve"> examination</w:t>
      </w:r>
    </w:p>
    <w:p w14:paraId="39BC8F03" w14:textId="77777777" w:rsidR="00D5454C" w:rsidRDefault="00D5454C" w:rsidP="009947F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56921EDF" w14:textId="77777777" w:rsidR="008C3B43" w:rsidRPr="00CD28E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CD28E0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72"/>
        <w:gridCol w:w="782"/>
        <w:gridCol w:w="1058"/>
        <w:gridCol w:w="1058"/>
        <w:gridCol w:w="1058"/>
        <w:gridCol w:w="1056"/>
        <w:gridCol w:w="1058"/>
        <w:gridCol w:w="1058"/>
        <w:gridCol w:w="1056"/>
      </w:tblGrid>
      <w:tr w:rsidR="00D5454C" w:rsidRPr="008B5915" w14:paraId="1C6E3580" w14:textId="77777777" w:rsidTr="00CD28E0">
        <w:tc>
          <w:tcPr>
            <w:tcW w:w="1086" w:type="pct"/>
            <w:shd w:val="clear" w:color="auto" w:fill="D9D9D9" w:themeFill="background1" w:themeFillShade="D9"/>
          </w:tcPr>
          <w:p w14:paraId="3EB72335" w14:textId="77777777" w:rsidR="00D5454C" w:rsidRPr="008B5915" w:rsidRDefault="00D5454C" w:rsidP="007632E6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8B5915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74" w:type="pct"/>
          </w:tcPr>
          <w:p w14:paraId="18DFF331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06" w:type="pct"/>
          </w:tcPr>
          <w:p w14:paraId="62816D2D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06" w:type="pct"/>
          </w:tcPr>
          <w:p w14:paraId="1A46310A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06" w:type="pct"/>
          </w:tcPr>
          <w:p w14:paraId="11D4105F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05" w:type="pct"/>
          </w:tcPr>
          <w:p w14:paraId="0F84C7C9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06" w:type="pct"/>
          </w:tcPr>
          <w:p w14:paraId="73F11121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06" w:type="pct"/>
          </w:tcPr>
          <w:p w14:paraId="022B1827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06" w:type="pct"/>
          </w:tcPr>
          <w:p w14:paraId="4A4A38B4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i/>
              </w:rPr>
            </w:pPr>
            <w:r w:rsidRPr="008B5915">
              <w:rPr>
                <w:rFonts w:ascii="Arial" w:hAnsi="Arial" w:cs="Arial"/>
                <w:i/>
              </w:rPr>
              <w:t>9.4</w:t>
            </w:r>
          </w:p>
        </w:tc>
      </w:tr>
      <w:tr w:rsidR="00D5454C" w:rsidRPr="008B5915" w14:paraId="2C1B04F9" w14:textId="77777777" w:rsidTr="00CD28E0">
        <w:tc>
          <w:tcPr>
            <w:tcW w:w="1086" w:type="pct"/>
            <w:shd w:val="clear" w:color="auto" w:fill="D9D9D9" w:themeFill="background1" w:themeFillShade="D9"/>
          </w:tcPr>
          <w:p w14:paraId="4B072D64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  <w:r w:rsidRPr="008B5915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74" w:type="pct"/>
          </w:tcPr>
          <w:p w14:paraId="5E0313F7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3721C6AB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25CF6317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20194273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</w:tcPr>
          <w:p w14:paraId="0416E822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7DD41639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4C65798C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6BF4DEFA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5454C" w:rsidRPr="008B5915" w14:paraId="6A8C3F4F" w14:textId="77777777" w:rsidTr="00CD28E0">
        <w:tc>
          <w:tcPr>
            <w:tcW w:w="1086" w:type="pct"/>
          </w:tcPr>
          <w:p w14:paraId="239A8A84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</w:rPr>
            </w:pPr>
            <w:r w:rsidRPr="008B5915">
              <w:rPr>
                <w:rFonts w:ascii="Arial" w:hAnsi="Arial" w:cs="Arial"/>
              </w:rPr>
              <w:t>Lectures</w:t>
            </w:r>
          </w:p>
        </w:tc>
        <w:tc>
          <w:tcPr>
            <w:tcW w:w="374" w:type="pct"/>
          </w:tcPr>
          <w:p w14:paraId="4F2FBF69" w14:textId="3DA4B515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75CEFDA0" w14:textId="75B6033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20E4E534" w14:textId="37749BBD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0839BBF5" w14:textId="1B3BFF56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5" w:type="pct"/>
          </w:tcPr>
          <w:p w14:paraId="29EC6518" w14:textId="10F56391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6CEF214F" w14:textId="4595F98E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6" w:type="pct"/>
          </w:tcPr>
          <w:p w14:paraId="2CDDBA81" w14:textId="0DF4BA4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6" w:type="pct"/>
          </w:tcPr>
          <w:p w14:paraId="5148A26E" w14:textId="4C665C6E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5454C" w:rsidRPr="008B5915" w14:paraId="5465E6A2" w14:textId="77777777" w:rsidTr="00CD28E0">
        <w:tc>
          <w:tcPr>
            <w:tcW w:w="1086" w:type="pct"/>
          </w:tcPr>
          <w:p w14:paraId="2165A260" w14:textId="107C3233" w:rsidR="00D5454C" w:rsidRPr="008B5915" w:rsidRDefault="00D5454C" w:rsidP="007632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labs</w:t>
            </w:r>
          </w:p>
        </w:tc>
        <w:tc>
          <w:tcPr>
            <w:tcW w:w="374" w:type="pct"/>
          </w:tcPr>
          <w:p w14:paraId="1CEE2C94" w14:textId="64308B92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7830F571" w14:textId="687C0C46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0944DB6D" w14:textId="1386E55A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31A2A350" w14:textId="7683FDB9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5" w:type="pct"/>
          </w:tcPr>
          <w:p w14:paraId="47600F2D" w14:textId="206EF932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4B330664" w14:textId="79E12453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7F890A62" w14:textId="2AFCFDF2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47604C8F" w14:textId="02BB8C91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D5454C" w:rsidRPr="008B5915" w14:paraId="0B37AF9B" w14:textId="77777777" w:rsidTr="00CD28E0">
        <w:tc>
          <w:tcPr>
            <w:tcW w:w="1086" w:type="pct"/>
          </w:tcPr>
          <w:p w14:paraId="644DC923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</w:rPr>
            </w:pPr>
            <w:r w:rsidRPr="008B5915">
              <w:rPr>
                <w:rFonts w:ascii="Arial" w:hAnsi="Arial" w:cs="Arial"/>
              </w:rPr>
              <w:t>Independent study</w:t>
            </w:r>
          </w:p>
        </w:tc>
        <w:tc>
          <w:tcPr>
            <w:tcW w:w="374" w:type="pct"/>
          </w:tcPr>
          <w:p w14:paraId="4AF26640" w14:textId="4A789212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504984A2" w14:textId="4718260E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2F721D75" w14:textId="040714A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47E0ECD7" w14:textId="4642CDDB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5" w:type="pct"/>
          </w:tcPr>
          <w:p w14:paraId="1AEADE0F" w14:textId="7040494D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3F5592C8" w14:textId="6FEF7BE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50ECD860" w14:textId="56B1E54A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2935ACEC" w14:textId="3B3FF313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5915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D5454C" w:rsidRPr="008B5915" w14:paraId="7D45BB0E" w14:textId="77777777" w:rsidTr="00CD28E0">
        <w:tc>
          <w:tcPr>
            <w:tcW w:w="1086" w:type="pct"/>
            <w:shd w:val="clear" w:color="auto" w:fill="D9D9D9" w:themeFill="background1" w:themeFillShade="D9"/>
          </w:tcPr>
          <w:p w14:paraId="725886ED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  <w:r w:rsidRPr="008B5915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74" w:type="pct"/>
          </w:tcPr>
          <w:p w14:paraId="49EAFAB9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56A17827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0B8B4E0F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7A3E3969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5" w:type="pct"/>
          </w:tcPr>
          <w:p w14:paraId="402D788A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2B7628AA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6F02D620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06" w:type="pct"/>
          </w:tcPr>
          <w:p w14:paraId="5ADD77B1" w14:textId="7777777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5454C" w:rsidRPr="008B5915" w14:paraId="43746282" w14:textId="77777777" w:rsidTr="00CD28E0">
        <w:tc>
          <w:tcPr>
            <w:tcW w:w="1086" w:type="pct"/>
          </w:tcPr>
          <w:p w14:paraId="77260EA7" w14:textId="1B51CB7C" w:rsidR="00D5454C" w:rsidRPr="008B5915" w:rsidRDefault="00D5454C" w:rsidP="007632E6">
            <w:pPr>
              <w:spacing w:after="120"/>
              <w:rPr>
                <w:rFonts w:ascii="Arial" w:hAnsi="Arial" w:cs="Arial"/>
              </w:rPr>
            </w:pPr>
            <w:r w:rsidRPr="008B5915">
              <w:rPr>
                <w:rFonts w:ascii="Arial" w:hAnsi="Arial" w:cs="Arial"/>
              </w:rPr>
              <w:t>Individual written report (3,000 words)</w:t>
            </w:r>
          </w:p>
        </w:tc>
        <w:tc>
          <w:tcPr>
            <w:tcW w:w="374" w:type="pct"/>
          </w:tcPr>
          <w:p w14:paraId="3566D9C2" w14:textId="77FFFA9D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45BCB627" w14:textId="542F3EE5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73A4C55D" w14:textId="64B839A9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133480C4" w14:textId="473886F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5" w:type="pct"/>
          </w:tcPr>
          <w:p w14:paraId="603C9BF8" w14:textId="43F3C0C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10385EDA" w14:textId="4EFD03CC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5D9B77EF" w14:textId="334A55CE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3054E225" w14:textId="3A40235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D5454C" w:rsidRPr="008B5915" w14:paraId="7C4FC068" w14:textId="77777777" w:rsidTr="00CD28E0">
        <w:tc>
          <w:tcPr>
            <w:tcW w:w="1086" w:type="pct"/>
          </w:tcPr>
          <w:p w14:paraId="62F3F07D" w14:textId="37091832" w:rsidR="00D5454C" w:rsidRPr="008B5915" w:rsidRDefault="00D5454C" w:rsidP="007632E6">
            <w:pPr>
              <w:spacing w:after="120"/>
              <w:rPr>
                <w:rFonts w:ascii="Arial" w:hAnsi="Arial" w:cs="Arial"/>
              </w:rPr>
            </w:pPr>
            <w:r w:rsidRPr="008B5915">
              <w:rPr>
                <w:rFonts w:ascii="Arial" w:hAnsi="Arial" w:cs="Arial"/>
              </w:rPr>
              <w:t>Exam – two hours, unseen</w:t>
            </w:r>
          </w:p>
        </w:tc>
        <w:tc>
          <w:tcPr>
            <w:tcW w:w="374" w:type="pct"/>
          </w:tcPr>
          <w:p w14:paraId="00C3AA26" w14:textId="4FE3949A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6D6322C8" w14:textId="65D58EE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0F3A4E98" w14:textId="4260A6F2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6" w:type="pct"/>
          </w:tcPr>
          <w:p w14:paraId="4AE5C681" w14:textId="37C602A8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5" w:type="pct"/>
          </w:tcPr>
          <w:p w14:paraId="6BFD1FEC" w14:textId="6A4D6FC7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6" w:type="pct"/>
          </w:tcPr>
          <w:p w14:paraId="68BE9180" w14:textId="2CEBDA7E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71E0C393" w14:textId="6464C4EF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506" w:type="pct"/>
          </w:tcPr>
          <w:p w14:paraId="56BBC3B4" w14:textId="4AC16BDD" w:rsidR="00D5454C" w:rsidRPr="008B5915" w:rsidRDefault="00D5454C" w:rsidP="007632E6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A9544D4" w14:textId="77777777" w:rsidR="008C3B43" w:rsidRPr="008B5915" w:rsidRDefault="008C3B43" w:rsidP="008C3B43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6B7E33FB" w14:textId="77777777" w:rsidR="00657BB5" w:rsidRPr="008B5915" w:rsidRDefault="00657BB5" w:rsidP="00657BB5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iCs/>
        </w:rPr>
      </w:pPr>
      <w:r w:rsidRPr="008B5915">
        <w:rPr>
          <w:rFonts w:ascii="Arial" w:hAnsi="Arial" w:cs="Arial"/>
          <w:b/>
          <w:bCs/>
        </w:rPr>
        <w:t xml:space="preserve">Inclusive module design </w:t>
      </w:r>
    </w:p>
    <w:p w14:paraId="639D2283" w14:textId="77777777" w:rsidR="00657BB5" w:rsidRPr="008B5915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proofErr w:type="gramStart"/>
      <w:r w:rsidRPr="008B5915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8B5915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8B5915">
        <w:rPr>
          <w:rFonts w:ascii="Arial" w:hAnsi="Arial" w:cs="Arial"/>
        </w:rPr>
        <w:t>will be made</w:t>
      </w:r>
      <w:proofErr w:type="gramEnd"/>
      <w:r w:rsidRPr="008B5915">
        <w:rPr>
          <w:rFonts w:ascii="Arial" w:hAnsi="Arial" w:cs="Arial"/>
        </w:rPr>
        <w:t xml:space="preserve"> on an individual basis, in consultation with the relevant policies and support services.</w:t>
      </w:r>
    </w:p>
    <w:p w14:paraId="1E41DF06" w14:textId="77777777" w:rsidR="00657BB5" w:rsidRPr="008B5915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8B5915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8B5915">
        <w:rPr>
          <w:rFonts w:ascii="Arial" w:hAnsi="Arial" w:cs="Arial"/>
        </w:rPr>
        <w:t>have been considered</w:t>
      </w:r>
      <w:proofErr w:type="gramEnd"/>
      <w:r w:rsidRPr="008B5915">
        <w:rPr>
          <w:rFonts w:ascii="Arial" w:hAnsi="Arial" w:cs="Arial"/>
        </w:rPr>
        <w:t xml:space="preserve"> in order to support all students in the following areas:</w:t>
      </w:r>
    </w:p>
    <w:p w14:paraId="60159E14" w14:textId="77777777" w:rsidR="00657BB5" w:rsidRPr="008B5915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bCs/>
        </w:rPr>
      </w:pPr>
      <w:r w:rsidRPr="008B5915">
        <w:rPr>
          <w:rFonts w:ascii="Arial" w:hAnsi="Arial" w:cs="Arial"/>
        </w:rPr>
        <w:t xml:space="preserve">a) </w:t>
      </w:r>
      <w:r w:rsidRPr="008B5915">
        <w:rPr>
          <w:rFonts w:ascii="Arial" w:hAnsi="Arial" w:cs="Arial"/>
          <w:bCs/>
        </w:rPr>
        <w:t>Accessible resources and curriculum</w:t>
      </w:r>
    </w:p>
    <w:p w14:paraId="385E483F" w14:textId="77777777" w:rsidR="00657BB5" w:rsidRPr="008B5915" w:rsidRDefault="00657BB5" w:rsidP="00657BB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color w:val="000000"/>
        </w:rPr>
      </w:pPr>
      <w:r w:rsidRPr="008B5915">
        <w:rPr>
          <w:rFonts w:ascii="Arial" w:hAnsi="Arial" w:cs="Arial"/>
        </w:rPr>
        <w:t xml:space="preserve">b) </w:t>
      </w:r>
      <w:r w:rsidRPr="008B5915">
        <w:rPr>
          <w:rFonts w:ascii="Arial" w:hAnsi="Arial" w:cs="Arial"/>
          <w:bCs/>
        </w:rPr>
        <w:t>Learning, teaching and assessment methods</w:t>
      </w:r>
    </w:p>
    <w:p w14:paraId="561E7EBC" w14:textId="77777777" w:rsidR="008C3B43" w:rsidRPr="008B591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Campus(</w:t>
      </w:r>
      <w:proofErr w:type="spellStart"/>
      <w:r w:rsidRPr="008B5915">
        <w:rPr>
          <w:rFonts w:ascii="Arial" w:hAnsi="Arial" w:cs="Arial"/>
          <w:b/>
        </w:rPr>
        <w:t>es</w:t>
      </w:r>
      <w:proofErr w:type="spellEnd"/>
      <w:r w:rsidRPr="008B5915">
        <w:rPr>
          <w:rFonts w:ascii="Arial" w:hAnsi="Arial" w:cs="Arial"/>
          <w:b/>
        </w:rPr>
        <w:t>) or Centre(s) where module will be delivered:</w:t>
      </w:r>
    </w:p>
    <w:p w14:paraId="6AF0C7DD" w14:textId="77777777" w:rsidR="008C3B43" w:rsidRPr="008B5915" w:rsidRDefault="00DD7056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8B5915">
        <w:rPr>
          <w:rFonts w:ascii="Arial" w:hAnsi="Arial" w:cs="Arial"/>
          <w:iCs/>
        </w:rPr>
        <w:t>Medway</w:t>
      </w:r>
    </w:p>
    <w:p w14:paraId="030A17AA" w14:textId="77777777" w:rsidR="004440AC" w:rsidRPr="008B5915" w:rsidRDefault="004440AC" w:rsidP="004440AC">
      <w:pPr>
        <w:numPr>
          <w:ilvl w:val="0"/>
          <w:numId w:val="1"/>
        </w:numPr>
        <w:spacing w:after="120" w:line="240" w:lineRule="auto"/>
        <w:ind w:left="425" w:right="261" w:hanging="426"/>
        <w:jc w:val="both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 xml:space="preserve">Internationalisation </w:t>
      </w:r>
    </w:p>
    <w:p w14:paraId="353A9499" w14:textId="4D3EFA07" w:rsidR="004440AC" w:rsidRPr="008B5915" w:rsidRDefault="004440AC" w:rsidP="004440AC">
      <w:pPr>
        <w:autoSpaceDE w:val="0"/>
        <w:autoSpaceDN w:val="0"/>
        <w:adjustRightInd w:val="0"/>
        <w:spacing w:after="120" w:line="240" w:lineRule="auto"/>
        <w:ind w:left="425" w:right="261"/>
        <w:jc w:val="both"/>
        <w:rPr>
          <w:rFonts w:ascii="Arial" w:hAnsi="Arial" w:cs="Arial"/>
          <w:lang w:val="en"/>
        </w:rPr>
      </w:pPr>
      <w:r w:rsidRPr="008B5915">
        <w:rPr>
          <w:rFonts w:ascii="Arial" w:hAnsi="Arial" w:cs="Arial"/>
        </w:rPr>
        <w:t xml:space="preserve">Examples of international contexts and organisations </w:t>
      </w:r>
      <w:proofErr w:type="gramStart"/>
      <w:r w:rsidRPr="008B5915">
        <w:rPr>
          <w:rFonts w:ascii="Arial" w:hAnsi="Arial" w:cs="Arial"/>
        </w:rPr>
        <w:t>will be used</w:t>
      </w:r>
      <w:proofErr w:type="gramEnd"/>
      <w:r w:rsidRPr="008B5915">
        <w:rPr>
          <w:rFonts w:ascii="Arial" w:hAnsi="Arial" w:cs="Arial"/>
        </w:rPr>
        <w:t xml:space="preserve"> where applicable to illustrate the subject content. </w:t>
      </w:r>
    </w:p>
    <w:p w14:paraId="23638222" w14:textId="77777777" w:rsidR="008C3B43" w:rsidRPr="008B5915" w:rsidRDefault="008C3B43" w:rsidP="006649D4">
      <w:pPr>
        <w:rPr>
          <w:rFonts w:ascii="Arial" w:hAnsi="Arial" w:cs="Arial"/>
          <w:iCs/>
        </w:rPr>
      </w:pPr>
    </w:p>
    <w:p w14:paraId="3B8426F2" w14:textId="77777777" w:rsidR="008C3B43" w:rsidRPr="008B5915" w:rsidRDefault="008C3B43" w:rsidP="008C3B43">
      <w:pPr>
        <w:spacing w:after="120" w:line="240" w:lineRule="auto"/>
        <w:ind w:right="260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 xml:space="preserve">FACULTIES SUPPORT OFFICE USE ONLY </w:t>
      </w:r>
    </w:p>
    <w:p w14:paraId="57D6EE86" w14:textId="77777777" w:rsidR="008C3B43" w:rsidRPr="008B5915" w:rsidRDefault="008C3B43" w:rsidP="008C3B43">
      <w:pPr>
        <w:spacing w:after="120" w:line="240" w:lineRule="auto"/>
        <w:ind w:right="260"/>
        <w:rPr>
          <w:rFonts w:ascii="Arial" w:hAnsi="Arial" w:cs="Arial"/>
          <w:b/>
        </w:rPr>
      </w:pPr>
      <w:r w:rsidRPr="008B5915">
        <w:rPr>
          <w:rFonts w:ascii="Arial" w:hAnsi="Arial" w:cs="Arial"/>
          <w:b/>
        </w:rPr>
        <w:t>Revision record – all revisions must be recorded in the grid and full details of the change retained in the appropriate committee records.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8C3B43" w:rsidRPr="00BA453C" w14:paraId="1157C022" w14:textId="77777777" w:rsidTr="007632E6">
        <w:trPr>
          <w:trHeight w:val="317"/>
        </w:trPr>
        <w:tc>
          <w:tcPr>
            <w:tcW w:w="1526" w:type="dxa"/>
          </w:tcPr>
          <w:p w14:paraId="13CD725E" w14:textId="77777777" w:rsidR="008C3B43" w:rsidRPr="00BA453C" w:rsidRDefault="008C3B43" w:rsidP="007632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559" w:type="dxa"/>
          </w:tcPr>
          <w:p w14:paraId="4BA93606" w14:textId="77777777" w:rsidR="008C3B43" w:rsidRPr="00BA453C" w:rsidRDefault="008C3B43" w:rsidP="007632E6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358A4EA9" w14:textId="77777777" w:rsidR="008C3B43" w:rsidRPr="00BA453C" w:rsidRDefault="008C3B43" w:rsidP="007632E6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15F87201" w14:textId="77777777" w:rsidR="008C3B43" w:rsidRPr="00BA453C" w:rsidRDefault="008C3B43" w:rsidP="007632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73A4436" w14:textId="77777777" w:rsidR="008C3B43" w:rsidRPr="00BA453C" w:rsidRDefault="008C3B43" w:rsidP="007632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PLOs( Q6&amp;7 cover sheet)</w:t>
            </w:r>
          </w:p>
        </w:tc>
      </w:tr>
      <w:tr w:rsidR="008C3B43" w:rsidRPr="00302082" w14:paraId="3D745AF8" w14:textId="77777777" w:rsidTr="007632E6">
        <w:trPr>
          <w:trHeight w:val="305"/>
        </w:trPr>
        <w:tc>
          <w:tcPr>
            <w:tcW w:w="1526" w:type="dxa"/>
          </w:tcPr>
          <w:p w14:paraId="6E729D35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05F7AF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5FBD11D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28920587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4EAC42B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8C3B43" w:rsidRPr="00302082" w14:paraId="6F97CF8C" w14:textId="77777777" w:rsidTr="007632E6">
        <w:trPr>
          <w:trHeight w:val="305"/>
        </w:trPr>
        <w:tc>
          <w:tcPr>
            <w:tcW w:w="1526" w:type="dxa"/>
          </w:tcPr>
          <w:p w14:paraId="33D2C286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7D4DC5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D1D5628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7F2355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D7B55D0" w14:textId="77777777" w:rsidR="008C3B43" w:rsidRPr="00302082" w:rsidRDefault="008C3B43" w:rsidP="007632E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E021689" w14:textId="77777777" w:rsidR="008C3B43" w:rsidRPr="00302082" w:rsidRDefault="008C3B43" w:rsidP="008C3B43">
      <w:pPr>
        <w:spacing w:after="120" w:line="240" w:lineRule="auto"/>
        <w:ind w:right="-330"/>
        <w:rPr>
          <w:rFonts w:ascii="Arial" w:hAnsi="Arial" w:cs="Arial"/>
        </w:rPr>
      </w:pPr>
    </w:p>
    <w:p w14:paraId="2127562B" w14:textId="77777777" w:rsidR="00D83563" w:rsidRPr="00302082" w:rsidRDefault="00D83563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sectPr w:rsidR="00D83563" w:rsidRPr="00302082" w:rsidSect="00B213D2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86CA" w14:textId="77777777" w:rsidR="007E27B2" w:rsidRDefault="007E27B2" w:rsidP="009A2D37">
      <w:pPr>
        <w:spacing w:after="0" w:line="240" w:lineRule="auto"/>
      </w:pPr>
      <w:r>
        <w:separator/>
      </w:r>
    </w:p>
  </w:endnote>
  <w:endnote w:type="continuationSeparator" w:id="0">
    <w:p w14:paraId="116E2546" w14:textId="77777777" w:rsidR="007E27B2" w:rsidRDefault="007E27B2" w:rsidP="009A2D37">
      <w:pPr>
        <w:spacing w:after="0" w:line="240" w:lineRule="auto"/>
      </w:pPr>
      <w:r>
        <w:continuationSeparator/>
      </w:r>
    </w:p>
  </w:endnote>
  <w:endnote w:type="continuationNotice" w:id="1">
    <w:p w14:paraId="7FB05124" w14:textId="77777777" w:rsidR="007E27B2" w:rsidRDefault="007E2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Athelas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C96D2EE" w14:textId="6B3561A1" w:rsidR="0084758E" w:rsidRDefault="0084758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8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26C3CF" w14:textId="7A3B55AD" w:rsidR="0084758E" w:rsidRPr="007B7724" w:rsidRDefault="0084758E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6C3857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BAC9D" w14:textId="77777777" w:rsidR="007E27B2" w:rsidRDefault="007E27B2" w:rsidP="009A2D37">
      <w:pPr>
        <w:spacing w:after="0" w:line="240" w:lineRule="auto"/>
      </w:pPr>
      <w:r>
        <w:separator/>
      </w:r>
    </w:p>
  </w:footnote>
  <w:footnote w:type="continuationSeparator" w:id="0">
    <w:p w14:paraId="1EA51F3B" w14:textId="77777777" w:rsidR="007E27B2" w:rsidRDefault="007E27B2" w:rsidP="009A2D37">
      <w:pPr>
        <w:spacing w:after="0" w:line="240" w:lineRule="auto"/>
      </w:pPr>
      <w:r>
        <w:continuationSeparator/>
      </w:r>
    </w:p>
  </w:footnote>
  <w:footnote w:type="continuationNotice" w:id="1">
    <w:p w14:paraId="40710E00" w14:textId="77777777" w:rsidR="007E27B2" w:rsidRDefault="007E27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C19C" w14:textId="77777777" w:rsidR="0084758E" w:rsidRPr="0075408A" w:rsidRDefault="0084758E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AE3A824" wp14:editId="3AB64B9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78866F1" w14:textId="77777777" w:rsidR="0084758E" w:rsidRPr="008C00F8" w:rsidRDefault="0084758E" w:rsidP="005E6D38">
    <w:pPr>
      <w:pStyle w:val="Heading1"/>
      <w:spacing w:before="60" w:after="60"/>
      <w:rPr>
        <w:rFonts w:ascii="Arial" w:hAnsi="Arial" w:cs="Arial"/>
      </w:rPr>
    </w:pPr>
  </w:p>
  <w:p w14:paraId="46E2339F" w14:textId="77777777" w:rsidR="0084758E" w:rsidRDefault="00847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77A3" w14:textId="6CAEA934" w:rsidR="0084758E" w:rsidRPr="0075408A" w:rsidRDefault="0084758E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E7DAF19" wp14:editId="36B33F7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4D68EB7" w14:textId="77777777" w:rsidR="0084758E" w:rsidRPr="000F7FBF" w:rsidRDefault="0084758E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4190D"/>
    <w:multiLevelType w:val="hybridMultilevel"/>
    <w:tmpl w:val="8CA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BBF05C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CBE32BA"/>
    <w:multiLevelType w:val="hybridMultilevel"/>
    <w:tmpl w:val="786433BC"/>
    <w:lvl w:ilvl="0" w:tplc="59A22BA2">
      <w:start w:val="1"/>
      <w:numFmt w:val="decimal"/>
      <w:pStyle w:val="BullettedTitled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04A09"/>
    <w:multiLevelType w:val="hybridMultilevel"/>
    <w:tmpl w:val="142AE71C"/>
    <w:lvl w:ilvl="0" w:tplc="389C1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845F2"/>
    <w:multiLevelType w:val="hybridMultilevel"/>
    <w:tmpl w:val="34E0076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686A3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E006CA"/>
    <w:multiLevelType w:val="hybridMultilevel"/>
    <w:tmpl w:val="4C2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61F60"/>
    <w:multiLevelType w:val="hybridMultilevel"/>
    <w:tmpl w:val="A55E8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380B"/>
    <w:rsid w:val="00045373"/>
    <w:rsid w:val="000537A5"/>
    <w:rsid w:val="00063A2F"/>
    <w:rsid w:val="000678D3"/>
    <w:rsid w:val="00094810"/>
    <w:rsid w:val="000C0294"/>
    <w:rsid w:val="000C7A1C"/>
    <w:rsid w:val="000D2A8A"/>
    <w:rsid w:val="000D32AC"/>
    <w:rsid w:val="000E20C1"/>
    <w:rsid w:val="000E3B73"/>
    <w:rsid w:val="000F0EB7"/>
    <w:rsid w:val="000F20A9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41C4D"/>
    <w:rsid w:val="001540CE"/>
    <w:rsid w:val="0015717B"/>
    <w:rsid w:val="00157237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272"/>
    <w:rsid w:val="001D0C7D"/>
    <w:rsid w:val="001D1F2D"/>
    <w:rsid w:val="001D2314"/>
    <w:rsid w:val="001D6398"/>
    <w:rsid w:val="001D6B1D"/>
    <w:rsid w:val="001D75D8"/>
    <w:rsid w:val="001E1F45"/>
    <w:rsid w:val="001E62C1"/>
    <w:rsid w:val="001F0779"/>
    <w:rsid w:val="001F23BA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764DD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3248"/>
    <w:rsid w:val="002B71F2"/>
    <w:rsid w:val="002C678E"/>
    <w:rsid w:val="002E71C0"/>
    <w:rsid w:val="002F05F4"/>
    <w:rsid w:val="002F0CE4"/>
    <w:rsid w:val="002F23EF"/>
    <w:rsid w:val="002F2626"/>
    <w:rsid w:val="00302082"/>
    <w:rsid w:val="00306620"/>
    <w:rsid w:val="00310F46"/>
    <w:rsid w:val="003262B9"/>
    <w:rsid w:val="00334A02"/>
    <w:rsid w:val="00335875"/>
    <w:rsid w:val="00335FBE"/>
    <w:rsid w:val="003526DA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193A"/>
    <w:rsid w:val="003934D2"/>
    <w:rsid w:val="00396B1E"/>
    <w:rsid w:val="003973A1"/>
    <w:rsid w:val="003A4789"/>
    <w:rsid w:val="003A5DA0"/>
    <w:rsid w:val="003A5EEB"/>
    <w:rsid w:val="003A6143"/>
    <w:rsid w:val="003B35F4"/>
    <w:rsid w:val="003B7C76"/>
    <w:rsid w:val="003C3E0C"/>
    <w:rsid w:val="003C4B36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C2B"/>
    <w:rsid w:val="00423D86"/>
    <w:rsid w:val="00424C90"/>
    <w:rsid w:val="00436BE9"/>
    <w:rsid w:val="00441E76"/>
    <w:rsid w:val="004440AC"/>
    <w:rsid w:val="004443DA"/>
    <w:rsid w:val="00446A75"/>
    <w:rsid w:val="004474A2"/>
    <w:rsid w:val="00454082"/>
    <w:rsid w:val="00460925"/>
    <w:rsid w:val="004639C1"/>
    <w:rsid w:val="00471C6C"/>
    <w:rsid w:val="00472023"/>
    <w:rsid w:val="0047240B"/>
    <w:rsid w:val="0048495E"/>
    <w:rsid w:val="00486993"/>
    <w:rsid w:val="00492DA4"/>
    <w:rsid w:val="00496AA3"/>
    <w:rsid w:val="00497C98"/>
    <w:rsid w:val="004A39D7"/>
    <w:rsid w:val="004A5223"/>
    <w:rsid w:val="004A55FA"/>
    <w:rsid w:val="004B5D03"/>
    <w:rsid w:val="004C1EC4"/>
    <w:rsid w:val="004C4DA4"/>
    <w:rsid w:val="004D035C"/>
    <w:rsid w:val="004E6EBB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34C4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6887"/>
    <w:rsid w:val="005D7CD0"/>
    <w:rsid w:val="005E1A3A"/>
    <w:rsid w:val="005E6ADC"/>
    <w:rsid w:val="005E6D10"/>
    <w:rsid w:val="005E6D38"/>
    <w:rsid w:val="005E7B3F"/>
    <w:rsid w:val="005F040F"/>
    <w:rsid w:val="005F2C42"/>
    <w:rsid w:val="005F2D22"/>
    <w:rsid w:val="006043FC"/>
    <w:rsid w:val="006050CF"/>
    <w:rsid w:val="006077CD"/>
    <w:rsid w:val="006253AA"/>
    <w:rsid w:val="00626023"/>
    <w:rsid w:val="00633150"/>
    <w:rsid w:val="00635CA1"/>
    <w:rsid w:val="00636254"/>
    <w:rsid w:val="00637A50"/>
    <w:rsid w:val="00641D6D"/>
    <w:rsid w:val="0064364E"/>
    <w:rsid w:val="006438F3"/>
    <w:rsid w:val="006456D4"/>
    <w:rsid w:val="00647907"/>
    <w:rsid w:val="00651A82"/>
    <w:rsid w:val="006525E9"/>
    <w:rsid w:val="00652D67"/>
    <w:rsid w:val="00656C05"/>
    <w:rsid w:val="00657BB5"/>
    <w:rsid w:val="006649D4"/>
    <w:rsid w:val="0066747B"/>
    <w:rsid w:val="006725EC"/>
    <w:rsid w:val="00674ED0"/>
    <w:rsid w:val="00682650"/>
    <w:rsid w:val="00683609"/>
    <w:rsid w:val="00684851"/>
    <w:rsid w:val="00694309"/>
    <w:rsid w:val="00695285"/>
    <w:rsid w:val="006A5EA2"/>
    <w:rsid w:val="006A6BB4"/>
    <w:rsid w:val="006A7FB0"/>
    <w:rsid w:val="006C2A9A"/>
    <w:rsid w:val="006C2BE5"/>
    <w:rsid w:val="006C3857"/>
    <w:rsid w:val="006C423D"/>
    <w:rsid w:val="006C46EF"/>
    <w:rsid w:val="006C4C67"/>
    <w:rsid w:val="006C7C3C"/>
    <w:rsid w:val="006D13C0"/>
    <w:rsid w:val="006D2DB4"/>
    <w:rsid w:val="006D41AB"/>
    <w:rsid w:val="006D444F"/>
    <w:rsid w:val="006D6C91"/>
    <w:rsid w:val="006F1A15"/>
    <w:rsid w:val="006F3F8B"/>
    <w:rsid w:val="00700488"/>
    <w:rsid w:val="00703404"/>
    <w:rsid w:val="00703F92"/>
    <w:rsid w:val="00704637"/>
    <w:rsid w:val="007105E4"/>
    <w:rsid w:val="00712488"/>
    <w:rsid w:val="00714EE5"/>
    <w:rsid w:val="00720270"/>
    <w:rsid w:val="00722AAB"/>
    <w:rsid w:val="00724362"/>
    <w:rsid w:val="00727780"/>
    <w:rsid w:val="0073792C"/>
    <w:rsid w:val="00754069"/>
    <w:rsid w:val="007632E6"/>
    <w:rsid w:val="007667DF"/>
    <w:rsid w:val="00767074"/>
    <w:rsid w:val="0077080B"/>
    <w:rsid w:val="00787070"/>
    <w:rsid w:val="007906FD"/>
    <w:rsid w:val="00797197"/>
    <w:rsid w:val="007972A7"/>
    <w:rsid w:val="007A2BA2"/>
    <w:rsid w:val="007A42CC"/>
    <w:rsid w:val="007A6245"/>
    <w:rsid w:val="007B1DB2"/>
    <w:rsid w:val="007B375B"/>
    <w:rsid w:val="007B412A"/>
    <w:rsid w:val="007B635E"/>
    <w:rsid w:val="007B7724"/>
    <w:rsid w:val="007B7CDC"/>
    <w:rsid w:val="007C1119"/>
    <w:rsid w:val="007C74B4"/>
    <w:rsid w:val="007E25F1"/>
    <w:rsid w:val="007E27B2"/>
    <w:rsid w:val="007E3412"/>
    <w:rsid w:val="007E39C2"/>
    <w:rsid w:val="007F393D"/>
    <w:rsid w:val="008029AF"/>
    <w:rsid w:val="00802FFA"/>
    <w:rsid w:val="00806D54"/>
    <w:rsid w:val="008102E5"/>
    <w:rsid w:val="008111B4"/>
    <w:rsid w:val="008133F0"/>
    <w:rsid w:val="00815880"/>
    <w:rsid w:val="0082322C"/>
    <w:rsid w:val="00823942"/>
    <w:rsid w:val="00827FFD"/>
    <w:rsid w:val="0084758E"/>
    <w:rsid w:val="00847E45"/>
    <w:rsid w:val="00851AF6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B5915"/>
    <w:rsid w:val="008C3B43"/>
    <w:rsid w:val="008C3C2E"/>
    <w:rsid w:val="008D7401"/>
    <w:rsid w:val="008F2474"/>
    <w:rsid w:val="008F4A04"/>
    <w:rsid w:val="00903DF6"/>
    <w:rsid w:val="0091531C"/>
    <w:rsid w:val="00921CF6"/>
    <w:rsid w:val="00924EF0"/>
    <w:rsid w:val="00926C4F"/>
    <w:rsid w:val="00934D7B"/>
    <w:rsid w:val="00947180"/>
    <w:rsid w:val="009567BE"/>
    <w:rsid w:val="009676FA"/>
    <w:rsid w:val="009679E0"/>
    <w:rsid w:val="00977632"/>
    <w:rsid w:val="00982A8E"/>
    <w:rsid w:val="00987DB4"/>
    <w:rsid w:val="009947F7"/>
    <w:rsid w:val="00996204"/>
    <w:rsid w:val="009A26CB"/>
    <w:rsid w:val="009A2BC2"/>
    <w:rsid w:val="009A2D37"/>
    <w:rsid w:val="009A7587"/>
    <w:rsid w:val="009B0A69"/>
    <w:rsid w:val="009C2474"/>
    <w:rsid w:val="009C5F26"/>
    <w:rsid w:val="009C7082"/>
    <w:rsid w:val="009C7A4C"/>
    <w:rsid w:val="009D0006"/>
    <w:rsid w:val="009D068C"/>
    <w:rsid w:val="009D5DEB"/>
    <w:rsid w:val="009F3A2A"/>
    <w:rsid w:val="009F731F"/>
    <w:rsid w:val="00A021FE"/>
    <w:rsid w:val="00A1270E"/>
    <w:rsid w:val="00A15342"/>
    <w:rsid w:val="00A218DF"/>
    <w:rsid w:val="00A3007E"/>
    <w:rsid w:val="00A32048"/>
    <w:rsid w:val="00A40758"/>
    <w:rsid w:val="00A41F06"/>
    <w:rsid w:val="00A50FD4"/>
    <w:rsid w:val="00A5175D"/>
    <w:rsid w:val="00A52DB4"/>
    <w:rsid w:val="00A618E1"/>
    <w:rsid w:val="00A629B9"/>
    <w:rsid w:val="00A676B0"/>
    <w:rsid w:val="00A70C20"/>
    <w:rsid w:val="00A7175C"/>
    <w:rsid w:val="00A74292"/>
    <w:rsid w:val="00A776DE"/>
    <w:rsid w:val="00A80640"/>
    <w:rsid w:val="00A87FFD"/>
    <w:rsid w:val="00A95FEE"/>
    <w:rsid w:val="00A97038"/>
    <w:rsid w:val="00AA03F8"/>
    <w:rsid w:val="00AA3C15"/>
    <w:rsid w:val="00AA6330"/>
    <w:rsid w:val="00AC1183"/>
    <w:rsid w:val="00AC7501"/>
    <w:rsid w:val="00AD748B"/>
    <w:rsid w:val="00AE4865"/>
    <w:rsid w:val="00AF50EE"/>
    <w:rsid w:val="00B0591D"/>
    <w:rsid w:val="00B13402"/>
    <w:rsid w:val="00B14BC2"/>
    <w:rsid w:val="00B157B8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31D8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A5FD0"/>
    <w:rsid w:val="00BB2A6D"/>
    <w:rsid w:val="00BB4189"/>
    <w:rsid w:val="00BC19F7"/>
    <w:rsid w:val="00BC41ED"/>
    <w:rsid w:val="00BD009E"/>
    <w:rsid w:val="00BD0EF8"/>
    <w:rsid w:val="00BD5FFE"/>
    <w:rsid w:val="00BD7A8C"/>
    <w:rsid w:val="00BE2126"/>
    <w:rsid w:val="00BE3B17"/>
    <w:rsid w:val="00BF4EB7"/>
    <w:rsid w:val="00BF51AB"/>
    <w:rsid w:val="00BF716B"/>
    <w:rsid w:val="00BF7233"/>
    <w:rsid w:val="00C02AA2"/>
    <w:rsid w:val="00C04C95"/>
    <w:rsid w:val="00C0530C"/>
    <w:rsid w:val="00C12613"/>
    <w:rsid w:val="00C12D50"/>
    <w:rsid w:val="00C16DEF"/>
    <w:rsid w:val="00C2492F"/>
    <w:rsid w:val="00C3744A"/>
    <w:rsid w:val="00C4002A"/>
    <w:rsid w:val="00C46912"/>
    <w:rsid w:val="00C52A75"/>
    <w:rsid w:val="00C612A8"/>
    <w:rsid w:val="00C67631"/>
    <w:rsid w:val="00C729D7"/>
    <w:rsid w:val="00C83354"/>
    <w:rsid w:val="00C84004"/>
    <w:rsid w:val="00C843F6"/>
    <w:rsid w:val="00C84507"/>
    <w:rsid w:val="00C862C7"/>
    <w:rsid w:val="00CA14F9"/>
    <w:rsid w:val="00CA3254"/>
    <w:rsid w:val="00CB11CE"/>
    <w:rsid w:val="00CC25A2"/>
    <w:rsid w:val="00CC3886"/>
    <w:rsid w:val="00CC5704"/>
    <w:rsid w:val="00CD28E0"/>
    <w:rsid w:val="00CD7F07"/>
    <w:rsid w:val="00CE04F3"/>
    <w:rsid w:val="00CE12D8"/>
    <w:rsid w:val="00CE4574"/>
    <w:rsid w:val="00CE70E6"/>
    <w:rsid w:val="00CF2E1E"/>
    <w:rsid w:val="00CF2EF7"/>
    <w:rsid w:val="00D002DA"/>
    <w:rsid w:val="00D02E99"/>
    <w:rsid w:val="00D13357"/>
    <w:rsid w:val="00D13A13"/>
    <w:rsid w:val="00D2689A"/>
    <w:rsid w:val="00D5454C"/>
    <w:rsid w:val="00D65506"/>
    <w:rsid w:val="00D773CF"/>
    <w:rsid w:val="00D83563"/>
    <w:rsid w:val="00D8448F"/>
    <w:rsid w:val="00DA64B6"/>
    <w:rsid w:val="00DB5C9D"/>
    <w:rsid w:val="00DC2041"/>
    <w:rsid w:val="00DD02E6"/>
    <w:rsid w:val="00DD7056"/>
    <w:rsid w:val="00DD741A"/>
    <w:rsid w:val="00DF665B"/>
    <w:rsid w:val="00E0152A"/>
    <w:rsid w:val="00E03394"/>
    <w:rsid w:val="00E05BF5"/>
    <w:rsid w:val="00E066E5"/>
    <w:rsid w:val="00E11F8D"/>
    <w:rsid w:val="00E20E1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9185F"/>
    <w:rsid w:val="00EA548B"/>
    <w:rsid w:val="00EB1C2D"/>
    <w:rsid w:val="00EB3EE6"/>
    <w:rsid w:val="00EC1810"/>
    <w:rsid w:val="00EC3FCC"/>
    <w:rsid w:val="00ED32FF"/>
    <w:rsid w:val="00EF039B"/>
    <w:rsid w:val="00EF4933"/>
    <w:rsid w:val="00EF5044"/>
    <w:rsid w:val="00EF784B"/>
    <w:rsid w:val="00F01956"/>
    <w:rsid w:val="00F116CE"/>
    <w:rsid w:val="00F176DE"/>
    <w:rsid w:val="00F207FF"/>
    <w:rsid w:val="00F21C47"/>
    <w:rsid w:val="00F244E2"/>
    <w:rsid w:val="00F340DE"/>
    <w:rsid w:val="00F419A0"/>
    <w:rsid w:val="00F43542"/>
    <w:rsid w:val="00F527CB"/>
    <w:rsid w:val="00F562AA"/>
    <w:rsid w:val="00F7105A"/>
    <w:rsid w:val="00F72A67"/>
    <w:rsid w:val="00F77676"/>
    <w:rsid w:val="00F8197C"/>
    <w:rsid w:val="00F82B4E"/>
    <w:rsid w:val="00F82EFF"/>
    <w:rsid w:val="00F87559"/>
    <w:rsid w:val="00F96D71"/>
    <w:rsid w:val="00F97C9E"/>
    <w:rsid w:val="00FA20DE"/>
    <w:rsid w:val="00FA21D8"/>
    <w:rsid w:val="00FA4EE8"/>
    <w:rsid w:val="00FB12CA"/>
    <w:rsid w:val="00FB36EC"/>
    <w:rsid w:val="00FB4E1B"/>
    <w:rsid w:val="00FC0291"/>
    <w:rsid w:val="00FC1C92"/>
    <w:rsid w:val="00FD1D80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CD3AA2"/>
  <w15:docId w15:val="{56D3338B-AFEC-4F5B-A415-351C5163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ullettedTitled">
    <w:name w:val="Bulletted Titled"/>
    <w:basedOn w:val="Normal"/>
    <w:rsid w:val="008C3B43"/>
    <w:pPr>
      <w:numPr>
        <w:numId w:val="11"/>
      </w:numPr>
      <w:spacing w:after="0" w:line="240" w:lineRule="auto"/>
    </w:pPr>
    <w:rPr>
      <w:rFonts w:ascii="Gill Alt One MT" w:eastAsia="Times New Roman" w:hAnsi="Gill Alt One MT" w:cs="Times New Roman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E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83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861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oft.com/textbo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9A265-870B-42E7-AE1B-0C1E993DB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70F58-3843-4D6B-9111-5744731B9894}"/>
</file>

<file path=customXml/itemProps3.xml><?xml version="1.0" encoding="utf-8"?>
<ds:datastoreItem xmlns:ds="http://schemas.openxmlformats.org/officeDocument/2006/customXml" ds:itemID="{21EC9A72-B15D-4F63-A2E9-9B04066336C5}"/>
</file>

<file path=customXml/itemProps4.xml><?xml version="1.0" encoding="utf-8"?>
<ds:datastoreItem xmlns:ds="http://schemas.openxmlformats.org/officeDocument/2006/customXml" ds:itemID="{71229A57-1A1A-4015-8959-F436287B2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Sarah Collins</cp:lastModifiedBy>
  <cp:revision>3</cp:revision>
  <cp:lastPrinted>2017-10-24T09:50:00Z</cp:lastPrinted>
  <dcterms:created xsi:type="dcterms:W3CDTF">2019-07-22T12:30:00Z</dcterms:created>
  <dcterms:modified xsi:type="dcterms:W3CDTF">2019-07-22T12:30:00Z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