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F027"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14:paraId="21DDB7E6" w14:textId="1E61578C" w:rsidR="009A2D37" w:rsidRDefault="007D3D91" w:rsidP="00FC293B">
      <w:pPr>
        <w:spacing w:after="120" w:line="240" w:lineRule="auto"/>
        <w:ind w:left="426" w:right="260"/>
        <w:contextualSpacing/>
        <w:jc w:val="both"/>
        <w:rPr>
          <w:rFonts w:ascii="Arial" w:hAnsi="Arial" w:cs="Arial"/>
        </w:rPr>
      </w:pPr>
      <w:r>
        <w:rPr>
          <w:rFonts w:ascii="Arial" w:hAnsi="Arial" w:cs="Arial"/>
        </w:rPr>
        <w:t>BUS</w:t>
      </w:r>
      <w:r w:rsidR="00F2410B">
        <w:rPr>
          <w:rFonts w:ascii="Arial" w:hAnsi="Arial" w:cs="Arial"/>
        </w:rPr>
        <w:t>N</w:t>
      </w:r>
      <w:r>
        <w:rPr>
          <w:rFonts w:ascii="Arial" w:hAnsi="Arial" w:cs="Arial"/>
        </w:rPr>
        <w:t xml:space="preserve">7740 (CB774): </w:t>
      </w:r>
      <w:r w:rsidR="00D95137">
        <w:rPr>
          <w:rFonts w:ascii="Arial" w:hAnsi="Arial" w:cs="Arial"/>
        </w:rPr>
        <w:t>International Banking</w:t>
      </w:r>
    </w:p>
    <w:p w14:paraId="176863DD" w14:textId="77777777" w:rsidR="00267AC7" w:rsidRPr="00530970" w:rsidRDefault="00267AC7" w:rsidP="00FC293B">
      <w:pPr>
        <w:spacing w:after="120" w:line="240" w:lineRule="auto"/>
        <w:ind w:left="426" w:right="260"/>
        <w:contextualSpacing/>
        <w:jc w:val="both"/>
        <w:rPr>
          <w:rFonts w:ascii="Arial" w:hAnsi="Arial" w:cs="Arial"/>
        </w:rPr>
      </w:pPr>
    </w:p>
    <w:p w14:paraId="51E4C114"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4FD003E4" w14:textId="20A16F12" w:rsidR="009A2D37" w:rsidRDefault="00530970" w:rsidP="00FC293B">
      <w:pPr>
        <w:spacing w:after="120" w:line="240" w:lineRule="auto"/>
        <w:ind w:left="426" w:right="260"/>
        <w:contextualSpacing/>
        <w:rPr>
          <w:rFonts w:ascii="Arial" w:hAnsi="Arial" w:cs="Arial"/>
          <w:iCs/>
        </w:rPr>
      </w:pPr>
      <w:r>
        <w:rPr>
          <w:rFonts w:ascii="Arial" w:hAnsi="Arial" w:cs="Arial"/>
          <w:iCs/>
        </w:rPr>
        <w:t xml:space="preserve">Kent Business School </w:t>
      </w:r>
    </w:p>
    <w:p w14:paraId="6C2ED57C" w14:textId="77777777" w:rsidR="00267AC7" w:rsidRPr="0036174D" w:rsidRDefault="00267AC7" w:rsidP="00FC293B">
      <w:pPr>
        <w:spacing w:after="120" w:line="240" w:lineRule="auto"/>
        <w:ind w:left="426" w:right="260"/>
        <w:contextualSpacing/>
        <w:rPr>
          <w:rFonts w:ascii="Arial" w:hAnsi="Arial" w:cs="Arial"/>
          <w:iCs/>
        </w:rPr>
      </w:pPr>
    </w:p>
    <w:p w14:paraId="7A3223AE" w14:textId="77777777" w:rsidR="009A2D37" w:rsidRPr="00302082" w:rsidRDefault="002A7F48" w:rsidP="00FC293B">
      <w:pPr>
        <w:numPr>
          <w:ilvl w:val="0"/>
          <w:numId w:val="1"/>
        </w:numPr>
        <w:spacing w:after="120" w:line="240" w:lineRule="auto"/>
        <w:ind w:left="426" w:right="260" w:hanging="426"/>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8FD2F4" w14:textId="17981E90" w:rsidR="009A2D37" w:rsidRDefault="001C18C6" w:rsidP="00FC293B">
      <w:pPr>
        <w:spacing w:after="120" w:line="240" w:lineRule="auto"/>
        <w:ind w:left="426" w:right="260"/>
        <w:contextualSpacing/>
        <w:rPr>
          <w:rFonts w:ascii="Arial" w:hAnsi="Arial" w:cs="Arial"/>
          <w:iCs/>
        </w:rPr>
      </w:pPr>
      <w:r>
        <w:rPr>
          <w:rFonts w:ascii="Arial" w:hAnsi="Arial" w:cs="Arial"/>
          <w:iCs/>
        </w:rPr>
        <w:t>Level 5</w:t>
      </w:r>
    </w:p>
    <w:p w14:paraId="41D94311" w14:textId="77777777" w:rsidR="00267AC7" w:rsidRPr="0036174D" w:rsidRDefault="00267AC7" w:rsidP="00FC293B">
      <w:pPr>
        <w:spacing w:after="120" w:line="240" w:lineRule="auto"/>
        <w:ind w:left="426" w:right="260"/>
        <w:contextualSpacing/>
        <w:rPr>
          <w:rFonts w:ascii="Arial" w:hAnsi="Arial" w:cs="Arial"/>
          <w:iCs/>
        </w:rPr>
      </w:pPr>
    </w:p>
    <w:p w14:paraId="589CC783"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119EC396" w14:textId="60F266B2" w:rsidR="009A2D37" w:rsidRDefault="00530970" w:rsidP="00FC293B">
      <w:pPr>
        <w:spacing w:after="120" w:line="240" w:lineRule="auto"/>
        <w:ind w:left="426" w:right="260"/>
        <w:contextualSpacing/>
        <w:rPr>
          <w:rFonts w:ascii="Arial" w:hAnsi="Arial" w:cs="Arial"/>
        </w:rPr>
      </w:pPr>
      <w:r>
        <w:rPr>
          <w:rFonts w:ascii="Arial" w:hAnsi="Arial" w:cs="Arial"/>
        </w:rPr>
        <w:t xml:space="preserve">15 Credits (7.5 ECTS) </w:t>
      </w:r>
    </w:p>
    <w:p w14:paraId="4E5A9AB9" w14:textId="77777777" w:rsidR="00267AC7" w:rsidRPr="0036174D" w:rsidRDefault="00267AC7" w:rsidP="00FC293B">
      <w:pPr>
        <w:spacing w:after="120" w:line="240" w:lineRule="auto"/>
        <w:ind w:left="426" w:right="260"/>
        <w:contextualSpacing/>
        <w:rPr>
          <w:rFonts w:ascii="Arial" w:hAnsi="Arial" w:cs="Arial"/>
        </w:rPr>
      </w:pPr>
    </w:p>
    <w:p w14:paraId="12C2008D"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379BD766" w14:textId="161BDDAB" w:rsidR="009A2D37" w:rsidRDefault="001C18C6" w:rsidP="00FC293B">
      <w:pPr>
        <w:spacing w:after="120" w:line="240" w:lineRule="auto"/>
        <w:ind w:left="426" w:right="260"/>
        <w:contextualSpacing/>
        <w:rPr>
          <w:rFonts w:ascii="Arial" w:hAnsi="Arial" w:cs="Arial"/>
          <w:iCs/>
        </w:rPr>
      </w:pPr>
      <w:r>
        <w:rPr>
          <w:rFonts w:ascii="Arial" w:hAnsi="Arial" w:cs="Arial"/>
          <w:iCs/>
        </w:rPr>
        <w:t>Autumn</w:t>
      </w:r>
    </w:p>
    <w:p w14:paraId="4613A5AA" w14:textId="77777777" w:rsidR="00267AC7" w:rsidRPr="0036174D" w:rsidRDefault="00267AC7" w:rsidP="00FC293B">
      <w:pPr>
        <w:spacing w:after="120" w:line="240" w:lineRule="auto"/>
        <w:ind w:left="426" w:right="260"/>
        <w:contextualSpacing/>
        <w:rPr>
          <w:rFonts w:ascii="Arial" w:hAnsi="Arial" w:cs="Arial"/>
          <w:iCs/>
        </w:rPr>
      </w:pPr>
    </w:p>
    <w:p w14:paraId="70A3240A"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3DAA987B" w14:textId="7C09A764" w:rsidR="009A2D37" w:rsidRDefault="00897DAF" w:rsidP="00FC293B">
      <w:pPr>
        <w:spacing w:after="120" w:line="240" w:lineRule="auto"/>
        <w:ind w:left="426" w:right="260"/>
        <w:contextualSpacing/>
        <w:rPr>
          <w:rFonts w:ascii="Arial" w:hAnsi="Arial" w:cs="Arial"/>
        </w:rPr>
      </w:pPr>
      <w:r>
        <w:rPr>
          <w:rFonts w:ascii="Arial" w:hAnsi="Arial" w:cs="Arial"/>
        </w:rPr>
        <w:t>P</w:t>
      </w:r>
      <w:r w:rsidR="007359CB">
        <w:rPr>
          <w:rFonts w:ascii="Arial" w:hAnsi="Arial" w:cs="Arial"/>
        </w:rPr>
        <w:t>rerequisites</w:t>
      </w:r>
      <w:r>
        <w:rPr>
          <w:rFonts w:ascii="Arial" w:hAnsi="Arial" w:cs="Arial"/>
        </w:rPr>
        <w:t xml:space="preserve">: </w:t>
      </w:r>
      <w:r w:rsidR="007D3D91">
        <w:rPr>
          <w:rFonts w:ascii="Arial" w:hAnsi="Arial" w:cs="Arial"/>
        </w:rPr>
        <w:t>BUSN3760</w:t>
      </w:r>
      <w:r>
        <w:rPr>
          <w:rFonts w:ascii="Arial" w:hAnsi="Arial" w:cs="Arial"/>
        </w:rPr>
        <w:t xml:space="preserve"> Introduction to Financial Markets and Instruments</w:t>
      </w:r>
    </w:p>
    <w:p w14:paraId="19679301" w14:textId="77777777" w:rsidR="00267AC7" w:rsidRPr="001C18C6" w:rsidRDefault="00267AC7" w:rsidP="00FC293B">
      <w:pPr>
        <w:spacing w:after="120" w:line="240" w:lineRule="auto"/>
        <w:ind w:left="426" w:right="260"/>
        <w:contextualSpacing/>
        <w:rPr>
          <w:rFonts w:ascii="Arial" w:hAnsi="Arial" w:cs="Arial"/>
          <w:iCs/>
        </w:rPr>
      </w:pPr>
    </w:p>
    <w:p w14:paraId="54A88278"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5FA222FD" w14:textId="33F11B74" w:rsidR="009A2D37" w:rsidRDefault="00530970" w:rsidP="00FC293B">
      <w:pPr>
        <w:spacing w:after="120" w:line="240" w:lineRule="auto"/>
        <w:ind w:left="426" w:right="260"/>
        <w:contextualSpacing/>
        <w:rPr>
          <w:rFonts w:ascii="Arial" w:hAnsi="Arial" w:cs="Arial"/>
          <w:iCs/>
        </w:rPr>
      </w:pPr>
      <w:r w:rsidRPr="00530970">
        <w:rPr>
          <w:rFonts w:ascii="Arial" w:hAnsi="Arial" w:cs="Arial"/>
          <w:iCs/>
        </w:rPr>
        <w:t>BSc (Hons) Finance and Investment</w:t>
      </w:r>
      <w:r w:rsidR="0063623F">
        <w:rPr>
          <w:rFonts w:ascii="Arial" w:hAnsi="Arial" w:cs="Arial"/>
          <w:iCs/>
        </w:rPr>
        <w:t>s</w:t>
      </w:r>
      <w:r w:rsidRPr="00530970">
        <w:rPr>
          <w:rFonts w:ascii="Arial" w:hAnsi="Arial" w:cs="Arial"/>
          <w:iCs/>
        </w:rPr>
        <w:t xml:space="preserve"> </w:t>
      </w:r>
      <w:r w:rsidR="00306A6D">
        <w:rPr>
          <w:rFonts w:ascii="Arial" w:hAnsi="Arial" w:cs="Arial"/>
          <w:iCs/>
        </w:rPr>
        <w:t>and associated programmes</w:t>
      </w:r>
    </w:p>
    <w:p w14:paraId="43B6FA0C" w14:textId="77777777" w:rsidR="00267AC7" w:rsidRPr="0036174D" w:rsidRDefault="00267AC7" w:rsidP="00FC293B">
      <w:pPr>
        <w:spacing w:after="120" w:line="240" w:lineRule="auto"/>
        <w:ind w:left="426" w:right="260"/>
        <w:contextualSpacing/>
        <w:rPr>
          <w:rFonts w:ascii="Arial" w:hAnsi="Arial" w:cs="Arial"/>
          <w:iCs/>
        </w:rPr>
      </w:pPr>
    </w:p>
    <w:p w14:paraId="6A25253D" w14:textId="4499488A" w:rsidR="009A2D37" w:rsidRDefault="009A2D37" w:rsidP="00FC293B">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0E62A2">
        <w:rPr>
          <w:rFonts w:ascii="Arial" w:hAnsi="Arial" w:cs="Arial"/>
          <w:b/>
        </w:rPr>
        <w:t>be able to</w:t>
      </w:r>
      <w:r w:rsidR="00C729D7" w:rsidRPr="00302082">
        <w:rPr>
          <w:rFonts w:ascii="Arial" w:hAnsi="Arial" w:cs="Arial"/>
          <w:b/>
        </w:rPr>
        <w:t>:</w:t>
      </w:r>
    </w:p>
    <w:p w14:paraId="2E12937E" w14:textId="6071FC8A" w:rsidR="00B42900" w:rsidRDefault="000E62A2" w:rsidP="00FC293B">
      <w:pPr>
        <w:pStyle w:val="ListParagraph"/>
        <w:numPr>
          <w:ilvl w:val="1"/>
          <w:numId w:val="1"/>
        </w:numPr>
        <w:ind w:left="993" w:hanging="567"/>
        <w:rPr>
          <w:rFonts w:ascii="Arial" w:hAnsi="Arial" w:cs="Arial"/>
        </w:rPr>
      </w:pPr>
      <w:r>
        <w:rPr>
          <w:rFonts w:ascii="Arial" w:hAnsi="Arial" w:cs="Arial"/>
        </w:rPr>
        <w:t xml:space="preserve">Demonstrate </w:t>
      </w:r>
      <w:r w:rsidR="002429A1">
        <w:rPr>
          <w:rFonts w:ascii="Arial" w:hAnsi="Arial" w:cs="Arial"/>
        </w:rPr>
        <w:t xml:space="preserve">knowledge </w:t>
      </w:r>
      <w:r>
        <w:rPr>
          <w:rFonts w:ascii="Arial" w:hAnsi="Arial" w:cs="Arial"/>
        </w:rPr>
        <w:t>a</w:t>
      </w:r>
      <w:r w:rsidR="00B42900">
        <w:rPr>
          <w:rFonts w:ascii="Arial" w:hAnsi="Arial" w:cs="Arial"/>
        </w:rPr>
        <w:t>n</w:t>
      </w:r>
      <w:r w:rsidR="002429A1">
        <w:rPr>
          <w:rFonts w:ascii="Arial" w:hAnsi="Arial" w:cs="Arial"/>
        </w:rPr>
        <w:t>d critical</w:t>
      </w:r>
      <w:r w:rsidR="00B42900">
        <w:rPr>
          <w:rFonts w:ascii="Arial" w:hAnsi="Arial" w:cs="Arial"/>
        </w:rPr>
        <w:t xml:space="preserve"> understanding of the bank’s financial statements which helps them in evaluating the bank’s financial condition.</w:t>
      </w:r>
    </w:p>
    <w:p w14:paraId="19B105B1" w14:textId="14B7ADDA" w:rsidR="006A29D3" w:rsidRPr="006A29D3" w:rsidRDefault="000E62A2" w:rsidP="00FC293B">
      <w:pPr>
        <w:pStyle w:val="ListParagraph"/>
        <w:numPr>
          <w:ilvl w:val="1"/>
          <w:numId w:val="1"/>
        </w:numPr>
        <w:ind w:left="993" w:hanging="567"/>
        <w:rPr>
          <w:rFonts w:ascii="Arial" w:hAnsi="Arial" w:cs="Arial"/>
        </w:rPr>
      </w:pPr>
      <w:r>
        <w:rPr>
          <w:rFonts w:ascii="Arial" w:hAnsi="Arial" w:cs="Arial"/>
        </w:rPr>
        <w:t xml:space="preserve">Demonstrate </w:t>
      </w:r>
      <w:r w:rsidR="002429A1">
        <w:rPr>
          <w:rFonts w:ascii="Arial" w:hAnsi="Arial" w:cs="Arial"/>
        </w:rPr>
        <w:t>knowledge</w:t>
      </w:r>
      <w:r w:rsidR="006A29D3" w:rsidRPr="00D95137">
        <w:rPr>
          <w:rFonts w:ascii="Arial" w:hAnsi="Arial" w:cs="Arial"/>
        </w:rPr>
        <w:t xml:space="preserve"> and </w:t>
      </w:r>
      <w:r w:rsidR="002429A1">
        <w:rPr>
          <w:rFonts w:ascii="Arial" w:hAnsi="Arial" w:cs="Arial"/>
        </w:rPr>
        <w:t xml:space="preserve">critical </w:t>
      </w:r>
      <w:r w:rsidR="006A29D3" w:rsidRPr="00D95137">
        <w:rPr>
          <w:rFonts w:ascii="Arial" w:hAnsi="Arial" w:cs="Arial"/>
        </w:rPr>
        <w:t xml:space="preserve">understanding of </w:t>
      </w:r>
      <w:r w:rsidR="00785EE3">
        <w:rPr>
          <w:rFonts w:ascii="Arial" w:hAnsi="Arial" w:cs="Arial"/>
        </w:rPr>
        <w:t xml:space="preserve">the </w:t>
      </w:r>
      <w:r w:rsidR="006A29D3" w:rsidRPr="00D95137">
        <w:rPr>
          <w:rFonts w:ascii="Arial" w:hAnsi="Arial" w:cs="Arial"/>
        </w:rPr>
        <w:t>international banking environment and operations of banks from a global perspective.</w:t>
      </w:r>
    </w:p>
    <w:p w14:paraId="373424A1" w14:textId="2A90BB9F" w:rsidR="006A29D3" w:rsidRPr="004B5A9A" w:rsidRDefault="000E62A2" w:rsidP="00FC293B">
      <w:pPr>
        <w:pStyle w:val="ListParagraph"/>
        <w:numPr>
          <w:ilvl w:val="1"/>
          <w:numId w:val="1"/>
        </w:numPr>
        <w:ind w:left="993" w:hanging="567"/>
        <w:rPr>
          <w:rFonts w:ascii="Arial" w:hAnsi="Arial" w:cs="Arial"/>
        </w:rPr>
      </w:pPr>
      <w:r>
        <w:rPr>
          <w:rFonts w:ascii="Arial" w:hAnsi="Arial" w:cs="Arial"/>
        </w:rPr>
        <w:t xml:space="preserve">Demonstrate </w:t>
      </w:r>
      <w:r w:rsidR="002429A1">
        <w:rPr>
          <w:rFonts w:ascii="Arial" w:hAnsi="Arial" w:cs="Arial"/>
        </w:rPr>
        <w:t>knowledge</w:t>
      </w:r>
      <w:r w:rsidR="006A29D3" w:rsidRPr="004B5A9A">
        <w:rPr>
          <w:rFonts w:ascii="Arial" w:hAnsi="Arial" w:cs="Arial"/>
        </w:rPr>
        <w:t xml:space="preserve"> and</w:t>
      </w:r>
      <w:r w:rsidR="002429A1">
        <w:rPr>
          <w:rFonts w:ascii="Arial" w:hAnsi="Arial" w:cs="Arial"/>
        </w:rPr>
        <w:t xml:space="preserve"> critical</w:t>
      </w:r>
      <w:r w:rsidR="006A29D3" w:rsidRPr="004B5A9A">
        <w:rPr>
          <w:rFonts w:ascii="Arial" w:hAnsi="Arial" w:cs="Arial"/>
        </w:rPr>
        <w:t xml:space="preserve"> understanding of the role, function and consequences of regulation and lack of regulation.</w:t>
      </w:r>
    </w:p>
    <w:p w14:paraId="666DF958" w14:textId="309AB6DD" w:rsidR="00D95137" w:rsidRDefault="000E62A2" w:rsidP="00FC293B">
      <w:pPr>
        <w:pStyle w:val="ListParagraph"/>
        <w:numPr>
          <w:ilvl w:val="1"/>
          <w:numId w:val="1"/>
        </w:numPr>
        <w:ind w:left="993" w:hanging="567"/>
        <w:rPr>
          <w:rFonts w:ascii="Arial" w:hAnsi="Arial" w:cs="Arial"/>
        </w:rPr>
      </w:pPr>
      <w:r>
        <w:rPr>
          <w:rFonts w:ascii="Arial" w:hAnsi="Arial" w:cs="Arial"/>
        </w:rPr>
        <w:t xml:space="preserve">Demonstrate </w:t>
      </w:r>
      <w:r w:rsidR="002429A1">
        <w:rPr>
          <w:rFonts w:ascii="Arial" w:hAnsi="Arial" w:cs="Arial"/>
        </w:rPr>
        <w:t xml:space="preserve">knowledge and critical </w:t>
      </w:r>
      <w:r w:rsidR="006A29D3">
        <w:rPr>
          <w:rFonts w:ascii="Arial" w:hAnsi="Arial" w:cs="Arial"/>
        </w:rPr>
        <w:t xml:space="preserve">understanding </w:t>
      </w:r>
      <w:r w:rsidR="006A29D3" w:rsidRPr="00D95137">
        <w:rPr>
          <w:rFonts w:ascii="Arial" w:hAnsi="Arial" w:cs="Arial"/>
        </w:rPr>
        <w:t>of the dynamic nature of inter-relationships between bank risk taking and regulation in the context of 2007/2008 global financial crises.</w:t>
      </w:r>
    </w:p>
    <w:p w14:paraId="2403A267" w14:textId="77777777" w:rsidR="000E62A2" w:rsidRPr="007359CB" w:rsidRDefault="000E62A2" w:rsidP="00FC293B">
      <w:pPr>
        <w:pStyle w:val="ListParagraph"/>
        <w:ind w:left="993"/>
        <w:rPr>
          <w:rFonts w:ascii="Arial" w:hAnsi="Arial" w:cs="Arial"/>
        </w:rPr>
      </w:pPr>
    </w:p>
    <w:p w14:paraId="3A79FF71" w14:textId="77777777" w:rsidR="00C729D7" w:rsidRPr="00D95137" w:rsidRDefault="009A2D37" w:rsidP="00FC293B">
      <w:pPr>
        <w:pStyle w:val="ListParagraph"/>
        <w:numPr>
          <w:ilvl w:val="0"/>
          <w:numId w:val="1"/>
        </w:numPr>
        <w:spacing w:after="120" w:line="240" w:lineRule="auto"/>
        <w:ind w:left="426" w:right="260"/>
        <w:rPr>
          <w:rFonts w:ascii="Arial" w:hAnsi="Arial" w:cs="Arial"/>
          <w:b/>
        </w:rPr>
      </w:pPr>
      <w:r w:rsidRPr="00D95137">
        <w:rPr>
          <w:rFonts w:ascii="Arial" w:hAnsi="Arial" w:cs="Arial"/>
          <w:b/>
        </w:rPr>
        <w:t>The intended generic learning outcomes</w:t>
      </w:r>
      <w:r w:rsidR="00C729D7" w:rsidRPr="00D95137">
        <w:rPr>
          <w:rFonts w:ascii="Arial" w:hAnsi="Arial" w:cs="Arial"/>
          <w:b/>
        </w:rPr>
        <w:t>.</w:t>
      </w:r>
      <w:r w:rsidR="00C729D7" w:rsidRPr="00D95137">
        <w:rPr>
          <w:rFonts w:ascii="Arial" w:hAnsi="Arial" w:cs="Arial"/>
          <w:b/>
        </w:rPr>
        <w:br/>
        <w:t>On successfully completing the module students will be able to:</w:t>
      </w:r>
    </w:p>
    <w:p w14:paraId="75496A77" w14:textId="77777777" w:rsidR="0063623F" w:rsidRDefault="00C52516" w:rsidP="00FC293B">
      <w:pPr>
        <w:pStyle w:val="ListParagraph"/>
        <w:numPr>
          <w:ilvl w:val="1"/>
          <w:numId w:val="1"/>
        </w:numPr>
        <w:spacing w:after="120" w:line="240" w:lineRule="auto"/>
        <w:ind w:left="993" w:right="260" w:hanging="578"/>
        <w:rPr>
          <w:rFonts w:ascii="Arial" w:hAnsi="Arial" w:cs="Arial"/>
        </w:rPr>
      </w:pPr>
      <w:r>
        <w:rPr>
          <w:rFonts w:ascii="Arial" w:hAnsi="Arial" w:cs="Arial"/>
        </w:rPr>
        <w:t>R</w:t>
      </w:r>
      <w:r w:rsidRPr="00C61587">
        <w:rPr>
          <w:rFonts w:ascii="Arial" w:hAnsi="Arial" w:cs="Arial"/>
        </w:rPr>
        <w:t xml:space="preserve">esearch, plan, </w:t>
      </w:r>
      <w:r>
        <w:rPr>
          <w:rFonts w:ascii="Arial" w:hAnsi="Arial" w:cs="Arial"/>
        </w:rPr>
        <w:t>and work independently</w:t>
      </w:r>
      <w:r w:rsidRPr="00C61587">
        <w:rPr>
          <w:rFonts w:ascii="Arial" w:hAnsi="Arial" w:cs="Arial"/>
        </w:rPr>
        <w:t>.</w:t>
      </w:r>
    </w:p>
    <w:p w14:paraId="1C863DF6" w14:textId="77777777" w:rsidR="0063623F" w:rsidRPr="0063623F" w:rsidRDefault="002C6042" w:rsidP="00FC293B">
      <w:pPr>
        <w:pStyle w:val="ListParagraph"/>
        <w:numPr>
          <w:ilvl w:val="1"/>
          <w:numId w:val="1"/>
        </w:numPr>
        <w:spacing w:after="120" w:line="240" w:lineRule="auto"/>
        <w:ind w:left="993" w:right="260" w:hanging="578"/>
        <w:rPr>
          <w:rFonts w:ascii="Arial" w:hAnsi="Arial" w:cs="Arial"/>
        </w:rPr>
      </w:pPr>
      <w:r>
        <w:rPr>
          <w:rFonts w:ascii="Arial" w:eastAsiaTheme="minorHAnsi" w:hAnsi="Arial" w:cs="Arial"/>
          <w:color w:val="000000"/>
          <w:lang w:eastAsia="en-US"/>
        </w:rPr>
        <w:t>Effectively, c</w:t>
      </w:r>
      <w:r w:rsidR="0063623F" w:rsidRPr="0063623F">
        <w:rPr>
          <w:rFonts w:ascii="Arial" w:eastAsiaTheme="minorHAnsi" w:hAnsi="Arial" w:cs="Arial"/>
          <w:color w:val="000000"/>
          <w:lang w:eastAsia="en-US"/>
        </w:rPr>
        <w:t>ommunicate information, ideas, and solutions to both specialist and non-specialist audiences</w:t>
      </w:r>
      <w:r w:rsidR="00E97515">
        <w:rPr>
          <w:rFonts w:ascii="Arial" w:eastAsiaTheme="minorHAnsi" w:hAnsi="Arial" w:cs="Arial"/>
          <w:color w:val="000000"/>
          <w:lang w:eastAsia="en-US"/>
        </w:rPr>
        <w:t>.</w:t>
      </w:r>
      <w:r w:rsidR="0063623F" w:rsidRPr="0063623F">
        <w:rPr>
          <w:rFonts w:ascii="Arial" w:eastAsiaTheme="minorHAnsi" w:hAnsi="Arial" w:cs="Arial"/>
          <w:color w:val="000000"/>
          <w:lang w:eastAsia="en-US"/>
        </w:rPr>
        <w:t xml:space="preserve"> </w:t>
      </w:r>
    </w:p>
    <w:p w14:paraId="6503BB0A" w14:textId="77777777" w:rsidR="00C52516" w:rsidRPr="00C52516" w:rsidRDefault="00E97515" w:rsidP="00FC293B">
      <w:pPr>
        <w:pStyle w:val="ListParagraph"/>
        <w:numPr>
          <w:ilvl w:val="1"/>
          <w:numId w:val="1"/>
        </w:numPr>
        <w:spacing w:after="120" w:line="240" w:lineRule="auto"/>
        <w:ind w:left="993" w:right="260" w:hanging="578"/>
        <w:rPr>
          <w:rFonts w:ascii="Arial" w:hAnsi="Arial" w:cs="Arial"/>
        </w:rPr>
      </w:pPr>
      <w:r>
        <w:rPr>
          <w:rFonts w:ascii="Arial" w:eastAsiaTheme="minorHAnsi" w:hAnsi="Arial" w:cs="Arial"/>
          <w:color w:val="000000"/>
          <w:lang w:eastAsia="en-US"/>
        </w:rPr>
        <w:t>C</w:t>
      </w:r>
      <w:r w:rsidR="0063623F">
        <w:rPr>
          <w:rFonts w:ascii="Arial" w:eastAsiaTheme="minorHAnsi" w:hAnsi="Arial" w:cs="Arial"/>
          <w:color w:val="000000"/>
          <w:lang w:eastAsia="en-US"/>
        </w:rPr>
        <w:t>ritically evaluate ar</w:t>
      </w:r>
      <w:r>
        <w:rPr>
          <w:rFonts w:ascii="Arial" w:eastAsiaTheme="minorHAnsi" w:hAnsi="Arial" w:cs="Arial"/>
          <w:color w:val="000000"/>
          <w:lang w:eastAsia="en-US"/>
        </w:rPr>
        <w:t>guments and</w:t>
      </w:r>
      <w:r w:rsidR="0063623F">
        <w:rPr>
          <w:rFonts w:ascii="Arial" w:eastAsiaTheme="minorHAnsi" w:hAnsi="Arial" w:cs="Arial"/>
          <w:color w:val="000000"/>
          <w:lang w:eastAsia="en-US"/>
        </w:rPr>
        <w:t xml:space="preserve"> assumptions, </w:t>
      </w:r>
      <w:r>
        <w:rPr>
          <w:rFonts w:ascii="Arial" w:eastAsiaTheme="minorHAnsi" w:hAnsi="Arial" w:cs="Arial"/>
          <w:color w:val="000000"/>
          <w:lang w:eastAsia="en-US"/>
        </w:rPr>
        <w:t xml:space="preserve">and </w:t>
      </w:r>
      <w:r w:rsidR="0063623F">
        <w:rPr>
          <w:rFonts w:ascii="Arial" w:hAnsi="Arial" w:cs="Arial"/>
        </w:rPr>
        <w:t xml:space="preserve">make judgements </w:t>
      </w:r>
      <w:r>
        <w:rPr>
          <w:rFonts w:ascii="Arial" w:hAnsi="Arial" w:cs="Arial"/>
        </w:rPr>
        <w:t>to</w:t>
      </w:r>
      <w:r w:rsidR="0063623F">
        <w:rPr>
          <w:rFonts w:ascii="Arial" w:hAnsi="Arial" w:cs="Arial"/>
        </w:rPr>
        <w:t xml:space="preserve"> offer alternative solutions</w:t>
      </w:r>
      <w:r w:rsidR="00C52516">
        <w:rPr>
          <w:rFonts w:ascii="Arial" w:hAnsi="Arial" w:cs="Arial"/>
        </w:rPr>
        <w:t>.</w:t>
      </w:r>
    </w:p>
    <w:p w14:paraId="5B2B6312"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2A848DB8" w14:textId="77777777" w:rsidR="00D95137" w:rsidRPr="00D95137" w:rsidRDefault="00D95137" w:rsidP="00FC293B">
      <w:pPr>
        <w:spacing w:line="240" w:lineRule="auto"/>
        <w:ind w:left="426"/>
        <w:contextualSpacing/>
        <w:jc w:val="both"/>
        <w:rPr>
          <w:rFonts w:ascii="Arial" w:eastAsiaTheme="minorHAnsi" w:hAnsi="Arial" w:cs="Arial"/>
          <w:color w:val="000000"/>
          <w:lang w:eastAsia="en-US"/>
        </w:rPr>
      </w:pPr>
      <w:r w:rsidRPr="00D95137">
        <w:rPr>
          <w:rFonts w:ascii="Arial" w:eastAsiaTheme="minorHAnsi" w:hAnsi="Arial" w:cs="Arial"/>
          <w:color w:val="000000"/>
          <w:lang w:eastAsia="en-US"/>
        </w:rPr>
        <w:t>In the wake of the largest economic crisis in recent times many causes have been proposed for the turmoil. At the centre of the argument is banks’ excessive risk-taking behaviour, especially through abundant lending, over-leveraging and dramatic expansion in the usage of credit transfer products in the years leading up to the crisis. On the policy side</w:t>
      </w:r>
      <w:r w:rsidR="00151169">
        <w:rPr>
          <w:rFonts w:ascii="Arial" w:eastAsiaTheme="minorHAnsi" w:hAnsi="Arial" w:cs="Arial"/>
          <w:color w:val="000000"/>
          <w:lang w:eastAsia="en-US"/>
        </w:rPr>
        <w:t>,</w:t>
      </w:r>
      <w:r w:rsidRPr="00D95137">
        <w:rPr>
          <w:rFonts w:ascii="Arial" w:eastAsiaTheme="minorHAnsi" w:hAnsi="Arial" w:cs="Arial"/>
          <w:color w:val="000000"/>
          <w:lang w:eastAsia="en-US"/>
        </w:rPr>
        <w:t xml:space="preserve"> incompetence of regulators overseeing the banking system is voiced. Therefore, understanding the banking business and regulation from an international perspective is of paramount importance to prevent future economic crises that may be caused by banks. In this perspective</w:t>
      </w:r>
      <w:r w:rsidR="00151169">
        <w:rPr>
          <w:rFonts w:ascii="Arial" w:eastAsiaTheme="minorHAnsi" w:hAnsi="Arial" w:cs="Arial"/>
          <w:color w:val="000000"/>
          <w:lang w:eastAsia="en-US"/>
        </w:rPr>
        <w:t>,</w:t>
      </w:r>
      <w:r w:rsidRPr="00D95137">
        <w:rPr>
          <w:rFonts w:ascii="Arial" w:eastAsiaTheme="minorHAnsi" w:hAnsi="Arial" w:cs="Arial"/>
          <w:color w:val="000000"/>
          <w:lang w:eastAsia="en-US"/>
        </w:rPr>
        <w:t xml:space="preserve"> the module examines the different types of banks, their financial features and risk in banking. It introduces several international banking activities that link national financial markets globally. Particular focus is placed on the importance of regulation from an international perspective through Basel accords.</w:t>
      </w:r>
    </w:p>
    <w:p w14:paraId="3A3DA010" w14:textId="6402C49B" w:rsidR="00785EE3" w:rsidRDefault="005D6C4B" w:rsidP="00FC293B">
      <w:pPr>
        <w:ind w:left="426"/>
        <w:contextualSpacing/>
        <w:jc w:val="both"/>
        <w:rPr>
          <w:rFonts w:ascii="Arial" w:eastAsiaTheme="minorHAnsi" w:hAnsi="Arial" w:cs="Arial"/>
          <w:color w:val="000000"/>
          <w:lang w:eastAsia="en-US"/>
        </w:rPr>
      </w:pPr>
      <w:r>
        <w:rPr>
          <w:rFonts w:ascii="Arial" w:eastAsiaTheme="minorHAnsi" w:hAnsi="Arial" w:cs="Arial"/>
          <w:color w:val="000000"/>
          <w:lang w:eastAsia="en-US"/>
        </w:rPr>
        <w:t>Indicative t</w:t>
      </w:r>
      <w:r w:rsidR="006A29D3">
        <w:rPr>
          <w:rFonts w:ascii="Arial" w:eastAsiaTheme="minorHAnsi" w:hAnsi="Arial" w:cs="Arial"/>
          <w:color w:val="000000"/>
          <w:lang w:eastAsia="en-US"/>
        </w:rPr>
        <w:t xml:space="preserve">opics covered in this module </w:t>
      </w:r>
      <w:r>
        <w:rPr>
          <w:rFonts w:ascii="Arial" w:eastAsiaTheme="minorHAnsi" w:hAnsi="Arial" w:cs="Arial"/>
          <w:color w:val="000000"/>
          <w:lang w:eastAsia="en-US"/>
        </w:rPr>
        <w:t xml:space="preserve">may </w:t>
      </w:r>
      <w:r w:rsidR="006A29D3">
        <w:rPr>
          <w:rFonts w:ascii="Arial" w:eastAsiaTheme="minorHAnsi" w:hAnsi="Arial" w:cs="Arial"/>
          <w:color w:val="000000"/>
          <w:lang w:eastAsia="en-US"/>
        </w:rPr>
        <w:t xml:space="preserve">include: </w:t>
      </w:r>
    </w:p>
    <w:p w14:paraId="693265F1"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Introduction to financial intermediation</w:t>
      </w:r>
    </w:p>
    <w:p w14:paraId="4D7DD07A"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Activities of International Banks and relationship banking</w:t>
      </w:r>
    </w:p>
    <w:p w14:paraId="6EB3B0CF" w14:textId="77777777" w:rsidR="00785EE3" w:rsidRPr="004B5A9A" w:rsidRDefault="005D0628"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lastRenderedPageBreak/>
        <w:t>Banks’ balance sheet and income statement</w:t>
      </w:r>
    </w:p>
    <w:p w14:paraId="7E92E2E4"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Perceptions of the global banking before/after 2007/08 financial crisis</w:t>
      </w:r>
    </w:p>
    <w:p w14:paraId="64174208"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Income structure and balance sheet of banks and bank risks</w:t>
      </w:r>
      <w:r w:rsidR="005D0628" w:rsidRPr="004B5A9A">
        <w:rPr>
          <w:rFonts w:ascii="Arial" w:eastAsiaTheme="minorHAnsi" w:hAnsi="Arial" w:cs="Arial"/>
          <w:lang w:eastAsia="en-US"/>
        </w:rPr>
        <w:t xml:space="preserve">: </w:t>
      </w:r>
      <w:r w:rsidRPr="004B5A9A">
        <w:rPr>
          <w:rFonts w:ascii="Arial" w:eastAsiaTheme="minorHAnsi" w:hAnsi="Arial" w:cs="Arial"/>
          <w:lang w:eastAsia="en-US"/>
        </w:rPr>
        <w:t>Retail vs. Investment banks</w:t>
      </w:r>
    </w:p>
    <w:p w14:paraId="6B4D1AD3"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International activities of banks: Syndicated lending and asset securitisation</w:t>
      </w:r>
    </w:p>
    <w:p w14:paraId="080AFC67"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Bank regulation and supervision: Basel I, II and III</w:t>
      </w:r>
    </w:p>
    <w:p w14:paraId="2881B6B0" w14:textId="77777777" w:rsidR="006A29D3" w:rsidRPr="004B5A9A" w:rsidRDefault="00785EE3" w:rsidP="00FC293B">
      <w:pPr>
        <w:pStyle w:val="ListParagraph"/>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T</w:t>
      </w:r>
      <w:r w:rsidR="006A29D3" w:rsidRPr="004B5A9A">
        <w:rPr>
          <w:rFonts w:ascii="Arial" w:eastAsiaTheme="minorHAnsi" w:hAnsi="Arial" w:cs="Arial"/>
          <w:lang w:eastAsia="en-US"/>
        </w:rPr>
        <w:t>he 2007/2008 global banking crisis: Causes, the aftermath and implications for banks and regulators</w:t>
      </w:r>
    </w:p>
    <w:p w14:paraId="134A4B6B" w14:textId="77777777" w:rsidR="004B76B8" w:rsidRPr="0026757F" w:rsidRDefault="004B76B8" w:rsidP="00FC293B">
      <w:pPr>
        <w:pStyle w:val="ListParagraph"/>
        <w:spacing w:after="120" w:line="240" w:lineRule="auto"/>
        <w:ind w:left="786" w:right="260"/>
        <w:rPr>
          <w:rFonts w:ascii="Arial" w:hAnsi="Arial" w:cs="Arial"/>
          <w:iCs/>
        </w:rPr>
      </w:pPr>
    </w:p>
    <w:p w14:paraId="243BF44E" w14:textId="77777777" w:rsidR="009A2D37" w:rsidRPr="00302082" w:rsidRDefault="002A7F48" w:rsidP="00FC293B">
      <w:pPr>
        <w:numPr>
          <w:ilvl w:val="0"/>
          <w:numId w:val="1"/>
        </w:numPr>
        <w:spacing w:after="120" w:line="240" w:lineRule="auto"/>
        <w:ind w:left="426" w:right="260" w:hanging="426"/>
        <w:contextualSpacing/>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182329" w14:textId="77777777" w:rsidR="007359CB" w:rsidRDefault="007359CB" w:rsidP="00FC293B">
      <w:pPr>
        <w:spacing w:after="0" w:line="240" w:lineRule="auto"/>
        <w:ind w:left="426"/>
        <w:contextualSpacing/>
        <w:jc w:val="both"/>
        <w:rPr>
          <w:rFonts w:ascii="Arial" w:hAnsi="Arial" w:cs="Arial"/>
        </w:rPr>
      </w:pPr>
      <w:r w:rsidRPr="000E62A2">
        <w:rPr>
          <w:rFonts w:ascii="Arial" w:hAnsi="Arial" w:cs="Arial"/>
        </w:rPr>
        <w:t>Casu, B</w:t>
      </w:r>
      <w:r w:rsidR="00785EE3" w:rsidRPr="000E62A2">
        <w:rPr>
          <w:rFonts w:ascii="Arial" w:hAnsi="Arial" w:cs="Arial"/>
        </w:rPr>
        <w:t>.</w:t>
      </w:r>
      <w:r w:rsidRPr="000E62A2">
        <w:rPr>
          <w:rFonts w:ascii="Arial" w:hAnsi="Arial" w:cs="Arial"/>
        </w:rPr>
        <w:t>, Girardone</w:t>
      </w:r>
      <w:r w:rsidR="00785EE3" w:rsidRPr="000E62A2">
        <w:rPr>
          <w:rFonts w:ascii="Arial" w:hAnsi="Arial" w:cs="Arial"/>
        </w:rPr>
        <w:t>, C.</w:t>
      </w:r>
      <w:r w:rsidR="000E62A2">
        <w:rPr>
          <w:rFonts w:ascii="Arial" w:hAnsi="Arial" w:cs="Arial"/>
        </w:rPr>
        <w:t xml:space="preserve"> and Molyn</w:t>
      </w:r>
      <w:r w:rsidRPr="000E62A2">
        <w:rPr>
          <w:rFonts w:ascii="Arial" w:hAnsi="Arial" w:cs="Arial"/>
        </w:rPr>
        <w:t>eux</w:t>
      </w:r>
      <w:r w:rsidR="00785EE3" w:rsidRPr="000E62A2">
        <w:rPr>
          <w:rFonts w:ascii="Arial" w:hAnsi="Arial" w:cs="Arial"/>
        </w:rPr>
        <w:t>, P.</w:t>
      </w:r>
      <w:r w:rsidRPr="000E62A2">
        <w:rPr>
          <w:rFonts w:ascii="Arial" w:hAnsi="Arial" w:cs="Arial"/>
        </w:rPr>
        <w:t xml:space="preserve"> (2015)</w:t>
      </w:r>
      <w:r w:rsidR="00785EE3" w:rsidRPr="000E62A2">
        <w:rPr>
          <w:rFonts w:ascii="Arial" w:hAnsi="Arial" w:cs="Arial"/>
        </w:rPr>
        <w:t xml:space="preserve">, </w:t>
      </w:r>
      <w:r w:rsidRPr="000E62A2">
        <w:rPr>
          <w:rFonts w:ascii="Arial" w:hAnsi="Arial" w:cs="Arial"/>
          <w:i/>
        </w:rPr>
        <w:t>Introduction to Banking</w:t>
      </w:r>
      <w:r w:rsidRPr="000E62A2">
        <w:rPr>
          <w:rFonts w:ascii="Arial" w:hAnsi="Arial" w:cs="Arial"/>
        </w:rPr>
        <w:t>, 2nd Edition</w:t>
      </w:r>
      <w:r w:rsidR="000E62A2" w:rsidRPr="000E62A2">
        <w:rPr>
          <w:rFonts w:ascii="Arial" w:hAnsi="Arial" w:cs="Arial"/>
        </w:rPr>
        <w:t>. Harlow: Pearson Education Limited</w:t>
      </w:r>
      <w:r w:rsidRPr="000E62A2">
        <w:rPr>
          <w:rFonts w:ascii="Arial" w:hAnsi="Arial" w:cs="Arial"/>
        </w:rPr>
        <w:t>.</w:t>
      </w:r>
    </w:p>
    <w:p w14:paraId="5809B907" w14:textId="77777777" w:rsidR="000E62A2" w:rsidRPr="000E62A2" w:rsidRDefault="000E62A2" w:rsidP="00FC293B">
      <w:pPr>
        <w:spacing w:after="0" w:line="240" w:lineRule="auto"/>
        <w:ind w:left="426"/>
        <w:contextualSpacing/>
        <w:jc w:val="both"/>
        <w:rPr>
          <w:rFonts w:ascii="Arial" w:hAnsi="Arial" w:cs="Arial"/>
        </w:rPr>
      </w:pPr>
    </w:p>
    <w:p w14:paraId="12CE6D1E" w14:textId="5FB62CB3" w:rsidR="002429A1" w:rsidRDefault="0019595F" w:rsidP="00FC293B">
      <w:pPr>
        <w:spacing w:after="0" w:line="240" w:lineRule="auto"/>
        <w:ind w:left="426"/>
        <w:contextualSpacing/>
        <w:jc w:val="both"/>
        <w:rPr>
          <w:rFonts w:ascii="Arial" w:hAnsi="Arial" w:cs="Arial"/>
        </w:rPr>
      </w:pPr>
      <w:hyperlink r:id="rId8" w:history="1">
        <w:r w:rsidR="002429A1" w:rsidRPr="004E4A6D">
          <w:rPr>
            <w:rFonts w:ascii="Arial" w:hAnsi="Arial" w:cs="Arial"/>
          </w:rPr>
          <w:t>Finel-Honigman</w:t>
        </w:r>
      </w:hyperlink>
      <w:r w:rsidR="002429A1">
        <w:rPr>
          <w:rFonts w:ascii="Arial" w:hAnsi="Arial" w:cs="Arial"/>
        </w:rPr>
        <w:t>,</w:t>
      </w:r>
      <w:r w:rsidR="002429A1" w:rsidRPr="004E4A6D">
        <w:rPr>
          <w:rFonts w:ascii="Arial" w:hAnsi="Arial" w:cs="Arial"/>
        </w:rPr>
        <w:t xml:space="preserve"> </w:t>
      </w:r>
      <w:hyperlink r:id="rId9" w:history="1">
        <w:r w:rsidR="002429A1" w:rsidRPr="004E4A6D">
          <w:rPr>
            <w:rFonts w:ascii="Arial" w:hAnsi="Arial" w:cs="Arial"/>
          </w:rPr>
          <w:t>I</w:t>
        </w:r>
        <w:r w:rsidR="002429A1">
          <w:rPr>
            <w:rFonts w:ascii="Arial" w:hAnsi="Arial" w:cs="Arial"/>
          </w:rPr>
          <w:t>.</w:t>
        </w:r>
      </w:hyperlink>
      <w:r w:rsidR="002429A1">
        <w:rPr>
          <w:rFonts w:ascii="Arial" w:hAnsi="Arial" w:cs="Arial"/>
        </w:rPr>
        <w:t xml:space="preserve"> (2015</w:t>
      </w:r>
      <w:r w:rsidR="002429A1" w:rsidRPr="002429A1">
        <w:rPr>
          <w:rFonts w:ascii="Arial" w:hAnsi="Arial" w:cs="Arial"/>
          <w:i/>
        </w:rPr>
        <w:t>) International Banking for a New Century</w:t>
      </w:r>
      <w:r w:rsidR="002429A1">
        <w:rPr>
          <w:rFonts w:ascii="Arial" w:hAnsi="Arial" w:cs="Arial"/>
        </w:rPr>
        <w:t>. New York, Routledge</w:t>
      </w:r>
    </w:p>
    <w:p w14:paraId="7B6152E6" w14:textId="77777777" w:rsidR="002429A1" w:rsidRPr="004E4A6D" w:rsidRDefault="002429A1" w:rsidP="00FC293B">
      <w:pPr>
        <w:spacing w:after="0" w:line="240" w:lineRule="auto"/>
        <w:ind w:left="426"/>
        <w:contextualSpacing/>
        <w:jc w:val="both"/>
        <w:rPr>
          <w:rFonts w:ascii="Arial" w:hAnsi="Arial" w:cs="Arial"/>
        </w:rPr>
      </w:pPr>
    </w:p>
    <w:p w14:paraId="080C3948" w14:textId="77777777" w:rsidR="007359CB" w:rsidRDefault="007359CB" w:rsidP="00FC293B">
      <w:pPr>
        <w:spacing w:after="0" w:line="240" w:lineRule="auto"/>
        <w:ind w:left="426"/>
        <w:contextualSpacing/>
        <w:jc w:val="both"/>
        <w:rPr>
          <w:rFonts w:ascii="Arial" w:hAnsi="Arial" w:cs="Arial"/>
        </w:rPr>
      </w:pPr>
      <w:r w:rsidRPr="000E62A2">
        <w:rPr>
          <w:rFonts w:ascii="Arial" w:hAnsi="Arial" w:cs="Arial"/>
        </w:rPr>
        <w:t>Saunders, A</w:t>
      </w:r>
      <w:r w:rsidR="00785EE3" w:rsidRPr="000E62A2">
        <w:rPr>
          <w:rFonts w:ascii="Arial" w:hAnsi="Arial" w:cs="Arial"/>
        </w:rPr>
        <w:t>.</w:t>
      </w:r>
      <w:r w:rsidRPr="000E62A2">
        <w:rPr>
          <w:rFonts w:ascii="Arial" w:hAnsi="Arial" w:cs="Arial"/>
        </w:rPr>
        <w:t xml:space="preserve"> and Millon Cornett</w:t>
      </w:r>
      <w:r w:rsidR="00785EE3" w:rsidRPr="000E62A2">
        <w:rPr>
          <w:rFonts w:ascii="Arial" w:hAnsi="Arial" w:cs="Arial"/>
        </w:rPr>
        <w:t>, M.</w:t>
      </w:r>
      <w:r w:rsidRPr="000E62A2">
        <w:rPr>
          <w:rFonts w:ascii="Arial" w:hAnsi="Arial" w:cs="Arial"/>
        </w:rPr>
        <w:t xml:space="preserve"> (2017) </w:t>
      </w:r>
      <w:r w:rsidRPr="000E62A2">
        <w:rPr>
          <w:rFonts w:ascii="Arial" w:hAnsi="Arial" w:cs="Arial"/>
          <w:i/>
        </w:rPr>
        <w:t>Financial Institutions Management: A Risk Management Approach</w:t>
      </w:r>
      <w:r w:rsidR="000E62A2" w:rsidRPr="000E62A2">
        <w:rPr>
          <w:rFonts w:ascii="Arial" w:hAnsi="Arial" w:cs="Arial"/>
        </w:rPr>
        <w:t>.</w:t>
      </w:r>
      <w:r w:rsidR="005D0628" w:rsidRPr="000E62A2">
        <w:rPr>
          <w:rFonts w:ascii="Arial" w:hAnsi="Arial" w:cs="Arial"/>
        </w:rPr>
        <w:t xml:space="preserve"> </w:t>
      </w:r>
      <w:r w:rsidRPr="000E62A2">
        <w:rPr>
          <w:rFonts w:ascii="Arial" w:hAnsi="Arial" w:cs="Arial"/>
        </w:rPr>
        <w:t>9th Edition</w:t>
      </w:r>
      <w:r w:rsidR="005D0628" w:rsidRPr="000E62A2">
        <w:rPr>
          <w:rFonts w:ascii="Arial" w:hAnsi="Arial" w:cs="Arial"/>
        </w:rPr>
        <w:t xml:space="preserve">. </w:t>
      </w:r>
      <w:r w:rsidR="004371D5">
        <w:rPr>
          <w:rFonts w:ascii="Arial" w:hAnsi="Arial" w:cs="Arial"/>
        </w:rPr>
        <w:t xml:space="preserve">Columbus, OH: </w:t>
      </w:r>
      <w:r w:rsidR="005D0628" w:rsidRPr="000E62A2">
        <w:rPr>
          <w:rFonts w:ascii="Arial" w:hAnsi="Arial" w:cs="Arial"/>
        </w:rPr>
        <w:t>McGraw-Hill.</w:t>
      </w:r>
    </w:p>
    <w:p w14:paraId="57FE3CAC" w14:textId="77777777" w:rsidR="000E62A2" w:rsidRPr="000E62A2" w:rsidRDefault="000E62A2" w:rsidP="00FC293B">
      <w:pPr>
        <w:spacing w:after="0" w:line="240" w:lineRule="auto"/>
        <w:ind w:left="426"/>
        <w:contextualSpacing/>
        <w:jc w:val="both"/>
        <w:rPr>
          <w:rFonts w:ascii="Arial" w:hAnsi="Arial" w:cs="Arial"/>
        </w:rPr>
      </w:pPr>
    </w:p>
    <w:p w14:paraId="4F6A7131" w14:textId="77777777" w:rsidR="007C7D49" w:rsidRDefault="002953AE" w:rsidP="00FC293B">
      <w:pPr>
        <w:pStyle w:val="ListParagraph"/>
        <w:numPr>
          <w:ilvl w:val="0"/>
          <w:numId w:val="18"/>
        </w:numPr>
        <w:spacing w:after="120" w:line="240" w:lineRule="auto"/>
        <w:ind w:right="260"/>
        <w:rPr>
          <w:rFonts w:ascii="Arial" w:hAnsi="Arial" w:cs="Arial"/>
          <w:i/>
          <w:iCs/>
        </w:rPr>
      </w:pPr>
      <w:r w:rsidRPr="002953AE">
        <w:rPr>
          <w:rFonts w:ascii="Arial" w:hAnsi="Arial" w:cs="Arial"/>
          <w:b/>
        </w:rPr>
        <w:t>Learning and teaching methods</w:t>
      </w:r>
    </w:p>
    <w:p w14:paraId="7826550A" w14:textId="02AC2B7B" w:rsidR="00F54459" w:rsidRPr="00F54459" w:rsidRDefault="00F54459" w:rsidP="00FC293B">
      <w:pPr>
        <w:spacing w:after="120" w:line="240" w:lineRule="auto"/>
        <w:ind w:left="426" w:right="260"/>
        <w:contextualSpacing/>
        <w:jc w:val="both"/>
        <w:rPr>
          <w:rFonts w:ascii="Arial" w:hAnsi="Arial" w:cs="Arial"/>
        </w:rPr>
      </w:pPr>
      <w:r w:rsidRPr="00F54459">
        <w:rPr>
          <w:rFonts w:ascii="Arial" w:hAnsi="Arial" w:cs="Arial"/>
        </w:rPr>
        <w:t xml:space="preserve">Total Contact Hours: </w:t>
      </w:r>
      <w:r>
        <w:rPr>
          <w:rFonts w:ascii="Arial" w:hAnsi="Arial" w:cs="Arial"/>
        </w:rPr>
        <w:t>33</w:t>
      </w:r>
    </w:p>
    <w:p w14:paraId="4BC0B8A0" w14:textId="2102C780" w:rsidR="00F54459" w:rsidRDefault="00F54459" w:rsidP="00FC293B">
      <w:pPr>
        <w:spacing w:after="120" w:line="240" w:lineRule="auto"/>
        <w:ind w:left="426" w:right="260"/>
        <w:contextualSpacing/>
        <w:jc w:val="both"/>
        <w:rPr>
          <w:rFonts w:ascii="Arial" w:hAnsi="Arial" w:cs="Arial"/>
        </w:rPr>
      </w:pPr>
      <w:r w:rsidRPr="00F54459">
        <w:rPr>
          <w:rFonts w:ascii="Arial" w:hAnsi="Arial" w:cs="Arial"/>
        </w:rPr>
        <w:t>Private Study Hours</w:t>
      </w:r>
      <w:r>
        <w:rPr>
          <w:rFonts w:ascii="Arial" w:hAnsi="Arial" w:cs="Arial"/>
        </w:rPr>
        <w:t>: 117</w:t>
      </w:r>
    </w:p>
    <w:p w14:paraId="0AAB8E68" w14:textId="7BD597F0" w:rsidR="00530970" w:rsidRDefault="005D6C4B" w:rsidP="00FC293B">
      <w:pPr>
        <w:spacing w:after="120" w:line="240" w:lineRule="auto"/>
        <w:ind w:left="426" w:right="260"/>
        <w:contextualSpacing/>
        <w:jc w:val="both"/>
        <w:rPr>
          <w:rFonts w:ascii="Arial" w:hAnsi="Arial" w:cs="Arial"/>
        </w:rPr>
      </w:pPr>
      <w:r>
        <w:rPr>
          <w:rFonts w:ascii="Arial" w:hAnsi="Arial" w:cs="Arial"/>
        </w:rPr>
        <w:t>Total hours: 150</w:t>
      </w:r>
    </w:p>
    <w:p w14:paraId="7282D271" w14:textId="77777777" w:rsidR="007C7D49" w:rsidRDefault="002953AE" w:rsidP="00FC293B">
      <w:pPr>
        <w:pStyle w:val="ListParagraph"/>
        <w:numPr>
          <w:ilvl w:val="0"/>
          <w:numId w:val="18"/>
        </w:numPr>
        <w:spacing w:after="120" w:line="240" w:lineRule="auto"/>
        <w:ind w:right="260"/>
        <w:rPr>
          <w:rFonts w:ascii="Arial" w:hAnsi="Arial" w:cs="Arial"/>
          <w:b/>
          <w:i/>
          <w:iCs/>
        </w:rPr>
      </w:pPr>
      <w:r w:rsidRPr="002953AE">
        <w:rPr>
          <w:rFonts w:ascii="Arial" w:hAnsi="Arial" w:cs="Arial"/>
          <w:b/>
        </w:rPr>
        <w:t>Assessment methods</w:t>
      </w:r>
    </w:p>
    <w:p w14:paraId="5D94347F" w14:textId="59DA3E0C" w:rsidR="00F54459" w:rsidRDefault="00F54459" w:rsidP="00FC293B">
      <w:pPr>
        <w:spacing w:after="120" w:line="240" w:lineRule="auto"/>
        <w:ind w:left="426" w:right="260"/>
        <w:contextualSpacing/>
        <w:jc w:val="both"/>
        <w:rPr>
          <w:rFonts w:ascii="Arial" w:hAnsi="Arial" w:cs="Arial"/>
        </w:rPr>
      </w:pPr>
      <w:r>
        <w:rPr>
          <w:rFonts w:ascii="Arial" w:hAnsi="Arial" w:cs="Arial"/>
        </w:rPr>
        <w:t xml:space="preserve">13.1 </w:t>
      </w:r>
      <w:r w:rsidRPr="00F54459">
        <w:rPr>
          <w:rFonts w:ascii="Arial" w:hAnsi="Arial" w:cs="Arial"/>
        </w:rPr>
        <w:t>Main assessment methods</w:t>
      </w:r>
    </w:p>
    <w:p w14:paraId="248B26CE" w14:textId="5754E095" w:rsidR="00F54459" w:rsidRDefault="00F54459" w:rsidP="00FC293B">
      <w:pPr>
        <w:spacing w:after="120" w:line="240" w:lineRule="auto"/>
        <w:ind w:left="426" w:right="260"/>
        <w:contextualSpacing/>
        <w:jc w:val="both"/>
        <w:rPr>
          <w:rFonts w:ascii="Arial" w:hAnsi="Arial" w:cs="Arial"/>
        </w:rPr>
      </w:pPr>
      <w:r>
        <w:rPr>
          <w:rFonts w:ascii="Arial" w:hAnsi="Arial" w:cs="Arial"/>
        </w:rPr>
        <w:t xml:space="preserve">Examination: </w:t>
      </w:r>
      <w:r w:rsidRPr="004E5D59">
        <w:rPr>
          <w:rFonts w:ascii="Arial" w:hAnsi="Arial" w:cs="Arial"/>
        </w:rPr>
        <w:t>two-hour, unseen and closed book</w:t>
      </w:r>
      <w:r>
        <w:rPr>
          <w:rFonts w:ascii="Arial" w:hAnsi="Arial" w:cs="Arial"/>
        </w:rPr>
        <w:t>: 70%</w:t>
      </w:r>
    </w:p>
    <w:p w14:paraId="7F5F56C3" w14:textId="00894FD5" w:rsidR="00F54459" w:rsidRDefault="00F54459" w:rsidP="00FC293B">
      <w:pPr>
        <w:spacing w:after="120" w:line="240" w:lineRule="auto"/>
        <w:ind w:left="426" w:right="260"/>
        <w:contextualSpacing/>
        <w:jc w:val="both"/>
        <w:rPr>
          <w:rFonts w:ascii="Arial" w:hAnsi="Arial" w:cs="Arial"/>
        </w:rPr>
      </w:pPr>
      <w:r>
        <w:rPr>
          <w:rFonts w:ascii="Arial" w:hAnsi="Arial" w:cs="Arial"/>
        </w:rPr>
        <w:t>Group Report: 2,000 words: 30%</w:t>
      </w:r>
    </w:p>
    <w:p w14:paraId="7F16AF5F" w14:textId="4084FD26" w:rsidR="000D1D97" w:rsidRPr="001C1422" w:rsidRDefault="00C66825" w:rsidP="00FC293B">
      <w:pPr>
        <w:spacing w:after="120" w:line="240" w:lineRule="auto"/>
        <w:ind w:left="426" w:right="260"/>
        <w:contextualSpacing/>
        <w:jc w:val="both"/>
        <w:rPr>
          <w:rFonts w:ascii="Arial" w:hAnsi="Arial" w:cs="Arial"/>
        </w:rPr>
      </w:pPr>
      <w:r w:rsidRPr="001C1422">
        <w:rPr>
          <w:rFonts w:ascii="Arial" w:hAnsi="Arial" w:cs="Arial"/>
        </w:rPr>
        <w:t>13.2 Reassessment methods</w:t>
      </w:r>
    </w:p>
    <w:p w14:paraId="0C011039" w14:textId="1BACC1E9" w:rsidR="001C1422" w:rsidRDefault="005D6C4B" w:rsidP="00FC293B">
      <w:pPr>
        <w:spacing w:after="120" w:line="240" w:lineRule="auto"/>
        <w:ind w:right="260" w:firstLine="360"/>
        <w:contextualSpacing/>
        <w:jc w:val="both"/>
        <w:rPr>
          <w:rFonts w:ascii="Arial" w:hAnsi="Arial" w:cs="Arial"/>
        </w:rPr>
      </w:pPr>
      <w:r>
        <w:rPr>
          <w:rFonts w:ascii="Arial" w:hAnsi="Arial" w:cs="Arial"/>
        </w:rPr>
        <w:t>100% examination</w:t>
      </w:r>
    </w:p>
    <w:p w14:paraId="4D97D558" w14:textId="77777777" w:rsidR="00107A4D" w:rsidRPr="001C1422" w:rsidRDefault="00107A4D" w:rsidP="00FC293B">
      <w:pPr>
        <w:spacing w:after="120" w:line="240" w:lineRule="auto"/>
        <w:ind w:right="260" w:firstLine="360"/>
        <w:contextualSpacing/>
        <w:jc w:val="both"/>
        <w:rPr>
          <w:rFonts w:ascii="Arial" w:hAnsi="Arial" w:cs="Arial"/>
        </w:rPr>
      </w:pPr>
    </w:p>
    <w:p w14:paraId="2452BC4F" w14:textId="77777777" w:rsidR="007C7D49" w:rsidRDefault="002953AE" w:rsidP="00FC293B">
      <w:pPr>
        <w:pStyle w:val="ListParagraph"/>
        <w:numPr>
          <w:ilvl w:val="0"/>
          <w:numId w:val="18"/>
        </w:numPr>
        <w:spacing w:after="120" w:line="240" w:lineRule="auto"/>
        <w:ind w:right="260"/>
        <w:jc w:val="both"/>
        <w:rPr>
          <w:rFonts w:ascii="Arial" w:hAnsi="Arial" w:cs="Arial"/>
          <w:b/>
          <w:iCs/>
        </w:rPr>
      </w:pPr>
      <w:r w:rsidRPr="002953AE">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4587"/>
        <w:gridCol w:w="1078"/>
        <w:gridCol w:w="883"/>
        <w:gridCol w:w="782"/>
        <w:gridCol w:w="782"/>
        <w:gridCol w:w="782"/>
        <w:gridCol w:w="782"/>
        <w:gridCol w:w="780"/>
      </w:tblGrid>
      <w:tr w:rsidR="007944B2" w:rsidRPr="00302082" w14:paraId="558EE575" w14:textId="77777777" w:rsidTr="00107A4D">
        <w:tc>
          <w:tcPr>
            <w:tcW w:w="2193" w:type="pct"/>
            <w:shd w:val="clear" w:color="auto" w:fill="D9D9D9" w:themeFill="background1" w:themeFillShade="D9"/>
          </w:tcPr>
          <w:p w14:paraId="150EF2A7" w14:textId="77777777" w:rsidR="007944B2" w:rsidRPr="00302082" w:rsidRDefault="007944B2" w:rsidP="00FC293B">
            <w:pPr>
              <w:spacing w:after="120"/>
              <w:ind w:left="33"/>
              <w:contextualSpacing/>
              <w:rPr>
                <w:rFonts w:ascii="Arial" w:hAnsi="Arial" w:cs="Arial"/>
                <w:b/>
              </w:rPr>
            </w:pPr>
            <w:r w:rsidRPr="00302082">
              <w:rPr>
                <w:rFonts w:ascii="Arial" w:hAnsi="Arial" w:cs="Arial"/>
                <w:b/>
              </w:rPr>
              <w:t>Module learning outcome</w:t>
            </w:r>
          </w:p>
        </w:tc>
        <w:tc>
          <w:tcPr>
            <w:tcW w:w="515" w:type="pct"/>
          </w:tcPr>
          <w:p w14:paraId="2FB21DA9" w14:textId="77777777" w:rsidR="007944B2" w:rsidRPr="00302082" w:rsidRDefault="007944B2" w:rsidP="00FC293B">
            <w:pPr>
              <w:spacing w:after="120"/>
              <w:contextualSpacing/>
              <w:rPr>
                <w:rFonts w:ascii="Arial" w:hAnsi="Arial" w:cs="Arial"/>
                <w:i/>
              </w:rPr>
            </w:pPr>
            <w:r w:rsidRPr="00302082">
              <w:rPr>
                <w:rFonts w:ascii="Arial" w:hAnsi="Arial" w:cs="Arial"/>
                <w:i/>
              </w:rPr>
              <w:t>8.1</w:t>
            </w:r>
          </w:p>
        </w:tc>
        <w:tc>
          <w:tcPr>
            <w:tcW w:w="422" w:type="pct"/>
          </w:tcPr>
          <w:p w14:paraId="5F289F9B" w14:textId="77777777" w:rsidR="007944B2" w:rsidRPr="00302082" w:rsidRDefault="007944B2" w:rsidP="00FC293B">
            <w:pPr>
              <w:spacing w:after="120"/>
              <w:contextualSpacing/>
              <w:rPr>
                <w:rFonts w:ascii="Arial" w:hAnsi="Arial" w:cs="Arial"/>
                <w:i/>
              </w:rPr>
            </w:pPr>
            <w:r w:rsidRPr="00302082">
              <w:rPr>
                <w:rFonts w:ascii="Arial" w:hAnsi="Arial" w:cs="Arial"/>
                <w:i/>
              </w:rPr>
              <w:t>8.2</w:t>
            </w:r>
          </w:p>
        </w:tc>
        <w:tc>
          <w:tcPr>
            <w:tcW w:w="374" w:type="pct"/>
          </w:tcPr>
          <w:p w14:paraId="347FD487" w14:textId="77777777" w:rsidR="007944B2" w:rsidRPr="00302082" w:rsidRDefault="007944B2" w:rsidP="00FC293B">
            <w:pPr>
              <w:spacing w:after="120"/>
              <w:contextualSpacing/>
              <w:rPr>
                <w:rFonts w:ascii="Arial" w:hAnsi="Arial" w:cs="Arial"/>
                <w:i/>
              </w:rPr>
            </w:pPr>
            <w:r w:rsidRPr="00302082">
              <w:rPr>
                <w:rFonts w:ascii="Arial" w:hAnsi="Arial" w:cs="Arial"/>
                <w:i/>
              </w:rPr>
              <w:t>8.3</w:t>
            </w:r>
          </w:p>
        </w:tc>
        <w:tc>
          <w:tcPr>
            <w:tcW w:w="374" w:type="pct"/>
          </w:tcPr>
          <w:p w14:paraId="27090301" w14:textId="77777777" w:rsidR="007944B2" w:rsidRPr="00302082" w:rsidRDefault="007944B2" w:rsidP="00FC293B">
            <w:pPr>
              <w:spacing w:after="120"/>
              <w:contextualSpacing/>
              <w:rPr>
                <w:rFonts w:ascii="Arial" w:hAnsi="Arial" w:cs="Arial"/>
                <w:i/>
              </w:rPr>
            </w:pPr>
            <w:r w:rsidRPr="00302082">
              <w:rPr>
                <w:rFonts w:ascii="Arial" w:hAnsi="Arial" w:cs="Arial"/>
                <w:i/>
              </w:rPr>
              <w:t>8.4</w:t>
            </w:r>
          </w:p>
        </w:tc>
        <w:tc>
          <w:tcPr>
            <w:tcW w:w="374" w:type="pct"/>
          </w:tcPr>
          <w:p w14:paraId="1FC50D8A" w14:textId="77777777" w:rsidR="007944B2" w:rsidRPr="00302082" w:rsidRDefault="007944B2" w:rsidP="00FC293B">
            <w:pPr>
              <w:spacing w:after="120"/>
              <w:contextualSpacing/>
              <w:rPr>
                <w:rFonts w:ascii="Arial" w:hAnsi="Arial" w:cs="Arial"/>
                <w:i/>
              </w:rPr>
            </w:pPr>
            <w:r w:rsidRPr="00302082">
              <w:rPr>
                <w:rFonts w:ascii="Arial" w:hAnsi="Arial" w:cs="Arial"/>
                <w:i/>
              </w:rPr>
              <w:t>9.1</w:t>
            </w:r>
          </w:p>
        </w:tc>
        <w:tc>
          <w:tcPr>
            <w:tcW w:w="374" w:type="pct"/>
          </w:tcPr>
          <w:p w14:paraId="65A5283E" w14:textId="77777777" w:rsidR="007944B2" w:rsidRPr="00302082" w:rsidRDefault="007944B2" w:rsidP="00FC293B">
            <w:pPr>
              <w:spacing w:after="120"/>
              <w:contextualSpacing/>
              <w:rPr>
                <w:rFonts w:ascii="Arial" w:hAnsi="Arial" w:cs="Arial"/>
                <w:i/>
              </w:rPr>
            </w:pPr>
            <w:r w:rsidRPr="00302082">
              <w:rPr>
                <w:rFonts w:ascii="Arial" w:hAnsi="Arial" w:cs="Arial"/>
                <w:i/>
              </w:rPr>
              <w:t>9.2</w:t>
            </w:r>
          </w:p>
        </w:tc>
        <w:tc>
          <w:tcPr>
            <w:tcW w:w="373" w:type="pct"/>
          </w:tcPr>
          <w:p w14:paraId="0C05CCCF" w14:textId="77777777" w:rsidR="007944B2" w:rsidRPr="00302082" w:rsidRDefault="007944B2" w:rsidP="00FC293B">
            <w:pPr>
              <w:spacing w:after="120"/>
              <w:contextualSpacing/>
              <w:rPr>
                <w:rFonts w:ascii="Arial" w:hAnsi="Arial" w:cs="Arial"/>
                <w:i/>
              </w:rPr>
            </w:pPr>
            <w:r w:rsidRPr="00302082">
              <w:rPr>
                <w:rFonts w:ascii="Arial" w:hAnsi="Arial" w:cs="Arial"/>
                <w:i/>
              </w:rPr>
              <w:t>9.</w:t>
            </w:r>
            <w:r>
              <w:rPr>
                <w:rFonts w:ascii="Arial" w:hAnsi="Arial" w:cs="Arial"/>
                <w:i/>
              </w:rPr>
              <w:t>3</w:t>
            </w:r>
          </w:p>
        </w:tc>
      </w:tr>
      <w:tr w:rsidR="007944B2" w:rsidRPr="00302082" w14:paraId="1960DA73" w14:textId="77777777" w:rsidTr="00107A4D">
        <w:tc>
          <w:tcPr>
            <w:tcW w:w="2193" w:type="pct"/>
            <w:shd w:val="clear" w:color="auto" w:fill="D9D9D9" w:themeFill="background1" w:themeFillShade="D9"/>
          </w:tcPr>
          <w:p w14:paraId="6605A58C" w14:textId="77777777" w:rsidR="007944B2" w:rsidRPr="00302082" w:rsidRDefault="007944B2" w:rsidP="00FC293B">
            <w:pPr>
              <w:spacing w:after="120"/>
              <w:contextualSpacing/>
              <w:rPr>
                <w:rFonts w:ascii="Arial" w:hAnsi="Arial" w:cs="Arial"/>
                <w:b/>
              </w:rPr>
            </w:pPr>
            <w:r w:rsidRPr="00302082">
              <w:rPr>
                <w:rFonts w:ascii="Arial" w:hAnsi="Arial" w:cs="Arial"/>
                <w:b/>
              </w:rPr>
              <w:t>Learning/ teaching method</w:t>
            </w:r>
          </w:p>
        </w:tc>
        <w:tc>
          <w:tcPr>
            <w:tcW w:w="515" w:type="pct"/>
          </w:tcPr>
          <w:p w14:paraId="617BB866" w14:textId="77777777" w:rsidR="007944B2" w:rsidRPr="00302082" w:rsidRDefault="007944B2" w:rsidP="00FC293B">
            <w:pPr>
              <w:spacing w:after="120"/>
              <w:contextualSpacing/>
              <w:rPr>
                <w:rFonts w:ascii="Arial" w:hAnsi="Arial" w:cs="Arial"/>
                <w:b/>
              </w:rPr>
            </w:pPr>
          </w:p>
        </w:tc>
        <w:tc>
          <w:tcPr>
            <w:tcW w:w="422" w:type="pct"/>
          </w:tcPr>
          <w:p w14:paraId="625DFD97" w14:textId="77777777" w:rsidR="007944B2" w:rsidRPr="00302082" w:rsidRDefault="007944B2" w:rsidP="00FC293B">
            <w:pPr>
              <w:spacing w:after="120"/>
              <w:contextualSpacing/>
              <w:rPr>
                <w:rFonts w:ascii="Arial" w:hAnsi="Arial" w:cs="Arial"/>
                <w:b/>
              </w:rPr>
            </w:pPr>
          </w:p>
        </w:tc>
        <w:tc>
          <w:tcPr>
            <w:tcW w:w="374" w:type="pct"/>
          </w:tcPr>
          <w:p w14:paraId="4AD68736" w14:textId="77777777" w:rsidR="007944B2" w:rsidRPr="00302082" w:rsidRDefault="007944B2" w:rsidP="00FC293B">
            <w:pPr>
              <w:spacing w:after="120"/>
              <w:contextualSpacing/>
              <w:rPr>
                <w:rFonts w:ascii="Arial" w:hAnsi="Arial" w:cs="Arial"/>
                <w:b/>
              </w:rPr>
            </w:pPr>
          </w:p>
        </w:tc>
        <w:tc>
          <w:tcPr>
            <w:tcW w:w="374" w:type="pct"/>
          </w:tcPr>
          <w:p w14:paraId="230DF80A" w14:textId="77777777" w:rsidR="007944B2" w:rsidRPr="00302082" w:rsidRDefault="007944B2" w:rsidP="00FC293B">
            <w:pPr>
              <w:spacing w:after="120"/>
              <w:contextualSpacing/>
              <w:rPr>
                <w:rFonts w:ascii="Arial" w:hAnsi="Arial" w:cs="Arial"/>
                <w:b/>
              </w:rPr>
            </w:pPr>
          </w:p>
        </w:tc>
        <w:tc>
          <w:tcPr>
            <w:tcW w:w="374" w:type="pct"/>
          </w:tcPr>
          <w:p w14:paraId="69F14DCE" w14:textId="77777777" w:rsidR="007944B2" w:rsidRPr="00302082" w:rsidRDefault="007944B2" w:rsidP="00FC293B">
            <w:pPr>
              <w:spacing w:after="120"/>
              <w:contextualSpacing/>
              <w:rPr>
                <w:rFonts w:ascii="Arial" w:hAnsi="Arial" w:cs="Arial"/>
                <w:b/>
              </w:rPr>
            </w:pPr>
          </w:p>
        </w:tc>
        <w:tc>
          <w:tcPr>
            <w:tcW w:w="374" w:type="pct"/>
          </w:tcPr>
          <w:p w14:paraId="6942BE30" w14:textId="77777777" w:rsidR="007944B2" w:rsidRPr="00302082" w:rsidRDefault="007944B2" w:rsidP="00FC293B">
            <w:pPr>
              <w:spacing w:after="120"/>
              <w:contextualSpacing/>
              <w:rPr>
                <w:rFonts w:ascii="Arial" w:hAnsi="Arial" w:cs="Arial"/>
                <w:b/>
              </w:rPr>
            </w:pPr>
          </w:p>
        </w:tc>
        <w:tc>
          <w:tcPr>
            <w:tcW w:w="373" w:type="pct"/>
          </w:tcPr>
          <w:p w14:paraId="408715EC" w14:textId="77777777" w:rsidR="007944B2" w:rsidRPr="00302082" w:rsidRDefault="007944B2" w:rsidP="00FC293B">
            <w:pPr>
              <w:spacing w:after="120"/>
              <w:contextualSpacing/>
              <w:rPr>
                <w:rFonts w:ascii="Arial" w:hAnsi="Arial" w:cs="Arial"/>
                <w:b/>
              </w:rPr>
            </w:pPr>
          </w:p>
        </w:tc>
      </w:tr>
      <w:tr w:rsidR="007944B2" w:rsidRPr="00302082" w14:paraId="0ADFCD18" w14:textId="77777777" w:rsidTr="00107A4D">
        <w:tc>
          <w:tcPr>
            <w:tcW w:w="2193" w:type="pct"/>
          </w:tcPr>
          <w:p w14:paraId="33A92DD8" w14:textId="77777777" w:rsidR="007944B2" w:rsidRPr="00687921" w:rsidRDefault="007944B2" w:rsidP="00FC293B">
            <w:pPr>
              <w:spacing w:after="120" w:line="276" w:lineRule="auto"/>
              <w:contextualSpacing/>
              <w:rPr>
                <w:rFonts w:ascii="Arial" w:hAnsi="Arial" w:cs="Arial"/>
              </w:rPr>
            </w:pPr>
            <w:r w:rsidRPr="002953AE">
              <w:rPr>
                <w:rFonts w:ascii="Arial" w:hAnsi="Arial" w:cs="Arial"/>
              </w:rPr>
              <w:t>Lectures</w:t>
            </w:r>
          </w:p>
        </w:tc>
        <w:tc>
          <w:tcPr>
            <w:tcW w:w="515" w:type="pct"/>
          </w:tcPr>
          <w:p w14:paraId="35E1238B"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Pr>
          <w:p w14:paraId="191D4C03"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13F9D1A1"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71EBCC5A"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7E0B81BE"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1A7D4957"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3" w:type="pct"/>
          </w:tcPr>
          <w:p w14:paraId="5373570F" w14:textId="77777777" w:rsidR="007944B2" w:rsidRPr="00302082" w:rsidRDefault="007944B2" w:rsidP="00FC293B">
            <w:pPr>
              <w:spacing w:after="120"/>
              <w:contextualSpacing/>
              <w:rPr>
                <w:rFonts w:ascii="Arial" w:hAnsi="Arial" w:cs="Arial"/>
                <w:b/>
              </w:rPr>
            </w:pPr>
            <w:r>
              <w:rPr>
                <w:rFonts w:ascii="Arial" w:hAnsi="Arial" w:cs="Arial"/>
                <w:b/>
              </w:rPr>
              <w:t>X</w:t>
            </w:r>
          </w:p>
        </w:tc>
      </w:tr>
      <w:tr w:rsidR="007944B2" w:rsidRPr="00302082" w14:paraId="4BDA9038" w14:textId="77777777" w:rsidTr="00107A4D">
        <w:tc>
          <w:tcPr>
            <w:tcW w:w="2193" w:type="pct"/>
          </w:tcPr>
          <w:p w14:paraId="46CBC1BF" w14:textId="77777777" w:rsidR="007944B2" w:rsidRPr="00687921" w:rsidRDefault="007944B2" w:rsidP="00FC293B">
            <w:pPr>
              <w:spacing w:after="120" w:line="276" w:lineRule="auto"/>
              <w:contextualSpacing/>
              <w:rPr>
                <w:rFonts w:ascii="Arial" w:hAnsi="Arial" w:cs="Arial"/>
              </w:rPr>
            </w:pPr>
            <w:r w:rsidRPr="002953AE">
              <w:rPr>
                <w:rFonts w:ascii="Arial" w:hAnsi="Arial" w:cs="Arial"/>
              </w:rPr>
              <w:t>Seminars</w:t>
            </w:r>
          </w:p>
        </w:tc>
        <w:tc>
          <w:tcPr>
            <w:tcW w:w="515" w:type="pct"/>
          </w:tcPr>
          <w:p w14:paraId="260F442A"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Pr>
          <w:p w14:paraId="32B6BC40"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2760B78C"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446E3699"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53316306"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28B0B60C"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3" w:type="pct"/>
          </w:tcPr>
          <w:p w14:paraId="1E44AE2C" w14:textId="77777777" w:rsidR="007944B2" w:rsidRPr="00302082" w:rsidRDefault="007944B2" w:rsidP="00FC293B">
            <w:pPr>
              <w:spacing w:after="120"/>
              <w:contextualSpacing/>
              <w:rPr>
                <w:rFonts w:ascii="Arial" w:hAnsi="Arial" w:cs="Arial"/>
                <w:b/>
              </w:rPr>
            </w:pPr>
            <w:r>
              <w:rPr>
                <w:rFonts w:ascii="Arial" w:hAnsi="Arial" w:cs="Arial"/>
                <w:b/>
              </w:rPr>
              <w:t>X</w:t>
            </w:r>
          </w:p>
        </w:tc>
      </w:tr>
      <w:tr w:rsidR="007944B2" w:rsidRPr="00302082" w14:paraId="3FCDA49A" w14:textId="77777777" w:rsidTr="00107A4D">
        <w:tc>
          <w:tcPr>
            <w:tcW w:w="2193" w:type="pct"/>
          </w:tcPr>
          <w:p w14:paraId="1ADBA410" w14:textId="77777777" w:rsidR="007944B2" w:rsidRPr="00687921" w:rsidRDefault="007944B2" w:rsidP="00FC293B">
            <w:pPr>
              <w:spacing w:after="120" w:line="276" w:lineRule="auto"/>
              <w:contextualSpacing/>
              <w:rPr>
                <w:rFonts w:ascii="Arial" w:hAnsi="Arial" w:cs="Arial"/>
              </w:rPr>
            </w:pPr>
            <w:r w:rsidRPr="002953AE">
              <w:rPr>
                <w:rFonts w:ascii="Arial" w:hAnsi="Arial" w:cs="Arial"/>
              </w:rPr>
              <w:t>Private Study</w:t>
            </w:r>
          </w:p>
        </w:tc>
        <w:tc>
          <w:tcPr>
            <w:tcW w:w="515" w:type="pct"/>
          </w:tcPr>
          <w:p w14:paraId="4C91AAD9"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Pr>
          <w:p w14:paraId="0B5435CE"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38A0D3B0"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0CE5D517"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682C9823"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11D56D2E" w14:textId="77777777" w:rsidR="007944B2" w:rsidRPr="00302082" w:rsidRDefault="007944B2" w:rsidP="00FC293B">
            <w:pPr>
              <w:spacing w:after="120"/>
              <w:contextualSpacing/>
              <w:rPr>
                <w:rFonts w:ascii="Arial" w:hAnsi="Arial" w:cs="Arial"/>
                <w:b/>
              </w:rPr>
            </w:pPr>
          </w:p>
        </w:tc>
        <w:tc>
          <w:tcPr>
            <w:tcW w:w="373" w:type="pct"/>
          </w:tcPr>
          <w:p w14:paraId="43CA37DB" w14:textId="77777777" w:rsidR="007944B2" w:rsidRPr="00302082" w:rsidRDefault="007944B2" w:rsidP="00FC293B">
            <w:pPr>
              <w:spacing w:after="120"/>
              <w:contextualSpacing/>
              <w:rPr>
                <w:rFonts w:ascii="Arial" w:hAnsi="Arial" w:cs="Arial"/>
                <w:b/>
              </w:rPr>
            </w:pPr>
            <w:r>
              <w:rPr>
                <w:rFonts w:ascii="Arial" w:hAnsi="Arial" w:cs="Arial"/>
                <w:b/>
              </w:rPr>
              <w:t>X</w:t>
            </w:r>
          </w:p>
        </w:tc>
      </w:tr>
      <w:tr w:rsidR="007944B2" w:rsidRPr="00302082" w14:paraId="46AF04AD" w14:textId="77777777" w:rsidTr="00107A4D">
        <w:tc>
          <w:tcPr>
            <w:tcW w:w="2193" w:type="pct"/>
            <w:shd w:val="clear" w:color="auto" w:fill="D9D9D9" w:themeFill="background1" w:themeFillShade="D9"/>
          </w:tcPr>
          <w:p w14:paraId="4F306BD4" w14:textId="77777777" w:rsidR="007944B2" w:rsidRPr="00302082" w:rsidRDefault="007944B2" w:rsidP="00FC293B">
            <w:pPr>
              <w:spacing w:after="120"/>
              <w:contextualSpacing/>
              <w:rPr>
                <w:rFonts w:ascii="Arial" w:hAnsi="Arial" w:cs="Arial"/>
                <w:b/>
              </w:rPr>
            </w:pPr>
            <w:r w:rsidRPr="00302082">
              <w:rPr>
                <w:rFonts w:ascii="Arial" w:hAnsi="Arial" w:cs="Arial"/>
                <w:b/>
              </w:rPr>
              <w:t>Assessment method</w:t>
            </w:r>
          </w:p>
        </w:tc>
        <w:tc>
          <w:tcPr>
            <w:tcW w:w="515" w:type="pct"/>
          </w:tcPr>
          <w:p w14:paraId="5E1BA6B9" w14:textId="77777777" w:rsidR="007944B2" w:rsidRPr="00302082" w:rsidRDefault="007944B2" w:rsidP="00FC293B">
            <w:pPr>
              <w:spacing w:after="120"/>
              <w:contextualSpacing/>
              <w:rPr>
                <w:rFonts w:ascii="Arial" w:hAnsi="Arial" w:cs="Arial"/>
                <w:b/>
              </w:rPr>
            </w:pPr>
          </w:p>
        </w:tc>
        <w:tc>
          <w:tcPr>
            <w:tcW w:w="422" w:type="pct"/>
          </w:tcPr>
          <w:p w14:paraId="65D8011D" w14:textId="77777777" w:rsidR="007944B2" w:rsidRPr="00302082" w:rsidRDefault="007944B2" w:rsidP="00FC293B">
            <w:pPr>
              <w:spacing w:after="120"/>
              <w:contextualSpacing/>
              <w:rPr>
                <w:rFonts w:ascii="Arial" w:hAnsi="Arial" w:cs="Arial"/>
                <w:b/>
              </w:rPr>
            </w:pPr>
          </w:p>
        </w:tc>
        <w:tc>
          <w:tcPr>
            <w:tcW w:w="374" w:type="pct"/>
          </w:tcPr>
          <w:p w14:paraId="2AAFA3AE" w14:textId="77777777" w:rsidR="007944B2" w:rsidRPr="00302082" w:rsidRDefault="007944B2" w:rsidP="00FC293B">
            <w:pPr>
              <w:spacing w:after="120"/>
              <w:contextualSpacing/>
              <w:rPr>
                <w:rFonts w:ascii="Arial" w:hAnsi="Arial" w:cs="Arial"/>
                <w:b/>
              </w:rPr>
            </w:pPr>
          </w:p>
        </w:tc>
        <w:tc>
          <w:tcPr>
            <w:tcW w:w="374" w:type="pct"/>
          </w:tcPr>
          <w:p w14:paraId="2F272480" w14:textId="77777777" w:rsidR="007944B2" w:rsidRPr="00302082" w:rsidRDefault="007944B2" w:rsidP="00FC293B">
            <w:pPr>
              <w:spacing w:after="120"/>
              <w:contextualSpacing/>
              <w:rPr>
                <w:rFonts w:ascii="Arial" w:hAnsi="Arial" w:cs="Arial"/>
                <w:b/>
              </w:rPr>
            </w:pPr>
          </w:p>
        </w:tc>
        <w:tc>
          <w:tcPr>
            <w:tcW w:w="374" w:type="pct"/>
          </w:tcPr>
          <w:p w14:paraId="0BB0179F" w14:textId="77777777" w:rsidR="007944B2" w:rsidRPr="00302082" w:rsidRDefault="007944B2" w:rsidP="00FC293B">
            <w:pPr>
              <w:spacing w:after="120"/>
              <w:contextualSpacing/>
              <w:rPr>
                <w:rFonts w:ascii="Arial" w:hAnsi="Arial" w:cs="Arial"/>
                <w:b/>
              </w:rPr>
            </w:pPr>
          </w:p>
        </w:tc>
        <w:tc>
          <w:tcPr>
            <w:tcW w:w="374" w:type="pct"/>
          </w:tcPr>
          <w:p w14:paraId="7D86EF6C" w14:textId="77777777" w:rsidR="007944B2" w:rsidRPr="00302082" w:rsidRDefault="007944B2" w:rsidP="00FC293B">
            <w:pPr>
              <w:spacing w:after="120"/>
              <w:contextualSpacing/>
              <w:rPr>
                <w:rFonts w:ascii="Arial" w:hAnsi="Arial" w:cs="Arial"/>
                <w:b/>
              </w:rPr>
            </w:pPr>
          </w:p>
        </w:tc>
        <w:tc>
          <w:tcPr>
            <w:tcW w:w="373" w:type="pct"/>
          </w:tcPr>
          <w:p w14:paraId="3C9BF912" w14:textId="77777777" w:rsidR="007944B2" w:rsidRPr="00302082" w:rsidRDefault="007944B2" w:rsidP="00FC293B">
            <w:pPr>
              <w:spacing w:after="120"/>
              <w:contextualSpacing/>
              <w:rPr>
                <w:rFonts w:ascii="Arial" w:hAnsi="Arial" w:cs="Arial"/>
                <w:b/>
              </w:rPr>
            </w:pPr>
          </w:p>
        </w:tc>
      </w:tr>
      <w:tr w:rsidR="007944B2" w:rsidRPr="00302082" w14:paraId="5E253B0A" w14:textId="77777777" w:rsidTr="00107A4D">
        <w:tc>
          <w:tcPr>
            <w:tcW w:w="2193" w:type="pct"/>
            <w:tcBorders>
              <w:bottom w:val="single" w:sz="4" w:space="0" w:color="auto"/>
            </w:tcBorders>
          </w:tcPr>
          <w:p w14:paraId="43533238" w14:textId="66BAA5E6" w:rsidR="007944B2" w:rsidRPr="00687921" w:rsidRDefault="007944B2" w:rsidP="00FC293B">
            <w:pPr>
              <w:spacing w:after="120" w:line="276" w:lineRule="auto"/>
              <w:contextualSpacing/>
              <w:rPr>
                <w:rFonts w:ascii="Arial" w:hAnsi="Arial" w:cs="Arial"/>
              </w:rPr>
            </w:pPr>
            <w:r>
              <w:rPr>
                <w:rFonts w:ascii="Arial" w:hAnsi="Arial" w:cs="Arial"/>
              </w:rPr>
              <w:t>Group written report (2000 words)</w:t>
            </w:r>
          </w:p>
        </w:tc>
        <w:tc>
          <w:tcPr>
            <w:tcW w:w="515" w:type="pct"/>
            <w:tcBorders>
              <w:bottom w:val="single" w:sz="4" w:space="0" w:color="auto"/>
            </w:tcBorders>
          </w:tcPr>
          <w:p w14:paraId="30BCD36B"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Borders>
              <w:bottom w:val="single" w:sz="4" w:space="0" w:color="auto"/>
            </w:tcBorders>
          </w:tcPr>
          <w:p w14:paraId="57077A20"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54E4F7B0"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6EFF0183"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47E9F1FB" w14:textId="58A61983" w:rsidR="007944B2" w:rsidRPr="00302082" w:rsidRDefault="007944B2" w:rsidP="00FC293B">
            <w:pPr>
              <w:spacing w:after="120"/>
              <w:contextualSpacing/>
              <w:rPr>
                <w:rFonts w:ascii="Arial" w:hAnsi="Arial" w:cs="Arial"/>
                <w:b/>
              </w:rPr>
            </w:pPr>
          </w:p>
        </w:tc>
        <w:tc>
          <w:tcPr>
            <w:tcW w:w="374" w:type="pct"/>
            <w:tcBorders>
              <w:bottom w:val="single" w:sz="4" w:space="0" w:color="auto"/>
            </w:tcBorders>
          </w:tcPr>
          <w:p w14:paraId="74F4F988"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3" w:type="pct"/>
            <w:tcBorders>
              <w:bottom w:val="single" w:sz="4" w:space="0" w:color="auto"/>
            </w:tcBorders>
          </w:tcPr>
          <w:p w14:paraId="7515BDF4" w14:textId="233CF9BA" w:rsidR="007944B2" w:rsidRPr="00302082" w:rsidRDefault="007944B2" w:rsidP="00FC293B">
            <w:pPr>
              <w:spacing w:after="120"/>
              <w:contextualSpacing/>
              <w:rPr>
                <w:rFonts w:ascii="Arial" w:hAnsi="Arial" w:cs="Arial"/>
                <w:b/>
              </w:rPr>
            </w:pPr>
            <w:r>
              <w:rPr>
                <w:rFonts w:ascii="Arial" w:hAnsi="Arial" w:cs="Arial"/>
                <w:b/>
              </w:rPr>
              <w:t>X</w:t>
            </w:r>
          </w:p>
        </w:tc>
      </w:tr>
      <w:tr w:rsidR="007944B2" w:rsidRPr="00302082" w14:paraId="13C2F2D5" w14:textId="77777777" w:rsidTr="00107A4D">
        <w:tc>
          <w:tcPr>
            <w:tcW w:w="2193" w:type="pct"/>
            <w:tcBorders>
              <w:bottom w:val="single" w:sz="4" w:space="0" w:color="auto"/>
            </w:tcBorders>
          </w:tcPr>
          <w:p w14:paraId="5556E325" w14:textId="77777777" w:rsidR="007944B2" w:rsidRPr="00687921" w:rsidRDefault="007944B2" w:rsidP="00FC293B">
            <w:pPr>
              <w:spacing w:after="120" w:line="276" w:lineRule="auto"/>
              <w:contextualSpacing/>
              <w:rPr>
                <w:rFonts w:ascii="Arial" w:hAnsi="Arial" w:cs="Arial"/>
              </w:rPr>
            </w:pPr>
            <w:r w:rsidRPr="002953AE">
              <w:rPr>
                <w:rFonts w:ascii="Arial" w:hAnsi="Arial" w:cs="Arial"/>
              </w:rPr>
              <w:t xml:space="preserve">Examination - </w:t>
            </w:r>
            <w:r w:rsidRPr="00687921">
              <w:rPr>
                <w:rFonts w:ascii="Arial" w:hAnsi="Arial" w:cs="Arial"/>
              </w:rPr>
              <w:t>two-hour, unseen</w:t>
            </w:r>
          </w:p>
        </w:tc>
        <w:tc>
          <w:tcPr>
            <w:tcW w:w="515" w:type="pct"/>
            <w:tcBorders>
              <w:bottom w:val="single" w:sz="4" w:space="0" w:color="auto"/>
            </w:tcBorders>
          </w:tcPr>
          <w:p w14:paraId="322B89F4"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Borders>
              <w:bottom w:val="single" w:sz="4" w:space="0" w:color="auto"/>
            </w:tcBorders>
          </w:tcPr>
          <w:p w14:paraId="4B583626"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1222335A"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4518AFE7"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5F211133"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129DBB08"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3" w:type="pct"/>
            <w:tcBorders>
              <w:bottom w:val="single" w:sz="4" w:space="0" w:color="auto"/>
            </w:tcBorders>
          </w:tcPr>
          <w:p w14:paraId="481CCBCA" w14:textId="77777777" w:rsidR="007944B2" w:rsidRPr="00302082" w:rsidRDefault="007944B2" w:rsidP="00FC293B">
            <w:pPr>
              <w:spacing w:after="120"/>
              <w:contextualSpacing/>
              <w:rPr>
                <w:rFonts w:ascii="Arial" w:hAnsi="Arial" w:cs="Arial"/>
                <w:b/>
              </w:rPr>
            </w:pPr>
            <w:r>
              <w:rPr>
                <w:rFonts w:ascii="Arial" w:hAnsi="Arial" w:cs="Arial"/>
                <w:b/>
              </w:rPr>
              <w:t>X</w:t>
            </w:r>
          </w:p>
        </w:tc>
      </w:tr>
    </w:tbl>
    <w:p w14:paraId="38EA7ED1" w14:textId="0F871D3F" w:rsidR="007A6245" w:rsidRDefault="007A6245" w:rsidP="00FC293B">
      <w:pPr>
        <w:spacing w:after="120" w:line="240" w:lineRule="auto"/>
        <w:ind w:left="426" w:right="260"/>
        <w:contextualSpacing/>
        <w:rPr>
          <w:rFonts w:ascii="Arial" w:hAnsi="Arial" w:cs="Arial"/>
          <w:b/>
          <w:iCs/>
        </w:rPr>
      </w:pPr>
    </w:p>
    <w:p w14:paraId="4D79A7F8" w14:textId="589F6B80" w:rsidR="005D6C4B" w:rsidRDefault="005D6C4B" w:rsidP="00FC293B">
      <w:pPr>
        <w:spacing w:after="120" w:line="240" w:lineRule="auto"/>
        <w:ind w:left="426" w:right="260"/>
        <w:contextualSpacing/>
        <w:rPr>
          <w:rFonts w:ascii="Arial" w:hAnsi="Arial" w:cs="Arial"/>
          <w:b/>
          <w:iCs/>
        </w:rPr>
      </w:pPr>
    </w:p>
    <w:p w14:paraId="170FDC90" w14:textId="77777777" w:rsidR="007C7D49" w:rsidRDefault="002953AE" w:rsidP="00FC293B">
      <w:pPr>
        <w:pStyle w:val="ListParagraph"/>
        <w:numPr>
          <w:ilvl w:val="0"/>
          <w:numId w:val="18"/>
        </w:numPr>
        <w:spacing w:after="120" w:line="240" w:lineRule="auto"/>
        <w:ind w:right="260"/>
        <w:jc w:val="both"/>
        <w:rPr>
          <w:rFonts w:ascii="Arial" w:hAnsi="Arial" w:cs="Arial"/>
          <w:iCs/>
        </w:rPr>
      </w:pPr>
      <w:r w:rsidRPr="002953AE">
        <w:rPr>
          <w:rFonts w:ascii="Arial" w:hAnsi="Arial" w:cs="Arial"/>
          <w:b/>
          <w:bCs/>
        </w:rPr>
        <w:t>Inclusive module design</w:t>
      </w:r>
    </w:p>
    <w:p w14:paraId="568D4279" w14:textId="77777777" w:rsidR="00D50113" w:rsidRPr="00D50113" w:rsidRDefault="00D50113" w:rsidP="00FC293B">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3C04B6" w14:textId="77777777" w:rsidR="00D50113" w:rsidRPr="00D50113" w:rsidRDefault="00D50113" w:rsidP="00FC293B">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8D6B0C" w14:textId="77777777" w:rsidR="00D50113" w:rsidRPr="00D50113" w:rsidRDefault="00D50113" w:rsidP="00FC293B">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50764B" w14:textId="5FA70725" w:rsidR="00D50113" w:rsidRDefault="00D50113" w:rsidP="00FC293B">
      <w:pPr>
        <w:tabs>
          <w:tab w:val="left" w:pos="567"/>
        </w:tabs>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CA0530" w14:textId="77777777" w:rsidR="00267AC7" w:rsidRPr="00D50113" w:rsidRDefault="00267AC7" w:rsidP="00FC293B">
      <w:pPr>
        <w:tabs>
          <w:tab w:val="left" w:pos="567"/>
        </w:tabs>
        <w:autoSpaceDE w:val="0"/>
        <w:autoSpaceDN w:val="0"/>
        <w:adjustRightInd w:val="0"/>
        <w:spacing w:after="120" w:line="240" w:lineRule="auto"/>
        <w:ind w:left="426" w:right="260"/>
        <w:contextualSpacing/>
        <w:jc w:val="both"/>
        <w:rPr>
          <w:rFonts w:ascii="Arial" w:hAnsi="Arial" w:cs="Arial"/>
          <w:color w:val="000000"/>
        </w:rPr>
      </w:pPr>
    </w:p>
    <w:p w14:paraId="7AD6C0EF" w14:textId="77777777" w:rsidR="007C7D49" w:rsidRDefault="002953AE" w:rsidP="00FC293B">
      <w:pPr>
        <w:pStyle w:val="ListParagraph"/>
        <w:numPr>
          <w:ilvl w:val="0"/>
          <w:numId w:val="18"/>
        </w:numPr>
        <w:spacing w:after="120" w:line="240" w:lineRule="auto"/>
        <w:ind w:right="260"/>
        <w:jc w:val="both"/>
        <w:rPr>
          <w:rFonts w:ascii="Arial" w:hAnsi="Arial" w:cs="Arial"/>
          <w:b/>
        </w:rPr>
      </w:pPr>
      <w:r w:rsidRPr="002953AE">
        <w:rPr>
          <w:rFonts w:ascii="Arial" w:hAnsi="Arial" w:cs="Arial"/>
          <w:b/>
        </w:rPr>
        <w:t>Campus(es) or centre(s) where module will be delivered</w:t>
      </w:r>
    </w:p>
    <w:p w14:paraId="1BB478AD" w14:textId="0EE7F2C9" w:rsidR="002A7F48" w:rsidRDefault="00530970" w:rsidP="00FC293B">
      <w:pPr>
        <w:spacing w:after="120" w:line="240" w:lineRule="auto"/>
        <w:ind w:left="426" w:right="260"/>
        <w:contextualSpacing/>
        <w:jc w:val="both"/>
        <w:rPr>
          <w:rFonts w:ascii="Arial" w:hAnsi="Arial" w:cs="Arial"/>
        </w:rPr>
      </w:pPr>
      <w:r w:rsidRPr="00530970">
        <w:rPr>
          <w:rFonts w:ascii="Arial" w:hAnsi="Arial" w:cs="Arial"/>
        </w:rPr>
        <w:t>Medway</w:t>
      </w:r>
    </w:p>
    <w:p w14:paraId="7359B11A" w14:textId="77777777" w:rsidR="00267AC7" w:rsidRPr="00530970" w:rsidRDefault="00267AC7" w:rsidP="00FC293B">
      <w:pPr>
        <w:spacing w:after="120" w:line="240" w:lineRule="auto"/>
        <w:ind w:left="426" w:right="260"/>
        <w:contextualSpacing/>
        <w:jc w:val="both"/>
        <w:rPr>
          <w:rFonts w:ascii="Arial" w:hAnsi="Arial" w:cs="Arial"/>
        </w:rPr>
      </w:pPr>
    </w:p>
    <w:p w14:paraId="75865565" w14:textId="77777777" w:rsidR="007C7D49" w:rsidRDefault="002953AE" w:rsidP="00FC293B">
      <w:pPr>
        <w:pStyle w:val="ListParagraph"/>
        <w:numPr>
          <w:ilvl w:val="0"/>
          <w:numId w:val="18"/>
        </w:numPr>
        <w:spacing w:after="120" w:line="240" w:lineRule="auto"/>
        <w:ind w:right="261"/>
        <w:jc w:val="both"/>
        <w:rPr>
          <w:rFonts w:ascii="Arial" w:hAnsi="Arial" w:cs="Arial"/>
          <w:b/>
        </w:rPr>
      </w:pPr>
      <w:r w:rsidRPr="002953AE">
        <w:rPr>
          <w:rFonts w:ascii="Arial" w:hAnsi="Arial" w:cs="Arial"/>
          <w:b/>
        </w:rPr>
        <w:t xml:space="preserve">Internationalisation </w:t>
      </w:r>
    </w:p>
    <w:p w14:paraId="3D86E7A5" w14:textId="17611546" w:rsidR="009A2D37" w:rsidRDefault="000D1D97" w:rsidP="00FC293B">
      <w:pPr>
        <w:ind w:left="425"/>
        <w:contextualSpacing/>
        <w:jc w:val="both"/>
        <w:rPr>
          <w:rFonts w:ascii="Arial" w:hAnsi="Arial" w:cs="Arial"/>
        </w:rPr>
      </w:pPr>
      <w:r>
        <w:rPr>
          <w:rFonts w:ascii="Arial" w:hAnsi="Arial" w:cs="Arial"/>
        </w:rPr>
        <w:t xml:space="preserve">The topics covered in this module are helpful </w:t>
      </w:r>
      <w:r w:rsidRPr="000D1D97">
        <w:rPr>
          <w:rFonts w:ascii="Arial" w:hAnsi="Arial" w:cs="Arial"/>
        </w:rPr>
        <w:t xml:space="preserve">especially for those who wish to consider career opportunities in the city of London or in international banking centres elsewhere in the </w:t>
      </w:r>
      <w:r w:rsidR="005F6A5E" w:rsidRPr="000D1D97">
        <w:rPr>
          <w:rFonts w:ascii="Arial" w:hAnsi="Arial" w:cs="Arial"/>
        </w:rPr>
        <w:t>world;</w:t>
      </w:r>
      <w:r w:rsidRPr="000D1D97">
        <w:rPr>
          <w:rFonts w:ascii="Arial" w:hAnsi="Arial" w:cs="Arial"/>
        </w:rPr>
        <w:t xml:space="preserve"> a good knowledge of the kinds of services offered by the banks provides an invaluable background. By taking the perspective of the providers of financial services, the module provides a valuable broadening of issues covered in the </w:t>
      </w:r>
      <w:r w:rsidRPr="00D95137">
        <w:rPr>
          <w:rFonts w:ascii="Arial" w:hAnsi="Arial" w:cs="Arial"/>
        </w:rPr>
        <w:t>dynamic nature of inter-relationships between bank risk taking and regulation</w:t>
      </w:r>
      <w:r>
        <w:rPr>
          <w:rFonts w:ascii="Arial" w:hAnsi="Arial" w:cs="Arial"/>
        </w:rPr>
        <w:t>.</w:t>
      </w:r>
    </w:p>
    <w:p w14:paraId="0279E3F8" w14:textId="77777777" w:rsidR="00267AC7" w:rsidRDefault="00267AC7" w:rsidP="00FC293B">
      <w:pPr>
        <w:ind w:left="425"/>
        <w:contextualSpacing/>
        <w:jc w:val="both"/>
        <w:rPr>
          <w:rFonts w:ascii="Arial" w:hAnsi="Arial" w:cs="Arial"/>
          <w:iCs/>
        </w:rPr>
      </w:pPr>
      <w:bookmarkStart w:id="0" w:name="_GoBack"/>
      <w:bookmarkEnd w:id="0"/>
    </w:p>
    <w:p w14:paraId="7B718AC4" w14:textId="77777777" w:rsidR="00641D6D" w:rsidRPr="00302082" w:rsidRDefault="00641D6D" w:rsidP="00FC293B">
      <w:pPr>
        <w:pBdr>
          <w:bottom w:val="single" w:sz="6" w:space="1" w:color="auto"/>
        </w:pBdr>
        <w:spacing w:after="120" w:line="240" w:lineRule="auto"/>
        <w:ind w:right="261"/>
        <w:contextualSpacing/>
        <w:rPr>
          <w:rFonts w:ascii="Arial" w:hAnsi="Arial" w:cs="Arial"/>
        </w:rPr>
      </w:pPr>
    </w:p>
    <w:p w14:paraId="4DE57BA3" w14:textId="77777777" w:rsidR="00441E76" w:rsidRPr="00BA453C" w:rsidRDefault="00422B69" w:rsidP="00FC293B">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7C4EE8F" w14:textId="77777777" w:rsidR="00D83563" w:rsidRPr="00BA453C" w:rsidRDefault="00D83563" w:rsidP="00FC293B">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00D5B0" w14:textId="77777777" w:rsidR="00422B69" w:rsidRPr="00302082" w:rsidRDefault="00422B69" w:rsidP="00FC293B">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B3A821" w14:textId="77777777" w:rsidTr="00694309">
        <w:trPr>
          <w:trHeight w:val="317"/>
        </w:trPr>
        <w:tc>
          <w:tcPr>
            <w:tcW w:w="1526" w:type="dxa"/>
          </w:tcPr>
          <w:p w14:paraId="1012B6F4" w14:textId="77777777" w:rsidR="00422B69" w:rsidRPr="00BA453C" w:rsidRDefault="00422B69" w:rsidP="00FC293B">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39016557" w14:textId="77777777" w:rsidR="00422B69" w:rsidRPr="00BA453C" w:rsidRDefault="00422B69" w:rsidP="00FC293B">
            <w:pPr>
              <w:spacing w:after="120"/>
              <w:contextualSpacing/>
              <w:rPr>
                <w:rFonts w:ascii="Arial" w:hAnsi="Arial" w:cs="Arial"/>
                <w:sz w:val="18"/>
              </w:rPr>
            </w:pPr>
            <w:r w:rsidRPr="00BA453C">
              <w:rPr>
                <w:rFonts w:ascii="Arial" w:hAnsi="Arial" w:cs="Arial"/>
                <w:sz w:val="18"/>
              </w:rPr>
              <w:t>Major/minor revision</w:t>
            </w:r>
          </w:p>
        </w:tc>
        <w:tc>
          <w:tcPr>
            <w:tcW w:w="2410" w:type="dxa"/>
          </w:tcPr>
          <w:p w14:paraId="05998503" w14:textId="77777777" w:rsidR="00422B69" w:rsidRPr="00BA453C" w:rsidRDefault="00422B69" w:rsidP="00FC293B">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448" w:type="dxa"/>
          </w:tcPr>
          <w:p w14:paraId="6D9085B9" w14:textId="77777777" w:rsidR="00422B69" w:rsidRPr="00BA453C" w:rsidRDefault="00422B69" w:rsidP="00FC293B">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5C670EE7" w14:textId="77777777" w:rsidR="00422B69" w:rsidRPr="00BA453C" w:rsidRDefault="00422B69" w:rsidP="00FC293B">
            <w:pPr>
              <w:spacing w:after="120"/>
              <w:ind w:right="-330"/>
              <w:contextualSpacing/>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020452B" w14:textId="77777777" w:rsidTr="00694309">
        <w:trPr>
          <w:trHeight w:val="305"/>
        </w:trPr>
        <w:tc>
          <w:tcPr>
            <w:tcW w:w="1526" w:type="dxa"/>
          </w:tcPr>
          <w:p w14:paraId="1F45EFA1" w14:textId="77777777" w:rsidR="00422B69" w:rsidRPr="00302082" w:rsidRDefault="00422B69" w:rsidP="00FC293B">
            <w:pPr>
              <w:spacing w:after="120"/>
              <w:ind w:right="-330"/>
              <w:contextualSpacing/>
              <w:rPr>
                <w:rFonts w:ascii="Arial" w:hAnsi="Arial" w:cs="Arial"/>
              </w:rPr>
            </w:pPr>
          </w:p>
        </w:tc>
        <w:tc>
          <w:tcPr>
            <w:tcW w:w="1701" w:type="dxa"/>
          </w:tcPr>
          <w:p w14:paraId="5906ADDB" w14:textId="77777777" w:rsidR="00422B69" w:rsidRPr="00302082" w:rsidRDefault="00422B69" w:rsidP="00FC293B">
            <w:pPr>
              <w:spacing w:after="120"/>
              <w:ind w:right="-330"/>
              <w:contextualSpacing/>
              <w:rPr>
                <w:rFonts w:ascii="Arial" w:hAnsi="Arial" w:cs="Arial"/>
              </w:rPr>
            </w:pPr>
          </w:p>
        </w:tc>
        <w:tc>
          <w:tcPr>
            <w:tcW w:w="2410" w:type="dxa"/>
          </w:tcPr>
          <w:p w14:paraId="70489780" w14:textId="77777777" w:rsidR="00422B69" w:rsidRPr="00302082" w:rsidRDefault="00422B69" w:rsidP="00FC293B">
            <w:pPr>
              <w:spacing w:after="120"/>
              <w:ind w:right="-330"/>
              <w:contextualSpacing/>
              <w:rPr>
                <w:rFonts w:ascii="Arial" w:hAnsi="Arial" w:cs="Arial"/>
              </w:rPr>
            </w:pPr>
          </w:p>
        </w:tc>
        <w:tc>
          <w:tcPr>
            <w:tcW w:w="2448" w:type="dxa"/>
          </w:tcPr>
          <w:p w14:paraId="2BE90DC0" w14:textId="77777777" w:rsidR="00422B69" w:rsidRPr="00302082" w:rsidRDefault="00422B69" w:rsidP="00FC293B">
            <w:pPr>
              <w:spacing w:after="120"/>
              <w:ind w:right="-330"/>
              <w:contextualSpacing/>
              <w:rPr>
                <w:rFonts w:ascii="Arial" w:hAnsi="Arial" w:cs="Arial"/>
              </w:rPr>
            </w:pPr>
          </w:p>
        </w:tc>
        <w:tc>
          <w:tcPr>
            <w:tcW w:w="2597" w:type="dxa"/>
          </w:tcPr>
          <w:p w14:paraId="26C14928" w14:textId="77777777" w:rsidR="00422B69" w:rsidRPr="00302082" w:rsidRDefault="00422B69" w:rsidP="00FC293B">
            <w:pPr>
              <w:spacing w:after="120"/>
              <w:ind w:right="-330"/>
              <w:contextualSpacing/>
              <w:rPr>
                <w:rFonts w:ascii="Arial" w:hAnsi="Arial" w:cs="Arial"/>
              </w:rPr>
            </w:pPr>
          </w:p>
        </w:tc>
      </w:tr>
      <w:tr w:rsidR="00302082" w:rsidRPr="00302082" w14:paraId="4605E4A2" w14:textId="77777777" w:rsidTr="00694309">
        <w:trPr>
          <w:trHeight w:val="305"/>
        </w:trPr>
        <w:tc>
          <w:tcPr>
            <w:tcW w:w="1526" w:type="dxa"/>
          </w:tcPr>
          <w:p w14:paraId="510A60F5" w14:textId="77777777" w:rsidR="00422B69" w:rsidRPr="00302082" w:rsidRDefault="00422B69" w:rsidP="00FC293B">
            <w:pPr>
              <w:spacing w:after="120"/>
              <w:ind w:right="-330"/>
              <w:contextualSpacing/>
              <w:rPr>
                <w:rFonts w:ascii="Arial" w:hAnsi="Arial" w:cs="Arial"/>
              </w:rPr>
            </w:pPr>
          </w:p>
        </w:tc>
        <w:tc>
          <w:tcPr>
            <w:tcW w:w="1701" w:type="dxa"/>
          </w:tcPr>
          <w:p w14:paraId="163664C8" w14:textId="77777777" w:rsidR="00422B69" w:rsidRPr="00302082" w:rsidRDefault="00422B69" w:rsidP="00FC293B">
            <w:pPr>
              <w:spacing w:after="120"/>
              <w:ind w:right="-330"/>
              <w:contextualSpacing/>
              <w:rPr>
                <w:rFonts w:ascii="Arial" w:hAnsi="Arial" w:cs="Arial"/>
              </w:rPr>
            </w:pPr>
          </w:p>
        </w:tc>
        <w:tc>
          <w:tcPr>
            <w:tcW w:w="2410" w:type="dxa"/>
          </w:tcPr>
          <w:p w14:paraId="3FC514F6" w14:textId="77777777" w:rsidR="00422B69" w:rsidRPr="00302082" w:rsidRDefault="00422B69" w:rsidP="00FC293B">
            <w:pPr>
              <w:spacing w:after="120"/>
              <w:ind w:right="-330"/>
              <w:contextualSpacing/>
              <w:rPr>
                <w:rFonts w:ascii="Arial" w:hAnsi="Arial" w:cs="Arial"/>
              </w:rPr>
            </w:pPr>
          </w:p>
        </w:tc>
        <w:tc>
          <w:tcPr>
            <w:tcW w:w="2448" w:type="dxa"/>
          </w:tcPr>
          <w:p w14:paraId="06C20613" w14:textId="77777777" w:rsidR="00422B69" w:rsidRPr="00302082" w:rsidRDefault="00422B69" w:rsidP="00FC293B">
            <w:pPr>
              <w:spacing w:after="120"/>
              <w:ind w:right="-330"/>
              <w:contextualSpacing/>
              <w:rPr>
                <w:rFonts w:ascii="Arial" w:hAnsi="Arial" w:cs="Arial"/>
              </w:rPr>
            </w:pPr>
          </w:p>
        </w:tc>
        <w:tc>
          <w:tcPr>
            <w:tcW w:w="2597" w:type="dxa"/>
          </w:tcPr>
          <w:p w14:paraId="5C6FBF2C" w14:textId="77777777" w:rsidR="00422B69" w:rsidRPr="00302082" w:rsidRDefault="00422B69" w:rsidP="00FC293B">
            <w:pPr>
              <w:spacing w:after="120"/>
              <w:ind w:right="-330"/>
              <w:contextualSpacing/>
              <w:rPr>
                <w:rFonts w:ascii="Arial" w:hAnsi="Arial" w:cs="Arial"/>
              </w:rPr>
            </w:pPr>
          </w:p>
        </w:tc>
      </w:tr>
    </w:tbl>
    <w:p w14:paraId="6B20F909" w14:textId="77777777" w:rsidR="00D83563" w:rsidRPr="00302082" w:rsidRDefault="00D83563" w:rsidP="00FC293B">
      <w:pPr>
        <w:spacing w:after="120" w:line="240" w:lineRule="auto"/>
        <w:ind w:right="-330"/>
        <w:contextualSpacing/>
        <w:rPr>
          <w:rFonts w:ascii="Arial" w:hAnsi="Arial" w:cs="Arial"/>
        </w:rPr>
      </w:pPr>
    </w:p>
    <w:sectPr w:rsidR="00D83563"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9AE70" w14:textId="77777777" w:rsidR="00745D42" w:rsidRDefault="00745D42" w:rsidP="009A2D37">
      <w:pPr>
        <w:spacing w:after="0" w:line="240" w:lineRule="auto"/>
      </w:pPr>
      <w:r>
        <w:separator/>
      </w:r>
    </w:p>
  </w:endnote>
  <w:endnote w:type="continuationSeparator" w:id="0">
    <w:p w14:paraId="3BB5D8A2" w14:textId="77777777" w:rsidR="00745D42" w:rsidRDefault="00745D42" w:rsidP="009A2D37">
      <w:pPr>
        <w:spacing w:after="0" w:line="240" w:lineRule="auto"/>
      </w:pPr>
      <w:r>
        <w:continuationSeparator/>
      </w:r>
    </w:p>
  </w:endnote>
  <w:endnote w:type="continuationNotice" w:id="1">
    <w:p w14:paraId="41F0AF03" w14:textId="77777777" w:rsidR="00745D42" w:rsidRDefault="00745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23FB354" w14:textId="559042E2" w:rsidR="008B2543" w:rsidRDefault="007C7D49" w:rsidP="009A2D37">
        <w:pPr>
          <w:pStyle w:val="Footer"/>
          <w:jc w:val="center"/>
        </w:pPr>
        <w:r>
          <w:fldChar w:fldCharType="begin"/>
        </w:r>
        <w:r w:rsidR="0019787E">
          <w:instrText xml:space="preserve"> PAGE   \* MERGEFORMAT </w:instrText>
        </w:r>
        <w:r>
          <w:fldChar w:fldCharType="separate"/>
        </w:r>
        <w:r w:rsidR="0019595F">
          <w:rPr>
            <w:noProof/>
          </w:rPr>
          <w:t>3</w:t>
        </w:r>
        <w:r>
          <w:rPr>
            <w:noProof/>
          </w:rPr>
          <w:fldChar w:fldCharType="end"/>
        </w:r>
      </w:p>
    </w:sdtContent>
  </w:sdt>
  <w:p w14:paraId="00CF669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F9EA" w14:textId="77777777" w:rsidR="00745D42" w:rsidRDefault="00745D42" w:rsidP="009A2D37">
      <w:pPr>
        <w:spacing w:after="0" w:line="240" w:lineRule="auto"/>
      </w:pPr>
      <w:r>
        <w:separator/>
      </w:r>
    </w:p>
  </w:footnote>
  <w:footnote w:type="continuationSeparator" w:id="0">
    <w:p w14:paraId="753851EE" w14:textId="77777777" w:rsidR="00745D42" w:rsidRDefault="00745D42" w:rsidP="009A2D37">
      <w:pPr>
        <w:spacing w:after="0" w:line="240" w:lineRule="auto"/>
      </w:pPr>
      <w:r>
        <w:continuationSeparator/>
      </w:r>
    </w:p>
  </w:footnote>
  <w:footnote w:type="continuationNotice" w:id="1">
    <w:p w14:paraId="3F1D9D10" w14:textId="77777777" w:rsidR="00745D42" w:rsidRDefault="00745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E5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93C99B" wp14:editId="3EAA096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7407B72C" w14:textId="77777777" w:rsidR="008B2543" w:rsidRPr="008C00F8" w:rsidRDefault="008B2543" w:rsidP="005E6D38">
    <w:pPr>
      <w:pStyle w:val="Heading1"/>
      <w:spacing w:before="60" w:after="60"/>
      <w:rPr>
        <w:rFonts w:ascii="Arial" w:hAnsi="Arial" w:cs="Arial"/>
      </w:rPr>
    </w:pPr>
  </w:p>
  <w:p w14:paraId="670AFB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CAD0" w14:textId="380473A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37F3A3" wp14:editId="298A7CA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30B4867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2207D3"/>
    <w:multiLevelType w:val="hybridMultilevel"/>
    <w:tmpl w:val="DA2A202A"/>
    <w:lvl w:ilvl="0" w:tplc="E52415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9D017E8"/>
    <w:multiLevelType w:val="hybridMultilevel"/>
    <w:tmpl w:val="1468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B4C1A"/>
    <w:multiLevelType w:val="multilevel"/>
    <w:tmpl w:val="AB4299C0"/>
    <w:lvl w:ilvl="0">
      <w:start w:val="8"/>
      <w:numFmt w:val="decimal"/>
      <w:lvlText w:val="%1"/>
      <w:lvlJc w:val="left"/>
      <w:pPr>
        <w:ind w:left="774"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374" w:hanging="1080"/>
      </w:pPr>
      <w:rPr>
        <w:rFonts w:hint="default"/>
      </w:rPr>
    </w:lvl>
    <w:lvl w:ilvl="5">
      <w:start w:val="1"/>
      <w:numFmt w:val="decimal"/>
      <w:lvlText w:val="%1.%2.%3.%4.%5.%6"/>
      <w:lvlJc w:val="left"/>
      <w:pPr>
        <w:ind w:left="5094" w:hanging="108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6894" w:hanging="1440"/>
      </w:pPr>
      <w:rPr>
        <w:rFonts w:hint="default"/>
      </w:rPr>
    </w:lvl>
    <w:lvl w:ilvl="8">
      <w:start w:val="1"/>
      <w:numFmt w:val="decimal"/>
      <w:lvlText w:val="%1.%2.%3.%4.%5.%6.%7.%8.%9"/>
      <w:lvlJc w:val="left"/>
      <w:pPr>
        <w:ind w:left="7974" w:hanging="1800"/>
      </w:pPr>
      <w:rPr>
        <w:rFonts w:hint="default"/>
      </w:rPr>
    </w:lvl>
  </w:abstractNum>
  <w:abstractNum w:abstractNumId="5" w15:restartNumberingAfterBreak="0">
    <w:nsid w:val="24730FE8"/>
    <w:multiLevelType w:val="multilevel"/>
    <w:tmpl w:val="4F8AAFAC"/>
    <w:lvl w:ilvl="0">
      <w:start w:val="1"/>
      <w:numFmt w:val="decimal"/>
      <w:lvlText w:val="%1."/>
      <w:lvlJc w:val="left"/>
      <w:pPr>
        <w:ind w:left="720"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6171A4"/>
    <w:multiLevelType w:val="hybridMultilevel"/>
    <w:tmpl w:val="989A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6625A"/>
    <w:multiLevelType w:val="hybridMultilevel"/>
    <w:tmpl w:val="C04802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0C4753"/>
    <w:multiLevelType w:val="hybridMultilevel"/>
    <w:tmpl w:val="556ED588"/>
    <w:lvl w:ilvl="0" w:tplc="3D5073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582642"/>
    <w:multiLevelType w:val="hybridMultilevel"/>
    <w:tmpl w:val="4D00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3B245B5"/>
    <w:multiLevelType w:val="hybridMultilevel"/>
    <w:tmpl w:val="5D1A304E"/>
    <w:lvl w:ilvl="0" w:tplc="BC4ADAC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77E3E"/>
    <w:multiLevelType w:val="multilevel"/>
    <w:tmpl w:val="91DE97FC"/>
    <w:lvl w:ilvl="0">
      <w:start w:val="12"/>
      <w:numFmt w:val="decimal"/>
      <w:lvlText w:val="%1."/>
      <w:lvlJc w:val="left"/>
      <w:pPr>
        <w:ind w:left="360" w:hanging="360"/>
      </w:pPr>
      <w:rPr>
        <w:rFonts w:hint="default"/>
        <w:i w:val="0"/>
      </w:rPr>
    </w:lvl>
    <w:lvl w:ilvl="1">
      <w:start w:val="2"/>
      <w:numFmt w:val="decimal"/>
      <w:isLgl/>
      <w:lvlText w:val="%1.%2"/>
      <w:lvlJc w:val="left"/>
      <w:pPr>
        <w:ind w:left="921" w:hanging="49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6" w15:restartNumberingAfterBreak="0">
    <w:nsid w:val="48477DE8"/>
    <w:multiLevelType w:val="hybridMultilevel"/>
    <w:tmpl w:val="87CE7DC6"/>
    <w:lvl w:ilvl="0" w:tplc="6C58F73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1EAE8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1651AC5"/>
    <w:multiLevelType w:val="hybridMultilevel"/>
    <w:tmpl w:val="DE54F64C"/>
    <w:lvl w:ilvl="0" w:tplc="6994E34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9"/>
  </w:num>
  <w:num w:numId="6">
    <w:abstractNumId w:val="17"/>
  </w:num>
  <w:num w:numId="7">
    <w:abstractNumId w:val="21"/>
  </w:num>
  <w:num w:numId="8">
    <w:abstractNumId w:val="18"/>
  </w:num>
  <w:num w:numId="9">
    <w:abstractNumId w:val="8"/>
  </w:num>
  <w:num w:numId="10">
    <w:abstractNumId w:val="16"/>
  </w:num>
  <w:num w:numId="11">
    <w:abstractNumId w:val="3"/>
  </w:num>
  <w:num w:numId="12">
    <w:abstractNumId w:val="12"/>
  </w:num>
  <w:num w:numId="13">
    <w:abstractNumId w:val="14"/>
  </w:num>
  <w:num w:numId="14">
    <w:abstractNumId w:val="2"/>
  </w:num>
  <w:num w:numId="15">
    <w:abstractNumId w:val="20"/>
  </w:num>
  <w:num w:numId="16">
    <w:abstractNumId w:val="11"/>
  </w:num>
  <w:num w:numId="17">
    <w:abstractNumId w:val="10"/>
  </w:num>
  <w:num w:numId="18">
    <w:abstractNumId w:val="15"/>
  </w:num>
  <w:num w:numId="19">
    <w:abstractNumId w:val="13"/>
  </w:num>
  <w:num w:numId="20">
    <w:abstractNumId w:val="4"/>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ztjA3NzSzNDCysDBT0lEKTi0uzszPAykwqQUAxXiC3iwAAAA="/>
  </w:docVars>
  <w:rsids>
    <w:rsidRoot w:val="009A2D37"/>
    <w:rsid w:val="00000C8C"/>
    <w:rsid w:val="000017F2"/>
    <w:rsid w:val="0000565F"/>
    <w:rsid w:val="00005661"/>
    <w:rsid w:val="00010A16"/>
    <w:rsid w:val="0001243F"/>
    <w:rsid w:val="00016A86"/>
    <w:rsid w:val="00021EA0"/>
    <w:rsid w:val="00025992"/>
    <w:rsid w:val="00027937"/>
    <w:rsid w:val="00030C9E"/>
    <w:rsid w:val="00031E67"/>
    <w:rsid w:val="000408CC"/>
    <w:rsid w:val="00045373"/>
    <w:rsid w:val="0005677F"/>
    <w:rsid w:val="00056886"/>
    <w:rsid w:val="00063851"/>
    <w:rsid w:val="00063A2F"/>
    <w:rsid w:val="000647FF"/>
    <w:rsid w:val="000678D3"/>
    <w:rsid w:val="00094810"/>
    <w:rsid w:val="000C0294"/>
    <w:rsid w:val="000C2AE4"/>
    <w:rsid w:val="000C7A1C"/>
    <w:rsid w:val="000D1D97"/>
    <w:rsid w:val="000D2A8A"/>
    <w:rsid w:val="000D32AC"/>
    <w:rsid w:val="000E20C1"/>
    <w:rsid w:val="000E3B73"/>
    <w:rsid w:val="000E62A2"/>
    <w:rsid w:val="000F6C56"/>
    <w:rsid w:val="000F7FBF"/>
    <w:rsid w:val="00106BE5"/>
    <w:rsid w:val="00107A4D"/>
    <w:rsid w:val="00110947"/>
    <w:rsid w:val="00111906"/>
    <w:rsid w:val="00111CB3"/>
    <w:rsid w:val="00115704"/>
    <w:rsid w:val="00117577"/>
    <w:rsid w:val="00117793"/>
    <w:rsid w:val="001206E4"/>
    <w:rsid w:val="001214D3"/>
    <w:rsid w:val="00121BFC"/>
    <w:rsid w:val="001402AD"/>
    <w:rsid w:val="00143EDB"/>
    <w:rsid w:val="00151169"/>
    <w:rsid w:val="001540CE"/>
    <w:rsid w:val="0015717B"/>
    <w:rsid w:val="00157ACA"/>
    <w:rsid w:val="00160427"/>
    <w:rsid w:val="00162D46"/>
    <w:rsid w:val="00170449"/>
    <w:rsid w:val="00172793"/>
    <w:rsid w:val="00180558"/>
    <w:rsid w:val="001811E5"/>
    <w:rsid w:val="00183B34"/>
    <w:rsid w:val="00185F46"/>
    <w:rsid w:val="0019595F"/>
    <w:rsid w:val="00196C6A"/>
    <w:rsid w:val="0019787E"/>
    <w:rsid w:val="001A425B"/>
    <w:rsid w:val="001A4F69"/>
    <w:rsid w:val="001B1B28"/>
    <w:rsid w:val="001B27FB"/>
    <w:rsid w:val="001C1422"/>
    <w:rsid w:val="001C18C6"/>
    <w:rsid w:val="001C4A85"/>
    <w:rsid w:val="001C5443"/>
    <w:rsid w:val="001D0C7D"/>
    <w:rsid w:val="001D1F2D"/>
    <w:rsid w:val="001D2314"/>
    <w:rsid w:val="001D6398"/>
    <w:rsid w:val="001E16A4"/>
    <w:rsid w:val="001E1F45"/>
    <w:rsid w:val="001E62C1"/>
    <w:rsid w:val="001F0779"/>
    <w:rsid w:val="001F3C3E"/>
    <w:rsid w:val="00201C5F"/>
    <w:rsid w:val="0020243A"/>
    <w:rsid w:val="00206160"/>
    <w:rsid w:val="0021578E"/>
    <w:rsid w:val="00217BF9"/>
    <w:rsid w:val="00227582"/>
    <w:rsid w:val="002308BE"/>
    <w:rsid w:val="002407C0"/>
    <w:rsid w:val="002429A1"/>
    <w:rsid w:val="002461AF"/>
    <w:rsid w:val="002465A1"/>
    <w:rsid w:val="00254473"/>
    <w:rsid w:val="00264576"/>
    <w:rsid w:val="0026585A"/>
    <w:rsid w:val="00266735"/>
    <w:rsid w:val="0026757F"/>
    <w:rsid w:val="00267AC7"/>
    <w:rsid w:val="00273CF0"/>
    <w:rsid w:val="002748D4"/>
    <w:rsid w:val="00274ED7"/>
    <w:rsid w:val="002750F7"/>
    <w:rsid w:val="0028461D"/>
    <w:rsid w:val="0028590C"/>
    <w:rsid w:val="00292C46"/>
    <w:rsid w:val="002938D6"/>
    <w:rsid w:val="00294B73"/>
    <w:rsid w:val="002953AE"/>
    <w:rsid w:val="002A0C18"/>
    <w:rsid w:val="002A219B"/>
    <w:rsid w:val="002A22DB"/>
    <w:rsid w:val="002A3271"/>
    <w:rsid w:val="002A7F48"/>
    <w:rsid w:val="002B20F5"/>
    <w:rsid w:val="002B2A1A"/>
    <w:rsid w:val="002B71F2"/>
    <w:rsid w:val="002C6042"/>
    <w:rsid w:val="002C79BC"/>
    <w:rsid w:val="002E71C0"/>
    <w:rsid w:val="002F05F4"/>
    <w:rsid w:val="002F0CE4"/>
    <w:rsid w:val="002F23EF"/>
    <w:rsid w:val="002F2626"/>
    <w:rsid w:val="00302082"/>
    <w:rsid w:val="00306620"/>
    <w:rsid w:val="00306A6D"/>
    <w:rsid w:val="00320DEF"/>
    <w:rsid w:val="003262B9"/>
    <w:rsid w:val="00334A02"/>
    <w:rsid w:val="00335875"/>
    <w:rsid w:val="00335FBE"/>
    <w:rsid w:val="00344ED5"/>
    <w:rsid w:val="003464FD"/>
    <w:rsid w:val="00352D8E"/>
    <w:rsid w:val="00356B68"/>
    <w:rsid w:val="0035702D"/>
    <w:rsid w:val="003604D4"/>
    <w:rsid w:val="0036174D"/>
    <w:rsid w:val="003627B0"/>
    <w:rsid w:val="00371996"/>
    <w:rsid w:val="003744E8"/>
    <w:rsid w:val="00374DF6"/>
    <w:rsid w:val="003759B0"/>
    <w:rsid w:val="00375F84"/>
    <w:rsid w:val="00376E34"/>
    <w:rsid w:val="003804E7"/>
    <w:rsid w:val="00387016"/>
    <w:rsid w:val="003934D2"/>
    <w:rsid w:val="003973A1"/>
    <w:rsid w:val="003A1239"/>
    <w:rsid w:val="003A5DA0"/>
    <w:rsid w:val="003A5EEB"/>
    <w:rsid w:val="003A6143"/>
    <w:rsid w:val="003B2CF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1D5"/>
    <w:rsid w:val="00441E76"/>
    <w:rsid w:val="004443DA"/>
    <w:rsid w:val="00446A75"/>
    <w:rsid w:val="00446F80"/>
    <w:rsid w:val="004474A2"/>
    <w:rsid w:val="0045089E"/>
    <w:rsid w:val="00460925"/>
    <w:rsid w:val="00471C6C"/>
    <w:rsid w:val="00472023"/>
    <w:rsid w:val="00486993"/>
    <w:rsid w:val="00492DA4"/>
    <w:rsid w:val="00496AA3"/>
    <w:rsid w:val="00497C98"/>
    <w:rsid w:val="004A39D7"/>
    <w:rsid w:val="004A55FA"/>
    <w:rsid w:val="004B5220"/>
    <w:rsid w:val="004B5A9A"/>
    <w:rsid w:val="004B5D03"/>
    <w:rsid w:val="004B76B8"/>
    <w:rsid w:val="004C1EC4"/>
    <w:rsid w:val="004D035C"/>
    <w:rsid w:val="004E5D59"/>
    <w:rsid w:val="004E7D00"/>
    <w:rsid w:val="004F3C18"/>
    <w:rsid w:val="004F4328"/>
    <w:rsid w:val="005005E4"/>
    <w:rsid w:val="00513689"/>
    <w:rsid w:val="0051375A"/>
    <w:rsid w:val="00513A8F"/>
    <w:rsid w:val="00521097"/>
    <w:rsid w:val="0053059E"/>
    <w:rsid w:val="00530970"/>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B39"/>
    <w:rsid w:val="0059477B"/>
    <w:rsid w:val="00596884"/>
    <w:rsid w:val="005A14B5"/>
    <w:rsid w:val="005A77D6"/>
    <w:rsid w:val="005B5A98"/>
    <w:rsid w:val="005C1A4F"/>
    <w:rsid w:val="005C27D7"/>
    <w:rsid w:val="005D0628"/>
    <w:rsid w:val="005D6C4B"/>
    <w:rsid w:val="005D7CD0"/>
    <w:rsid w:val="005E1A3A"/>
    <w:rsid w:val="005E6ADC"/>
    <w:rsid w:val="005E6D10"/>
    <w:rsid w:val="005E6D38"/>
    <w:rsid w:val="005E7B3F"/>
    <w:rsid w:val="005F040F"/>
    <w:rsid w:val="005F2C42"/>
    <w:rsid w:val="005F512D"/>
    <w:rsid w:val="005F5BA5"/>
    <w:rsid w:val="005F6A5E"/>
    <w:rsid w:val="006043FC"/>
    <w:rsid w:val="006050CF"/>
    <w:rsid w:val="006253AA"/>
    <w:rsid w:val="00626023"/>
    <w:rsid w:val="00633150"/>
    <w:rsid w:val="0063623F"/>
    <w:rsid w:val="00637A50"/>
    <w:rsid w:val="00641D6D"/>
    <w:rsid w:val="0064364E"/>
    <w:rsid w:val="006438F3"/>
    <w:rsid w:val="00644161"/>
    <w:rsid w:val="00647907"/>
    <w:rsid w:val="00651A82"/>
    <w:rsid w:val="006525E9"/>
    <w:rsid w:val="0066747B"/>
    <w:rsid w:val="006725EC"/>
    <w:rsid w:val="00674ED0"/>
    <w:rsid w:val="00682650"/>
    <w:rsid w:val="00682DF9"/>
    <w:rsid w:val="00683609"/>
    <w:rsid w:val="00684851"/>
    <w:rsid w:val="00687921"/>
    <w:rsid w:val="00694309"/>
    <w:rsid w:val="00695285"/>
    <w:rsid w:val="006A29D3"/>
    <w:rsid w:val="006A6BB4"/>
    <w:rsid w:val="006A7FB0"/>
    <w:rsid w:val="006B2CAE"/>
    <w:rsid w:val="006C1373"/>
    <w:rsid w:val="006C2A9A"/>
    <w:rsid w:val="006C423D"/>
    <w:rsid w:val="006C46EF"/>
    <w:rsid w:val="006C4C67"/>
    <w:rsid w:val="006D13C0"/>
    <w:rsid w:val="006D41AB"/>
    <w:rsid w:val="006D444F"/>
    <w:rsid w:val="006F1A15"/>
    <w:rsid w:val="006F3F8B"/>
    <w:rsid w:val="00700488"/>
    <w:rsid w:val="00703404"/>
    <w:rsid w:val="00703F92"/>
    <w:rsid w:val="00704637"/>
    <w:rsid w:val="007048EB"/>
    <w:rsid w:val="007105E4"/>
    <w:rsid w:val="00714EE5"/>
    <w:rsid w:val="00720270"/>
    <w:rsid w:val="00724362"/>
    <w:rsid w:val="00727780"/>
    <w:rsid w:val="007359CB"/>
    <w:rsid w:val="0073792C"/>
    <w:rsid w:val="00745D42"/>
    <w:rsid w:val="0075103F"/>
    <w:rsid w:val="00754069"/>
    <w:rsid w:val="007667DF"/>
    <w:rsid w:val="0077080B"/>
    <w:rsid w:val="00785EE3"/>
    <w:rsid w:val="00787070"/>
    <w:rsid w:val="007906FD"/>
    <w:rsid w:val="007944B2"/>
    <w:rsid w:val="00797197"/>
    <w:rsid w:val="007972A7"/>
    <w:rsid w:val="007A2BA2"/>
    <w:rsid w:val="007A6245"/>
    <w:rsid w:val="007B1DB2"/>
    <w:rsid w:val="007B375B"/>
    <w:rsid w:val="007B412A"/>
    <w:rsid w:val="007B635E"/>
    <w:rsid w:val="007B7724"/>
    <w:rsid w:val="007B7CDC"/>
    <w:rsid w:val="007C74B4"/>
    <w:rsid w:val="007C7D49"/>
    <w:rsid w:val="007D3D91"/>
    <w:rsid w:val="007E3412"/>
    <w:rsid w:val="007F393D"/>
    <w:rsid w:val="008029AF"/>
    <w:rsid w:val="00802FFA"/>
    <w:rsid w:val="008102E5"/>
    <w:rsid w:val="008111B4"/>
    <w:rsid w:val="008133F0"/>
    <w:rsid w:val="00815880"/>
    <w:rsid w:val="0082322C"/>
    <w:rsid w:val="00823942"/>
    <w:rsid w:val="00824E1A"/>
    <w:rsid w:val="00827FFD"/>
    <w:rsid w:val="00844F63"/>
    <w:rsid w:val="00854535"/>
    <w:rsid w:val="00856EB3"/>
    <w:rsid w:val="00863C96"/>
    <w:rsid w:val="00864A72"/>
    <w:rsid w:val="00873E9F"/>
    <w:rsid w:val="00874047"/>
    <w:rsid w:val="008778CB"/>
    <w:rsid w:val="00881545"/>
    <w:rsid w:val="00883A3E"/>
    <w:rsid w:val="0089148D"/>
    <w:rsid w:val="00891E0D"/>
    <w:rsid w:val="00897DAF"/>
    <w:rsid w:val="008A0F36"/>
    <w:rsid w:val="008A57A4"/>
    <w:rsid w:val="008B2543"/>
    <w:rsid w:val="008B4B6E"/>
    <w:rsid w:val="008D7401"/>
    <w:rsid w:val="00903DF6"/>
    <w:rsid w:val="00921CF6"/>
    <w:rsid w:val="00924EF0"/>
    <w:rsid w:val="00934D7B"/>
    <w:rsid w:val="00947180"/>
    <w:rsid w:val="0095013F"/>
    <w:rsid w:val="00951C31"/>
    <w:rsid w:val="009567BE"/>
    <w:rsid w:val="009676FA"/>
    <w:rsid w:val="009679E0"/>
    <w:rsid w:val="00977632"/>
    <w:rsid w:val="00982A8E"/>
    <w:rsid w:val="00987DB4"/>
    <w:rsid w:val="00996204"/>
    <w:rsid w:val="009A26CB"/>
    <w:rsid w:val="009A2BC2"/>
    <w:rsid w:val="009A2D37"/>
    <w:rsid w:val="009A6C7F"/>
    <w:rsid w:val="009A7587"/>
    <w:rsid w:val="009B0A69"/>
    <w:rsid w:val="009B10F0"/>
    <w:rsid w:val="009C2474"/>
    <w:rsid w:val="009C7082"/>
    <w:rsid w:val="009D0006"/>
    <w:rsid w:val="009D068C"/>
    <w:rsid w:val="009E72D0"/>
    <w:rsid w:val="009F3A2A"/>
    <w:rsid w:val="009F731F"/>
    <w:rsid w:val="00A021FE"/>
    <w:rsid w:val="00A1270E"/>
    <w:rsid w:val="00A15342"/>
    <w:rsid w:val="00A3007E"/>
    <w:rsid w:val="00A32048"/>
    <w:rsid w:val="00A41F06"/>
    <w:rsid w:val="00A43577"/>
    <w:rsid w:val="00A50FD4"/>
    <w:rsid w:val="00A52DB4"/>
    <w:rsid w:val="00A56CF4"/>
    <w:rsid w:val="00A618E1"/>
    <w:rsid w:val="00A629B9"/>
    <w:rsid w:val="00A70C20"/>
    <w:rsid w:val="00A74292"/>
    <w:rsid w:val="00A776DE"/>
    <w:rsid w:val="00A80640"/>
    <w:rsid w:val="00A81FA4"/>
    <w:rsid w:val="00A87FFD"/>
    <w:rsid w:val="00A97038"/>
    <w:rsid w:val="00AA3C15"/>
    <w:rsid w:val="00AA6330"/>
    <w:rsid w:val="00AC2891"/>
    <w:rsid w:val="00AC57DE"/>
    <w:rsid w:val="00AC7501"/>
    <w:rsid w:val="00AD748B"/>
    <w:rsid w:val="00AE4865"/>
    <w:rsid w:val="00AF0664"/>
    <w:rsid w:val="00AF50EE"/>
    <w:rsid w:val="00AF73B5"/>
    <w:rsid w:val="00B0591D"/>
    <w:rsid w:val="00B13402"/>
    <w:rsid w:val="00B14BC2"/>
    <w:rsid w:val="00B17024"/>
    <w:rsid w:val="00B17CD2"/>
    <w:rsid w:val="00B213D2"/>
    <w:rsid w:val="00B248BA"/>
    <w:rsid w:val="00B24B56"/>
    <w:rsid w:val="00B30E07"/>
    <w:rsid w:val="00B34ADD"/>
    <w:rsid w:val="00B42900"/>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5887"/>
    <w:rsid w:val="00BE6C28"/>
    <w:rsid w:val="00BE6F2D"/>
    <w:rsid w:val="00BF51AB"/>
    <w:rsid w:val="00BF716B"/>
    <w:rsid w:val="00BF7233"/>
    <w:rsid w:val="00C02AA2"/>
    <w:rsid w:val="00C04C95"/>
    <w:rsid w:val="00C12613"/>
    <w:rsid w:val="00C16DEF"/>
    <w:rsid w:val="00C2492F"/>
    <w:rsid w:val="00C3744A"/>
    <w:rsid w:val="00C4002A"/>
    <w:rsid w:val="00C46912"/>
    <w:rsid w:val="00C51853"/>
    <w:rsid w:val="00C52516"/>
    <w:rsid w:val="00C612A8"/>
    <w:rsid w:val="00C66825"/>
    <w:rsid w:val="00C67631"/>
    <w:rsid w:val="00C7017A"/>
    <w:rsid w:val="00C709F8"/>
    <w:rsid w:val="00C71A16"/>
    <w:rsid w:val="00C729D7"/>
    <w:rsid w:val="00C83354"/>
    <w:rsid w:val="00C84004"/>
    <w:rsid w:val="00C843F6"/>
    <w:rsid w:val="00C84507"/>
    <w:rsid w:val="00C862C7"/>
    <w:rsid w:val="00CA3254"/>
    <w:rsid w:val="00CA4535"/>
    <w:rsid w:val="00CB11CE"/>
    <w:rsid w:val="00CC031A"/>
    <w:rsid w:val="00CC25A2"/>
    <w:rsid w:val="00CD7F07"/>
    <w:rsid w:val="00CE04F3"/>
    <w:rsid w:val="00CE12D8"/>
    <w:rsid w:val="00CE3E44"/>
    <w:rsid w:val="00CE4574"/>
    <w:rsid w:val="00CE70E6"/>
    <w:rsid w:val="00CF2E1E"/>
    <w:rsid w:val="00CF711B"/>
    <w:rsid w:val="00D02E99"/>
    <w:rsid w:val="00D13357"/>
    <w:rsid w:val="00D13A13"/>
    <w:rsid w:val="00D2689A"/>
    <w:rsid w:val="00D50113"/>
    <w:rsid w:val="00D54F04"/>
    <w:rsid w:val="00D65506"/>
    <w:rsid w:val="00D773CF"/>
    <w:rsid w:val="00D83563"/>
    <w:rsid w:val="00D8448F"/>
    <w:rsid w:val="00D926B4"/>
    <w:rsid w:val="00D92CCE"/>
    <w:rsid w:val="00D95137"/>
    <w:rsid w:val="00DA64B6"/>
    <w:rsid w:val="00DB5C9D"/>
    <w:rsid w:val="00DD02E6"/>
    <w:rsid w:val="00DD1F2A"/>
    <w:rsid w:val="00DE3041"/>
    <w:rsid w:val="00DF665B"/>
    <w:rsid w:val="00E0152A"/>
    <w:rsid w:val="00E03394"/>
    <w:rsid w:val="00E066E5"/>
    <w:rsid w:val="00E1393F"/>
    <w:rsid w:val="00E22F03"/>
    <w:rsid w:val="00E233C1"/>
    <w:rsid w:val="00E51404"/>
    <w:rsid w:val="00E574C9"/>
    <w:rsid w:val="00E610DE"/>
    <w:rsid w:val="00E66167"/>
    <w:rsid w:val="00E70A55"/>
    <w:rsid w:val="00E71F2F"/>
    <w:rsid w:val="00E77786"/>
    <w:rsid w:val="00E806FB"/>
    <w:rsid w:val="00E940A0"/>
    <w:rsid w:val="00E97515"/>
    <w:rsid w:val="00EB1C2D"/>
    <w:rsid w:val="00EC1810"/>
    <w:rsid w:val="00EC3FCC"/>
    <w:rsid w:val="00ED32FF"/>
    <w:rsid w:val="00EF039B"/>
    <w:rsid w:val="00EF4933"/>
    <w:rsid w:val="00EF5044"/>
    <w:rsid w:val="00F01956"/>
    <w:rsid w:val="00F116CE"/>
    <w:rsid w:val="00F176DE"/>
    <w:rsid w:val="00F21C47"/>
    <w:rsid w:val="00F2410B"/>
    <w:rsid w:val="00F244E2"/>
    <w:rsid w:val="00F340DE"/>
    <w:rsid w:val="00F43542"/>
    <w:rsid w:val="00F50A5B"/>
    <w:rsid w:val="00F51648"/>
    <w:rsid w:val="00F527CB"/>
    <w:rsid w:val="00F54459"/>
    <w:rsid w:val="00F562AA"/>
    <w:rsid w:val="00F56394"/>
    <w:rsid w:val="00F7105A"/>
    <w:rsid w:val="00F77676"/>
    <w:rsid w:val="00F8197C"/>
    <w:rsid w:val="00F82B4E"/>
    <w:rsid w:val="00F87559"/>
    <w:rsid w:val="00F96D71"/>
    <w:rsid w:val="00F97C9E"/>
    <w:rsid w:val="00FA20DE"/>
    <w:rsid w:val="00FA4EE8"/>
    <w:rsid w:val="00FB0173"/>
    <w:rsid w:val="00FB12CA"/>
    <w:rsid w:val="00FB36EC"/>
    <w:rsid w:val="00FB4E1B"/>
    <w:rsid w:val="00FC0291"/>
    <w:rsid w:val="00FC1C92"/>
    <w:rsid w:val="00FC293B"/>
    <w:rsid w:val="00FC37A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20753C"/>
  <w15:docId w15:val="{AE38A0EF-F81A-41B1-9363-BBBBA6D6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53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530970"/>
    <w:rPr>
      <w:rFonts w:asciiTheme="majorHAnsi" w:eastAsiaTheme="majorEastAsia" w:hAnsiTheme="majorHAnsi" w:cstheme="majorBidi"/>
      <w:i/>
      <w:iCs/>
      <w:color w:val="272727" w:themeColor="text1" w:themeTint="D8"/>
      <w:sz w:val="21"/>
      <w:szCs w:val="21"/>
      <w:lang w:eastAsia="en-GB"/>
    </w:rPr>
  </w:style>
  <w:style w:type="character" w:styleId="Emphasis">
    <w:name w:val="Emphasis"/>
    <w:basedOn w:val="DefaultParagraphFont"/>
    <w:uiPriority w:val="20"/>
    <w:qFormat/>
    <w:rsid w:val="00593B39"/>
    <w:rPr>
      <w:i/>
      <w:iCs/>
    </w:rPr>
  </w:style>
  <w:style w:type="paragraph" w:customStyle="1" w:styleId="sidehead2">
    <w:name w:val="sidehead2"/>
    <w:basedOn w:val="Normal"/>
    <w:link w:val="sidehead2Char"/>
    <w:rsid w:val="000D1D97"/>
    <w:pPr>
      <w:spacing w:after="0" w:line="260" w:lineRule="atLeast"/>
    </w:pPr>
    <w:rPr>
      <w:rFonts w:ascii="Arial" w:eastAsia="Times New Roman" w:hAnsi="Arial" w:cs="Times New Roman"/>
      <w:b/>
      <w:bCs/>
      <w:szCs w:val="20"/>
      <w:lang w:eastAsia="zh-CN"/>
    </w:rPr>
  </w:style>
  <w:style w:type="character" w:customStyle="1" w:styleId="sidehead2Char">
    <w:name w:val="sidehead2 Char"/>
    <w:basedOn w:val="DefaultParagraphFont"/>
    <w:link w:val="sidehead2"/>
    <w:rsid w:val="000D1D97"/>
    <w:rPr>
      <w:rFonts w:ascii="Arial" w:eastAsia="Times New Roman" w:hAnsi="Arial" w:cs="Times New Roman"/>
      <w:b/>
      <w:bCs/>
      <w:szCs w:val="20"/>
      <w:lang w:eastAsia="zh-CN"/>
    </w:rPr>
  </w:style>
  <w:style w:type="paragraph" w:styleId="Revision">
    <w:name w:val="Revision"/>
    <w:hidden/>
    <w:uiPriority w:val="99"/>
    <w:semiHidden/>
    <w:rsid w:val="00C71A16"/>
    <w:pPr>
      <w:spacing w:after="0" w:line="240" w:lineRule="auto"/>
    </w:pPr>
  </w:style>
  <w:style w:type="character" w:customStyle="1" w:styleId="apple-converted-space">
    <w:name w:val="apple-converted-space"/>
    <w:basedOn w:val="DefaultParagraphFont"/>
    <w:rsid w:val="0073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6520215">
      <w:bodyDiv w:val="1"/>
      <w:marLeft w:val="0"/>
      <w:marRight w:val="0"/>
      <w:marTop w:val="0"/>
      <w:marBottom w:val="0"/>
      <w:divBdr>
        <w:top w:val="none" w:sz="0" w:space="0" w:color="auto"/>
        <w:left w:val="none" w:sz="0" w:space="0" w:color="auto"/>
        <w:bottom w:val="none" w:sz="0" w:space="0" w:color="auto"/>
        <w:right w:val="none" w:sz="0" w:space="0" w:color="auto"/>
      </w:divBdr>
    </w:div>
    <w:div w:id="9609155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Irene-Finel-Honigman/e/B0029CSLXU/ref=dp_byline_cont_book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uk/Irene-Finel-Honigman/e/B0029CSLXU/ref=dp_byline_cont_book_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26C8C-267E-4A8B-B4C8-24E341FA8B54}">
  <ds:schemaRefs>
    <ds:schemaRef ds:uri="http://schemas.openxmlformats.org/officeDocument/2006/bibliography"/>
  </ds:schemaRefs>
</ds:datastoreItem>
</file>

<file path=customXml/itemProps2.xml><?xml version="1.0" encoding="utf-8"?>
<ds:datastoreItem xmlns:ds="http://schemas.openxmlformats.org/officeDocument/2006/customXml" ds:itemID="{5CCBD174-6944-496C-885D-175EBDE93418}"/>
</file>

<file path=customXml/itemProps3.xml><?xml version="1.0" encoding="utf-8"?>
<ds:datastoreItem xmlns:ds="http://schemas.openxmlformats.org/officeDocument/2006/customXml" ds:itemID="{DF4ADA8D-D993-403C-B501-4C17B0A6F7B3}"/>
</file>

<file path=customXml/itemProps4.xml><?xml version="1.0" encoding="utf-8"?>
<ds:datastoreItem xmlns:ds="http://schemas.openxmlformats.org/officeDocument/2006/customXml" ds:itemID="{6A64503F-ED0C-4434-95C1-332272F535CC}"/>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2017-03-14T10:47:00Z</cp:lastPrinted>
  <dcterms:created xsi:type="dcterms:W3CDTF">2019-07-24T11:09:00Z</dcterms:created>
  <dcterms:modified xsi:type="dcterms:W3CDTF">2019-07-24T11:09:00Z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