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6F3261A" w:rsidR="009A2D37" w:rsidRPr="00302082" w:rsidRDefault="0019748D" w:rsidP="00CB34E8">
      <w:pPr>
        <w:spacing w:after="120" w:line="240" w:lineRule="auto"/>
        <w:ind w:left="567" w:right="260"/>
        <w:jc w:val="both"/>
        <w:rPr>
          <w:rFonts w:ascii="Arial" w:hAnsi="Arial" w:cs="Arial"/>
        </w:rPr>
      </w:pPr>
      <w:r>
        <w:rPr>
          <w:rFonts w:ascii="Arial" w:hAnsi="Arial" w:cs="Arial"/>
        </w:rPr>
        <w:t>BUSN7590 (CB759</w:t>
      </w:r>
      <w:r w:rsidR="007C05EE">
        <w:rPr>
          <w:rFonts w:ascii="Arial" w:hAnsi="Arial" w:cs="Arial"/>
        </w:rPr>
        <w:t>)</w:t>
      </w:r>
      <w:r>
        <w:rPr>
          <w:rFonts w:ascii="Arial" w:hAnsi="Arial" w:cs="Arial"/>
        </w:rPr>
        <w:t xml:space="preserve"> </w:t>
      </w:r>
      <w:r w:rsidR="009E31EA">
        <w:rPr>
          <w:rFonts w:ascii="Arial" w:hAnsi="Arial" w:cs="Arial"/>
        </w:rPr>
        <w:t>Strategic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BC682FE" w:rsidR="009A2D37" w:rsidRPr="00CB34E8" w:rsidRDefault="005F0105"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F40586A"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4DB032A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48F84F" w14:textId="459E7181"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8.1 critically evaluate </w:t>
      </w:r>
      <w:r w:rsidRPr="00C8762A">
        <w:rPr>
          <w:rFonts w:ascii="Arial" w:eastAsia="Times New Roman" w:hAnsi="Arial" w:cs="Arial"/>
          <w:color w:val="000000"/>
        </w:rPr>
        <w:t xml:space="preserve">the role of strategic management within organisations </w:t>
      </w:r>
      <w:r w:rsidR="00995989" w:rsidRPr="00C8762A">
        <w:rPr>
          <w:rFonts w:ascii="Arial" w:eastAsia="Times New Roman" w:hAnsi="Arial" w:cs="Arial"/>
          <w:color w:val="000000"/>
        </w:rPr>
        <w:t>and the</w:t>
      </w:r>
      <w:r w:rsidRPr="00C8762A">
        <w:rPr>
          <w:rFonts w:ascii="Arial" w:eastAsia="Times New Roman" w:hAnsi="Arial" w:cs="Arial"/>
          <w:color w:val="000000"/>
        </w:rPr>
        <w:t xml:space="preserve"> process issues associated with the strategic management of organisations</w:t>
      </w:r>
    </w:p>
    <w:p w14:paraId="406ABF79" w14:textId="0E86AD05"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8.2 explain </w:t>
      </w:r>
      <w:r w:rsidRPr="00C8762A">
        <w:rPr>
          <w:rFonts w:ascii="Arial" w:eastAsia="Times New Roman" w:hAnsi="Arial" w:cs="Arial"/>
          <w:color w:val="000000"/>
        </w:rPr>
        <w:t>the impact of structure, culture, control and information systems on the strategic management process within organisations</w:t>
      </w:r>
    </w:p>
    <w:p w14:paraId="5A405774" w14:textId="26A86189"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8.3 </w:t>
      </w:r>
      <w:r w:rsidRPr="00C8762A">
        <w:rPr>
          <w:rFonts w:ascii="Arial" w:eastAsia="Times New Roman" w:hAnsi="Arial" w:cs="Arial"/>
          <w:color w:val="000000"/>
        </w:rPr>
        <w:t>compare and contrast the relationship between the external context of an organisation and its internal context and their impact on its strategies</w:t>
      </w:r>
    </w:p>
    <w:p w14:paraId="7167D674" w14:textId="572B8547" w:rsidR="00C8762A"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8.4 </w:t>
      </w:r>
      <w:r w:rsidRPr="00C8762A">
        <w:rPr>
          <w:rFonts w:ascii="Arial" w:eastAsia="Times New Roman" w:hAnsi="Arial" w:cs="Arial"/>
          <w:color w:val="000000"/>
        </w:rPr>
        <w:t>critically understand organisational complexity</w:t>
      </w:r>
    </w:p>
    <w:p w14:paraId="7B9518EB" w14:textId="5016053F" w:rsidR="004857DC" w:rsidRPr="00C8762A" w:rsidRDefault="00C8762A" w:rsidP="00C8762A">
      <w:pPr>
        <w:pStyle w:val="ListParagraph"/>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8.5 </w:t>
      </w:r>
      <w:r w:rsidRPr="00C8762A">
        <w:rPr>
          <w:rFonts w:ascii="Arial" w:eastAsia="Times New Roman" w:hAnsi="Arial" w:cs="Arial"/>
          <w:color w:val="000000"/>
        </w:rPr>
        <w:t>critically apply theories, concepts and frameworks from strategic management to analyse and explain strategy in organisations</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39CB8F" w14:textId="0F654F37" w:rsidR="00C8762A" w:rsidRPr="00C8762A" w:rsidRDefault="00C8762A" w:rsidP="00C8762A">
      <w:pPr>
        <w:pStyle w:val="ListParagraph"/>
        <w:spacing w:after="120" w:line="240" w:lineRule="auto"/>
        <w:ind w:left="567" w:right="260"/>
        <w:rPr>
          <w:rFonts w:ascii="Arial" w:hAnsi="Arial" w:cs="Arial"/>
          <w:color w:val="000000"/>
        </w:rPr>
      </w:pPr>
      <w:r>
        <w:rPr>
          <w:rFonts w:ascii="Arial" w:hAnsi="Arial" w:cs="Arial"/>
          <w:color w:val="000000"/>
        </w:rPr>
        <w:t xml:space="preserve">9.1 </w:t>
      </w:r>
      <w:r w:rsidRPr="00C8762A">
        <w:rPr>
          <w:rFonts w:ascii="Arial" w:hAnsi="Arial" w:cs="Arial"/>
          <w:color w:val="000000"/>
        </w:rPr>
        <w:t>organise and present an analysis as a considered viewpoint</w:t>
      </w:r>
    </w:p>
    <w:p w14:paraId="4242DDCD" w14:textId="0A3566C7" w:rsidR="00C8762A" w:rsidRPr="00C8762A" w:rsidRDefault="00C8762A" w:rsidP="00C8762A">
      <w:pPr>
        <w:pStyle w:val="ListParagraph"/>
        <w:spacing w:after="120" w:line="240" w:lineRule="auto"/>
        <w:ind w:left="567" w:right="260"/>
        <w:rPr>
          <w:rFonts w:ascii="Arial" w:hAnsi="Arial" w:cs="Arial"/>
          <w:color w:val="000000"/>
        </w:rPr>
      </w:pPr>
      <w:r>
        <w:rPr>
          <w:rFonts w:ascii="Arial" w:hAnsi="Arial" w:cs="Arial"/>
          <w:color w:val="000000"/>
        </w:rPr>
        <w:t xml:space="preserve">9.2 </w:t>
      </w:r>
      <w:r w:rsidRPr="00C8762A">
        <w:rPr>
          <w:rFonts w:ascii="Arial" w:hAnsi="Arial" w:cs="Arial"/>
          <w:color w:val="000000"/>
        </w:rPr>
        <w:t xml:space="preserve">communicate effectively </w:t>
      </w:r>
    </w:p>
    <w:p w14:paraId="2A64B5A9" w14:textId="156C6C10" w:rsidR="009A2D37" w:rsidRPr="006375AB" w:rsidRDefault="00C8762A" w:rsidP="00C8762A">
      <w:pPr>
        <w:pStyle w:val="ListParagraph"/>
        <w:spacing w:after="120" w:line="240" w:lineRule="auto"/>
        <w:ind w:left="567" w:right="260"/>
        <w:rPr>
          <w:rFonts w:ascii="Arial" w:hAnsi="Arial" w:cs="Arial"/>
          <w:color w:val="000000"/>
        </w:rPr>
      </w:pPr>
      <w:r>
        <w:rPr>
          <w:rFonts w:ascii="Arial" w:hAnsi="Arial" w:cs="Arial"/>
          <w:color w:val="000000"/>
        </w:rPr>
        <w:t xml:space="preserve">9.3 </w:t>
      </w:r>
      <w:r w:rsidRPr="00C8762A">
        <w:rPr>
          <w:rFonts w:ascii="Arial" w:hAnsi="Arial" w:cs="Arial"/>
          <w:color w:val="000000"/>
        </w:rPr>
        <w:t>find, select, organise and synthesise complex information</w:t>
      </w:r>
      <w:r w:rsidR="006375AB" w:rsidRPr="00C8762A">
        <w:rPr>
          <w:rFonts w:ascii="Arial" w:hAnsi="Arial" w:cs="Arial"/>
          <w:color w:val="000000"/>
        </w:rPr>
        <w:br/>
      </w:r>
    </w:p>
    <w:p w14:paraId="7499F0A1" w14:textId="08302E8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74D3FE" w14:textId="3861E2F4" w:rsidR="00443647" w:rsidRPr="00302082" w:rsidRDefault="006E23AD" w:rsidP="006E23AD">
      <w:pPr>
        <w:spacing w:after="120" w:line="240" w:lineRule="auto"/>
        <w:ind w:left="567" w:right="260"/>
        <w:jc w:val="both"/>
        <w:rPr>
          <w:rFonts w:ascii="Arial" w:hAnsi="Arial" w:cs="Arial"/>
          <w:b/>
        </w:rPr>
      </w:pPr>
      <w:r w:rsidRPr="00DB0CD3">
        <w:rPr>
          <w:rFonts w:ascii="Arial" w:hAnsi="Arial" w:cs="Arial"/>
        </w:rPr>
        <w:t>Strategic Management aims to provide an understanding of strategic analysis, strategic decision-making and strategic processes within and between organisations.</w:t>
      </w:r>
      <w:r>
        <w:rPr>
          <w:rFonts w:ascii="Arial" w:hAnsi="Arial" w:cs="Arial"/>
        </w:rPr>
        <w:t xml:space="preserve"> </w:t>
      </w:r>
      <w:r w:rsidRPr="00DB0CD3">
        <w:rPr>
          <w:rFonts w:ascii="Arial" w:hAnsi="Arial" w:cs="Arial"/>
        </w:rPr>
        <w:t>The module content combines approaches to strategic management, concepts and frameworks, and issues in strategic management. In particular, the themes covered include: internal and external environment analysis, strategic options, selection and evaluation, organisational structure</w:t>
      </w:r>
      <w:r>
        <w:rPr>
          <w:rFonts w:ascii="Arial" w:hAnsi="Arial" w:cs="Arial"/>
        </w:rPr>
        <w:t xml:space="preserve"> and</w:t>
      </w:r>
      <w:r w:rsidRPr="00DB0CD3">
        <w:rPr>
          <w:rFonts w:ascii="Arial" w:hAnsi="Arial" w:cs="Arial"/>
        </w:rPr>
        <w:t xml:space="preserve"> culture, </w:t>
      </w:r>
      <w:r>
        <w:rPr>
          <w:rFonts w:ascii="Arial" w:hAnsi="Arial" w:cs="Arial"/>
        </w:rPr>
        <w:t xml:space="preserve">the role of </w:t>
      </w:r>
      <w:r w:rsidRPr="00DB0CD3">
        <w:rPr>
          <w:rFonts w:ascii="Arial" w:hAnsi="Arial" w:cs="Arial"/>
        </w:rPr>
        <w:t>knowledge, technology</w:t>
      </w:r>
      <w:r>
        <w:rPr>
          <w:rFonts w:ascii="Arial" w:hAnsi="Arial" w:cs="Arial"/>
        </w:rPr>
        <w:t>,</w:t>
      </w:r>
      <w:r w:rsidRPr="00DB0CD3">
        <w:rPr>
          <w:rFonts w:ascii="Arial" w:hAnsi="Arial" w:cs="Arial"/>
        </w:rPr>
        <w:t xml:space="preserve"> innovation</w:t>
      </w:r>
      <w:r>
        <w:rPr>
          <w:rFonts w:ascii="Arial" w:hAnsi="Arial" w:cs="Arial"/>
        </w:rPr>
        <w:t xml:space="preserve"> and entrepreneurship</w:t>
      </w:r>
      <w:r w:rsidRPr="00DB0CD3">
        <w:rPr>
          <w:rFonts w:ascii="Arial" w:hAnsi="Arial" w:cs="Arial"/>
        </w:rPr>
        <w:t>, not-for profit and social enterprises, corporate social responsibility, international strategies, strategic change</w:t>
      </w:r>
      <w:r>
        <w:rPr>
          <w:rFonts w:ascii="Arial" w:hAnsi="Arial" w:cs="Arial"/>
        </w:rPr>
        <w:t xml:space="preserve"> and building a cohesive strategy</w:t>
      </w:r>
      <w:r w:rsidRPr="00DB0CD3">
        <w:rPr>
          <w:rFonts w:ascii="Arial" w:hAnsi="Arial" w:cs="Arial"/>
        </w:rPr>
        <w:t>. Case studies, which are used throughout the module, provide a vehicle for exploring the relationship between theory and practice in organisations and</w:t>
      </w:r>
      <w:r>
        <w:rPr>
          <w:rFonts w:ascii="Arial" w:hAnsi="Arial" w:cs="Arial"/>
        </w:rPr>
        <w:t xml:space="preserve"> analysing</w:t>
      </w:r>
      <w:r w:rsidRPr="00DB0CD3">
        <w:rPr>
          <w:rFonts w:ascii="Arial" w:hAnsi="Arial" w:cs="Arial"/>
        </w:rPr>
        <w:t xml:space="preserve"> </w:t>
      </w:r>
      <w:r>
        <w:rPr>
          <w:rFonts w:ascii="Arial" w:hAnsi="Arial" w:cs="Arial"/>
        </w:rPr>
        <w:t xml:space="preserve">  the </w:t>
      </w:r>
      <w:r w:rsidRPr="00DB0CD3">
        <w:rPr>
          <w:rFonts w:ascii="Arial" w:hAnsi="Arial" w:cs="Arial"/>
        </w:rPr>
        <w:t>implications</w:t>
      </w:r>
      <w:r>
        <w:rPr>
          <w:rFonts w:ascii="Arial" w:hAnsi="Arial" w:cs="Arial"/>
        </w:rPr>
        <w:t xml:space="preserve"> for </w:t>
      </w:r>
      <w:r w:rsidRPr="00DB0CD3">
        <w:rPr>
          <w:rFonts w:ascii="Arial" w:hAnsi="Arial" w:cs="Arial"/>
        </w:rPr>
        <w:t>strateg</w:t>
      </w:r>
      <w:r>
        <w:rPr>
          <w:rFonts w:ascii="Arial" w:hAnsi="Arial" w:cs="Arial"/>
        </w:rPr>
        <w:t>ic direction</w:t>
      </w:r>
    </w:p>
    <w:p w14:paraId="7701B145" w14:textId="2CE0964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B66F46" w14:textId="77777777" w:rsidR="006E23AD" w:rsidRPr="006E23AD" w:rsidRDefault="006E23AD" w:rsidP="006E23AD">
      <w:pPr>
        <w:pStyle w:val="ListParagraph"/>
        <w:spacing w:before="60" w:after="0" w:line="240" w:lineRule="auto"/>
        <w:ind w:left="567" w:right="-330"/>
        <w:jc w:val="both"/>
        <w:rPr>
          <w:rFonts w:ascii="Arial" w:hAnsi="Arial" w:cs="Arial"/>
          <w:bCs/>
        </w:rPr>
      </w:pPr>
      <w:r w:rsidRPr="006E23AD">
        <w:rPr>
          <w:rFonts w:ascii="Arial" w:hAnsi="Arial" w:cs="Arial"/>
          <w:bCs/>
        </w:rPr>
        <w:t>Core textbooks include:</w:t>
      </w:r>
    </w:p>
    <w:p w14:paraId="38C64C1B" w14:textId="1E6CB09D" w:rsidR="006E23AD" w:rsidRPr="006E23AD" w:rsidRDefault="006E23AD" w:rsidP="006E23AD">
      <w:pPr>
        <w:spacing w:after="0" w:line="240" w:lineRule="auto"/>
        <w:ind w:left="-153" w:firstLine="720"/>
        <w:jc w:val="both"/>
        <w:rPr>
          <w:rFonts w:ascii="Arial" w:hAnsi="Arial" w:cs="Arial"/>
        </w:rPr>
      </w:pPr>
      <w:r w:rsidRPr="006E23AD">
        <w:rPr>
          <w:rFonts w:ascii="Arial" w:hAnsi="Arial" w:cs="Arial"/>
        </w:rPr>
        <w:lastRenderedPageBreak/>
        <w:t xml:space="preserve">Lynch, R. (2015) </w:t>
      </w:r>
      <w:r w:rsidRPr="006E23AD">
        <w:rPr>
          <w:rFonts w:ascii="Arial" w:hAnsi="Arial" w:cs="Arial"/>
          <w:i/>
        </w:rPr>
        <w:t>Strategic Management</w:t>
      </w:r>
      <w:r w:rsidRPr="006E23AD">
        <w:rPr>
          <w:rFonts w:ascii="Arial" w:hAnsi="Arial" w:cs="Arial"/>
        </w:rPr>
        <w:t>, 7</w:t>
      </w:r>
      <w:r w:rsidRPr="006E23AD">
        <w:rPr>
          <w:rFonts w:ascii="Arial" w:hAnsi="Arial" w:cs="Arial"/>
          <w:vertAlign w:val="superscript"/>
        </w:rPr>
        <w:t>th</w:t>
      </w:r>
      <w:r w:rsidRPr="006E23AD">
        <w:rPr>
          <w:rFonts w:ascii="Arial" w:hAnsi="Arial" w:cs="Arial"/>
        </w:rPr>
        <w:t xml:space="preserve"> edition, Harlow: Pearson Education Limited</w:t>
      </w:r>
    </w:p>
    <w:p w14:paraId="2A627643" w14:textId="77777777" w:rsidR="006E23AD" w:rsidRPr="006E23AD" w:rsidRDefault="006E23AD" w:rsidP="006E23AD">
      <w:pPr>
        <w:spacing w:before="60" w:after="120" w:line="240" w:lineRule="auto"/>
        <w:ind w:left="567" w:right="260"/>
        <w:jc w:val="both"/>
        <w:rPr>
          <w:rFonts w:ascii="Arial" w:hAnsi="Arial" w:cs="Arial"/>
          <w:i/>
        </w:rPr>
      </w:pPr>
      <w:r w:rsidRPr="006E23AD">
        <w:rPr>
          <w:rFonts w:ascii="Arial" w:hAnsi="Arial" w:cs="Arial"/>
        </w:rPr>
        <w:t xml:space="preserve">Johnson, G., Whittington, R. &amp; Scholes, K. (2014) </w:t>
      </w:r>
      <w:r w:rsidRPr="006E23AD">
        <w:rPr>
          <w:rFonts w:ascii="Arial" w:hAnsi="Arial" w:cs="Arial"/>
          <w:i/>
        </w:rPr>
        <w:t>Exploring Strategy: Text and Cases</w:t>
      </w:r>
      <w:r w:rsidRPr="006E23AD">
        <w:rPr>
          <w:rFonts w:ascii="Arial" w:hAnsi="Arial" w:cs="Arial"/>
        </w:rPr>
        <w:t xml:space="preserve">, </w:t>
      </w:r>
      <w:r w:rsidRPr="006E23AD">
        <w:rPr>
          <w:rFonts w:ascii="Arial" w:hAnsi="Arial" w:cs="Arial"/>
          <w:bCs/>
        </w:rPr>
        <w:t>10</w:t>
      </w:r>
      <w:r w:rsidRPr="006E23AD">
        <w:rPr>
          <w:rFonts w:ascii="Arial" w:hAnsi="Arial" w:cs="Arial"/>
          <w:vertAlign w:val="superscript"/>
        </w:rPr>
        <w:t>th</w:t>
      </w:r>
      <w:r w:rsidRPr="006E23AD">
        <w:rPr>
          <w:rFonts w:ascii="Arial" w:hAnsi="Arial" w:cs="Arial"/>
        </w:rPr>
        <w:t xml:space="preserve"> edition, Harlow: Pearson Education Limited</w:t>
      </w:r>
    </w:p>
    <w:p w14:paraId="18CD35E7" w14:textId="77777777" w:rsidR="006E23AD" w:rsidRPr="006E23AD" w:rsidRDefault="006E23AD" w:rsidP="006E23AD">
      <w:pPr>
        <w:spacing w:after="0"/>
        <w:ind w:left="567"/>
        <w:rPr>
          <w:rFonts w:ascii="Arial" w:hAnsi="Arial" w:cs="Arial"/>
        </w:rPr>
      </w:pPr>
      <w:r w:rsidRPr="006E23AD">
        <w:rPr>
          <w:rFonts w:ascii="Arial" w:hAnsi="Arial" w:cs="Arial"/>
        </w:rPr>
        <w:t xml:space="preserve">Other textbooks include: </w:t>
      </w:r>
    </w:p>
    <w:p w14:paraId="4DE5D505" w14:textId="5B7E569A" w:rsidR="006E23AD" w:rsidRPr="006E23AD" w:rsidRDefault="006E23AD" w:rsidP="006E23AD">
      <w:pPr>
        <w:spacing w:after="0"/>
        <w:ind w:left="567"/>
        <w:rPr>
          <w:rFonts w:ascii="Arial" w:hAnsi="Arial" w:cs="Arial"/>
          <w:i/>
        </w:rPr>
      </w:pPr>
      <w:r w:rsidRPr="006E23AD">
        <w:rPr>
          <w:rFonts w:ascii="Arial" w:hAnsi="Arial" w:cs="Arial"/>
        </w:rPr>
        <w:t xml:space="preserve">Grant, R. M. (2016) </w:t>
      </w:r>
      <w:r w:rsidRPr="006E23AD">
        <w:rPr>
          <w:rFonts w:ascii="Arial" w:hAnsi="Arial" w:cs="Arial"/>
          <w:i/>
        </w:rPr>
        <w:t>Contemporary Strategy Analysis</w:t>
      </w:r>
      <w:r w:rsidRPr="006E23AD">
        <w:rPr>
          <w:rFonts w:ascii="Arial" w:hAnsi="Arial" w:cs="Arial"/>
        </w:rPr>
        <w:t>, 9</w:t>
      </w:r>
      <w:r w:rsidRPr="006E23AD">
        <w:rPr>
          <w:rFonts w:ascii="Arial" w:hAnsi="Arial" w:cs="Arial"/>
          <w:vertAlign w:val="superscript"/>
        </w:rPr>
        <w:t>th</w:t>
      </w:r>
      <w:r w:rsidRPr="006E23AD">
        <w:rPr>
          <w:rFonts w:ascii="Arial" w:hAnsi="Arial" w:cs="Arial"/>
        </w:rPr>
        <w:t xml:space="preserve"> edition, Chichester: John Wiley &amp; Sons</w:t>
      </w:r>
    </w:p>
    <w:p w14:paraId="39E029E8" w14:textId="1CA7C44B" w:rsidR="006E23AD" w:rsidRPr="006E23AD" w:rsidRDefault="006E23AD" w:rsidP="006E23AD">
      <w:pPr>
        <w:spacing w:after="0" w:line="240" w:lineRule="auto"/>
        <w:ind w:left="567" w:right="260"/>
        <w:jc w:val="both"/>
        <w:rPr>
          <w:rFonts w:ascii="Arial" w:hAnsi="Arial" w:cs="Arial"/>
        </w:rPr>
      </w:pPr>
      <w:r w:rsidRPr="006E23AD">
        <w:rPr>
          <w:rFonts w:ascii="Arial" w:hAnsi="Arial" w:cs="Arial"/>
        </w:rPr>
        <w:t xml:space="preserve">Haberberg, A. and Rieple, A. (2008) </w:t>
      </w:r>
      <w:r w:rsidRPr="006E23AD">
        <w:rPr>
          <w:rFonts w:ascii="Arial" w:hAnsi="Arial" w:cs="Arial"/>
          <w:i/>
        </w:rPr>
        <w:t>Strategic Management: Theory and Application</w:t>
      </w:r>
      <w:r w:rsidRPr="006E23AD">
        <w:rPr>
          <w:rFonts w:ascii="Arial" w:hAnsi="Arial" w:cs="Arial"/>
        </w:rPr>
        <w:t>, Oxford: Oxford University Press</w:t>
      </w:r>
    </w:p>
    <w:p w14:paraId="11B85DB7" w14:textId="5095D810" w:rsidR="006E23AD" w:rsidRPr="006E23AD" w:rsidRDefault="006E23AD" w:rsidP="006E23AD">
      <w:pPr>
        <w:spacing w:after="0" w:line="240" w:lineRule="auto"/>
        <w:ind w:left="567" w:right="260"/>
        <w:jc w:val="both"/>
        <w:rPr>
          <w:rFonts w:ascii="Arial" w:hAnsi="Arial" w:cs="Arial"/>
        </w:rPr>
      </w:pPr>
      <w:r w:rsidRPr="006E23AD">
        <w:rPr>
          <w:rFonts w:ascii="Arial" w:hAnsi="Arial" w:cs="Arial"/>
        </w:rPr>
        <w:t xml:space="preserve">Thompson, J. and Martin, F. (2010) </w:t>
      </w:r>
      <w:r w:rsidRPr="006E23AD">
        <w:rPr>
          <w:rFonts w:ascii="Arial" w:hAnsi="Arial" w:cs="Arial"/>
          <w:i/>
        </w:rPr>
        <w:t>Strategic Management: Awareness and Change</w:t>
      </w:r>
      <w:r w:rsidRPr="006E23AD">
        <w:rPr>
          <w:rFonts w:ascii="Arial" w:hAnsi="Arial" w:cs="Arial"/>
        </w:rPr>
        <w:t>, 6</w:t>
      </w:r>
      <w:r w:rsidRPr="006E23AD">
        <w:rPr>
          <w:rFonts w:ascii="Arial" w:hAnsi="Arial" w:cs="Arial"/>
          <w:vertAlign w:val="superscript"/>
        </w:rPr>
        <w:t>th</w:t>
      </w:r>
      <w:r w:rsidRPr="006E23AD">
        <w:rPr>
          <w:rFonts w:ascii="Arial" w:hAnsi="Arial" w:cs="Arial"/>
        </w:rPr>
        <w:t xml:space="preserve"> edition, London: South-Western Cengage Learning. </w:t>
      </w:r>
    </w:p>
    <w:p w14:paraId="68EFEC8D" w14:textId="77777777" w:rsidR="006E23AD" w:rsidRPr="006E23AD" w:rsidRDefault="006E23AD" w:rsidP="006E23AD">
      <w:pPr>
        <w:spacing w:after="0" w:line="240" w:lineRule="auto"/>
        <w:ind w:left="567" w:right="260"/>
        <w:jc w:val="both"/>
        <w:rPr>
          <w:rFonts w:ascii="Arial" w:hAnsi="Arial" w:cs="Arial"/>
        </w:rPr>
      </w:pPr>
      <w:r w:rsidRPr="006E23AD">
        <w:rPr>
          <w:rFonts w:ascii="Arial" w:hAnsi="Arial" w:cs="Arial"/>
        </w:rPr>
        <w:t xml:space="preserve">Campbell, D. Edgar D. and Stonehouse, G. (2011) </w:t>
      </w:r>
      <w:r w:rsidRPr="006E23AD">
        <w:rPr>
          <w:rFonts w:ascii="Arial" w:hAnsi="Arial" w:cs="Arial"/>
          <w:i/>
        </w:rPr>
        <w:t>Business Strategy, an introduction</w:t>
      </w:r>
      <w:r w:rsidRPr="006E23AD">
        <w:rPr>
          <w:rFonts w:ascii="Arial" w:hAnsi="Arial" w:cs="Arial"/>
        </w:rPr>
        <w:t>, 3</w:t>
      </w:r>
      <w:r w:rsidRPr="006E23AD">
        <w:rPr>
          <w:rFonts w:ascii="Arial" w:hAnsi="Arial" w:cs="Arial"/>
          <w:vertAlign w:val="superscript"/>
        </w:rPr>
        <w:t>rd</w:t>
      </w:r>
      <w:r w:rsidRPr="006E23AD">
        <w:rPr>
          <w:rFonts w:ascii="Arial" w:hAnsi="Arial" w:cs="Arial"/>
        </w:rPr>
        <w:t xml:space="preserve"> edition, London: Palgrave Macmillan</w:t>
      </w:r>
    </w:p>
    <w:p w14:paraId="3EF1AADC" w14:textId="419F7E16"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80AFD7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6E23AD">
        <w:rPr>
          <w:rFonts w:ascii="Arial" w:hAnsi="Arial" w:cs="Arial"/>
          <w:iCs/>
        </w:rPr>
        <w:t xml:space="preserve"> 43</w:t>
      </w:r>
    </w:p>
    <w:p w14:paraId="0AB4FB84" w14:textId="6416D2D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6E23AD">
        <w:rPr>
          <w:rFonts w:ascii="Arial" w:hAnsi="Arial" w:cs="Arial"/>
          <w:iCs/>
        </w:rPr>
        <w:t xml:space="preserve"> 257</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DA59D4" w14:textId="77777777" w:rsidR="00670997" w:rsidRPr="00FC2FE7" w:rsidRDefault="00670997" w:rsidP="00696FF5">
      <w:pPr>
        <w:spacing w:after="120" w:line="240" w:lineRule="auto"/>
        <w:ind w:left="567" w:right="260"/>
        <w:jc w:val="both"/>
        <w:rPr>
          <w:rFonts w:ascii="Arial" w:hAnsi="Arial" w:cs="Arial"/>
          <w:iCs/>
        </w:rPr>
      </w:pPr>
      <w:r w:rsidRPr="00FC2FE7">
        <w:rPr>
          <w:rFonts w:ascii="Arial" w:hAnsi="Arial" w:cs="Arial"/>
          <w:iCs/>
        </w:rPr>
        <w:t>Group Case Report (20%)</w:t>
      </w:r>
    </w:p>
    <w:p w14:paraId="71752F9E" w14:textId="12C375E7" w:rsidR="00670997" w:rsidRPr="00FC2FE7" w:rsidRDefault="00670997" w:rsidP="00696FF5">
      <w:pPr>
        <w:spacing w:after="120" w:line="240" w:lineRule="auto"/>
        <w:ind w:left="567" w:right="260"/>
        <w:jc w:val="both"/>
        <w:rPr>
          <w:rFonts w:ascii="Arial" w:hAnsi="Arial" w:cs="Arial"/>
          <w:iCs/>
        </w:rPr>
      </w:pPr>
      <w:r w:rsidRPr="00FC2FE7">
        <w:rPr>
          <w:rFonts w:ascii="Arial" w:hAnsi="Arial" w:cs="Arial"/>
          <w:iCs/>
        </w:rPr>
        <w:t>Group Presentation (1500 words) (10%)</w:t>
      </w:r>
    </w:p>
    <w:p w14:paraId="5B0A1707" w14:textId="38E0EB24" w:rsidR="007A6245" w:rsidRPr="00612B9D" w:rsidRDefault="00670997" w:rsidP="00696FF5">
      <w:pPr>
        <w:spacing w:after="120" w:line="240" w:lineRule="auto"/>
        <w:ind w:left="567" w:right="260"/>
        <w:jc w:val="both"/>
        <w:rPr>
          <w:rFonts w:ascii="Arial" w:hAnsi="Arial" w:cs="Arial"/>
          <w:b/>
          <w:i/>
          <w:iCs/>
        </w:rPr>
      </w:pPr>
      <w:r w:rsidRPr="00FC2FE7">
        <w:rPr>
          <w:rFonts w:ascii="Arial" w:hAnsi="Arial" w:cs="Arial"/>
          <w:iCs/>
        </w:rPr>
        <w:t>Examination, 3 hour (70%)</w:t>
      </w:r>
      <w:r w:rsidR="00C57028" w:rsidRPr="00FC2FE7">
        <w:rPr>
          <w:rFonts w:ascii="Arial" w:hAnsi="Arial" w:cs="Arial"/>
          <w:iCs/>
        </w:rPr>
        <w:t>.</w:t>
      </w:r>
      <w:r w:rsidR="00C57028">
        <w:rPr>
          <w:rFonts w:ascii="Arial" w:hAnsi="Arial" w:cs="Arial"/>
          <w:i/>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10DF9EE" w:rsidR="00C57028" w:rsidRPr="00A43356" w:rsidRDefault="00A43356" w:rsidP="00C57028">
      <w:pPr>
        <w:spacing w:after="120" w:line="240" w:lineRule="auto"/>
        <w:ind w:left="567" w:right="260"/>
        <w:jc w:val="both"/>
        <w:rPr>
          <w:rFonts w:ascii="Arial" w:hAnsi="Arial" w:cs="Arial"/>
          <w:b/>
          <w:iCs/>
        </w:rPr>
      </w:pPr>
      <w:r w:rsidRPr="00A43356">
        <w:rPr>
          <w:rFonts w:ascii="Arial" w:hAnsi="Arial" w:cs="Arial"/>
          <w:iCs/>
        </w:rPr>
        <w:t>Reassessment Instrument:</w:t>
      </w:r>
      <w:r w:rsidR="00FC2FE7">
        <w:rPr>
          <w:rFonts w:ascii="Arial" w:hAnsi="Arial" w:cs="Arial"/>
          <w:iCs/>
        </w:rPr>
        <w:t xml:space="preserve"> </w:t>
      </w:r>
      <w:r w:rsidRPr="00A43356">
        <w:rPr>
          <w:rFonts w:ascii="Arial" w:hAnsi="Arial" w:cs="Arial"/>
          <w:iCs/>
        </w:rPr>
        <w:t>100% exam</w:t>
      </w:r>
      <w:r w:rsidR="00C57028" w:rsidRPr="00A43356">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95989" w:rsidRDefault="006F3F8B" w:rsidP="00696FF5">
      <w:pPr>
        <w:numPr>
          <w:ilvl w:val="0"/>
          <w:numId w:val="1"/>
        </w:numPr>
        <w:spacing w:after="120" w:line="240" w:lineRule="auto"/>
        <w:ind w:left="567" w:right="261" w:hanging="567"/>
        <w:jc w:val="both"/>
        <w:rPr>
          <w:rFonts w:ascii="Arial" w:hAnsi="Arial" w:cs="Arial"/>
          <w:b/>
          <w:iCs/>
        </w:rPr>
      </w:pPr>
      <w:r w:rsidRPr="00995989">
        <w:rPr>
          <w:rFonts w:ascii="Arial" w:hAnsi="Arial" w:cs="Arial"/>
          <w:b/>
          <w:iCs/>
        </w:rPr>
        <w:t xml:space="preserve">Map of </w:t>
      </w:r>
      <w:r w:rsidR="00883204" w:rsidRPr="00995989">
        <w:rPr>
          <w:rFonts w:ascii="Arial" w:hAnsi="Arial" w:cs="Arial"/>
          <w:b/>
          <w:iCs/>
        </w:rPr>
        <w:t xml:space="preserve">module learning outcomes </w:t>
      </w:r>
      <w:r w:rsidR="00B30E07" w:rsidRPr="00995989">
        <w:rPr>
          <w:rFonts w:ascii="Arial" w:hAnsi="Arial" w:cs="Arial"/>
          <w:b/>
          <w:iCs/>
        </w:rPr>
        <w:t>(sections 8 &amp; 9)</w:t>
      </w:r>
      <w:r w:rsidR="00883204" w:rsidRPr="00995989">
        <w:rPr>
          <w:rFonts w:ascii="Arial" w:hAnsi="Arial" w:cs="Arial"/>
          <w:b/>
          <w:iCs/>
        </w:rPr>
        <w:t xml:space="preserve"> to l</w:t>
      </w:r>
      <w:r w:rsidRPr="00995989">
        <w:rPr>
          <w:rFonts w:ascii="Arial" w:hAnsi="Arial" w:cs="Arial"/>
          <w:b/>
          <w:iCs/>
        </w:rPr>
        <w:t>earning</w:t>
      </w:r>
      <w:r w:rsidR="00B30E07" w:rsidRPr="00995989">
        <w:rPr>
          <w:rFonts w:ascii="Arial" w:hAnsi="Arial" w:cs="Arial"/>
          <w:b/>
          <w:iCs/>
        </w:rPr>
        <w:t xml:space="preserve"> and </w:t>
      </w:r>
      <w:r w:rsidR="00883204" w:rsidRPr="00995989">
        <w:rPr>
          <w:rFonts w:ascii="Arial" w:hAnsi="Arial" w:cs="Arial"/>
          <w:b/>
          <w:iCs/>
        </w:rPr>
        <w:t>teaching m</w:t>
      </w:r>
      <w:r w:rsidR="00B30E07" w:rsidRPr="00995989">
        <w:rPr>
          <w:rFonts w:ascii="Arial" w:hAnsi="Arial" w:cs="Arial"/>
          <w:b/>
          <w:iCs/>
        </w:rPr>
        <w:t>ethods (section12</w:t>
      </w:r>
      <w:r w:rsidRPr="00995989">
        <w:rPr>
          <w:rFonts w:ascii="Arial" w:hAnsi="Arial" w:cs="Arial"/>
          <w:b/>
          <w:iCs/>
        </w:rPr>
        <w:t>) and m</w:t>
      </w:r>
      <w:r w:rsidR="00883204" w:rsidRPr="00995989">
        <w:rPr>
          <w:rFonts w:ascii="Arial" w:hAnsi="Arial" w:cs="Arial"/>
          <w:b/>
          <w:iCs/>
        </w:rPr>
        <w:t>ethods of a</w:t>
      </w:r>
      <w:r w:rsidR="00B30E07" w:rsidRPr="00995989">
        <w:rPr>
          <w:rFonts w:ascii="Arial" w:hAnsi="Arial" w:cs="Arial"/>
          <w:b/>
          <w:iCs/>
        </w:rPr>
        <w:t>ssessment (section 13</w:t>
      </w:r>
      <w:r w:rsidR="00EF4933" w:rsidRPr="00995989">
        <w:rPr>
          <w:rFonts w:ascii="Arial" w:hAnsi="Arial" w:cs="Arial"/>
          <w:b/>
          <w:iCs/>
        </w:rPr>
        <w:t>)</w:t>
      </w:r>
    </w:p>
    <w:tbl>
      <w:tblPr>
        <w:tblStyle w:val="TableGrid"/>
        <w:tblW w:w="5000" w:type="pct"/>
        <w:tblLook w:val="04A0" w:firstRow="1" w:lastRow="0" w:firstColumn="1" w:lastColumn="0" w:noHBand="0" w:noVBand="1"/>
      </w:tblPr>
      <w:tblGrid>
        <w:gridCol w:w="3207"/>
        <w:gridCol w:w="907"/>
        <w:gridCol w:w="907"/>
        <w:gridCol w:w="908"/>
        <w:gridCol w:w="908"/>
        <w:gridCol w:w="908"/>
        <w:gridCol w:w="908"/>
        <w:gridCol w:w="908"/>
        <w:gridCol w:w="895"/>
      </w:tblGrid>
      <w:tr w:rsidR="006E23AD" w:rsidRPr="00302082" w14:paraId="2401B034" w14:textId="77777777" w:rsidTr="00995989">
        <w:tc>
          <w:tcPr>
            <w:tcW w:w="1534" w:type="pct"/>
            <w:shd w:val="clear" w:color="auto" w:fill="D9D9D9" w:themeFill="background1" w:themeFillShade="D9"/>
          </w:tcPr>
          <w:p w14:paraId="04CC7075" w14:textId="77777777" w:rsidR="006E23AD" w:rsidRPr="00302082" w:rsidRDefault="006E23AD" w:rsidP="00A95E72">
            <w:pPr>
              <w:spacing w:after="120"/>
              <w:ind w:left="33"/>
              <w:rPr>
                <w:rFonts w:ascii="Arial" w:hAnsi="Arial" w:cs="Arial"/>
                <w:b/>
              </w:rPr>
            </w:pPr>
            <w:r w:rsidRPr="00302082">
              <w:rPr>
                <w:rFonts w:ascii="Arial" w:hAnsi="Arial" w:cs="Arial"/>
                <w:b/>
              </w:rPr>
              <w:t>Module learning outcome</w:t>
            </w:r>
          </w:p>
        </w:tc>
        <w:tc>
          <w:tcPr>
            <w:tcW w:w="434" w:type="pct"/>
          </w:tcPr>
          <w:p w14:paraId="343DD834" w14:textId="77777777" w:rsidR="006E23AD" w:rsidRPr="00302082" w:rsidRDefault="006E23AD" w:rsidP="00A95E72">
            <w:pPr>
              <w:spacing w:after="120"/>
              <w:rPr>
                <w:rFonts w:ascii="Arial" w:hAnsi="Arial" w:cs="Arial"/>
                <w:i/>
              </w:rPr>
            </w:pPr>
            <w:r w:rsidRPr="00302082">
              <w:rPr>
                <w:rFonts w:ascii="Arial" w:hAnsi="Arial" w:cs="Arial"/>
                <w:i/>
              </w:rPr>
              <w:t>8.1</w:t>
            </w:r>
          </w:p>
        </w:tc>
        <w:tc>
          <w:tcPr>
            <w:tcW w:w="434" w:type="pct"/>
          </w:tcPr>
          <w:p w14:paraId="439C0CB2" w14:textId="77777777" w:rsidR="006E23AD" w:rsidRPr="00302082" w:rsidRDefault="006E23AD" w:rsidP="00A95E72">
            <w:pPr>
              <w:spacing w:after="120"/>
              <w:rPr>
                <w:rFonts w:ascii="Arial" w:hAnsi="Arial" w:cs="Arial"/>
                <w:i/>
              </w:rPr>
            </w:pPr>
            <w:r w:rsidRPr="00302082">
              <w:rPr>
                <w:rFonts w:ascii="Arial" w:hAnsi="Arial" w:cs="Arial"/>
                <w:i/>
              </w:rPr>
              <w:t>8.2</w:t>
            </w:r>
          </w:p>
        </w:tc>
        <w:tc>
          <w:tcPr>
            <w:tcW w:w="434" w:type="pct"/>
          </w:tcPr>
          <w:p w14:paraId="549FDF48" w14:textId="77777777" w:rsidR="006E23AD" w:rsidRPr="00302082" w:rsidRDefault="006E23AD" w:rsidP="00A95E72">
            <w:pPr>
              <w:spacing w:after="120"/>
              <w:rPr>
                <w:rFonts w:ascii="Arial" w:hAnsi="Arial" w:cs="Arial"/>
                <w:i/>
              </w:rPr>
            </w:pPr>
            <w:r w:rsidRPr="00302082">
              <w:rPr>
                <w:rFonts w:ascii="Arial" w:hAnsi="Arial" w:cs="Arial"/>
                <w:i/>
              </w:rPr>
              <w:t>8.3</w:t>
            </w:r>
          </w:p>
        </w:tc>
        <w:tc>
          <w:tcPr>
            <w:tcW w:w="434" w:type="pct"/>
          </w:tcPr>
          <w:p w14:paraId="1445A619" w14:textId="77777777" w:rsidR="006E23AD" w:rsidRPr="00302082" w:rsidRDefault="006E23AD" w:rsidP="00A95E72">
            <w:pPr>
              <w:spacing w:after="120"/>
              <w:rPr>
                <w:rFonts w:ascii="Arial" w:hAnsi="Arial" w:cs="Arial"/>
                <w:i/>
              </w:rPr>
            </w:pPr>
            <w:r w:rsidRPr="00302082">
              <w:rPr>
                <w:rFonts w:ascii="Arial" w:hAnsi="Arial" w:cs="Arial"/>
                <w:i/>
              </w:rPr>
              <w:t>8.4</w:t>
            </w:r>
          </w:p>
        </w:tc>
        <w:tc>
          <w:tcPr>
            <w:tcW w:w="434" w:type="pct"/>
          </w:tcPr>
          <w:p w14:paraId="4F01D7DC" w14:textId="77777777" w:rsidR="006E23AD" w:rsidRPr="00302082" w:rsidRDefault="006E23AD" w:rsidP="00A95E72">
            <w:pPr>
              <w:spacing w:after="120"/>
              <w:rPr>
                <w:rFonts w:ascii="Arial" w:hAnsi="Arial" w:cs="Arial"/>
                <w:i/>
              </w:rPr>
            </w:pPr>
            <w:r w:rsidRPr="00302082">
              <w:rPr>
                <w:rFonts w:ascii="Arial" w:hAnsi="Arial" w:cs="Arial"/>
                <w:i/>
              </w:rPr>
              <w:t>8.5</w:t>
            </w:r>
          </w:p>
        </w:tc>
        <w:tc>
          <w:tcPr>
            <w:tcW w:w="434" w:type="pct"/>
          </w:tcPr>
          <w:p w14:paraId="14C2F767" w14:textId="77777777" w:rsidR="006E23AD" w:rsidRPr="00302082" w:rsidRDefault="006E23AD" w:rsidP="00A95E72">
            <w:pPr>
              <w:spacing w:after="120"/>
              <w:rPr>
                <w:rFonts w:ascii="Arial" w:hAnsi="Arial" w:cs="Arial"/>
                <w:i/>
              </w:rPr>
            </w:pPr>
            <w:r>
              <w:rPr>
                <w:rFonts w:ascii="Arial" w:hAnsi="Arial" w:cs="Arial"/>
                <w:i/>
              </w:rPr>
              <w:t xml:space="preserve">9.1 </w:t>
            </w:r>
          </w:p>
        </w:tc>
        <w:tc>
          <w:tcPr>
            <w:tcW w:w="434" w:type="pct"/>
          </w:tcPr>
          <w:p w14:paraId="1699F426" w14:textId="77777777" w:rsidR="006E23AD" w:rsidRPr="00302082" w:rsidRDefault="006E23AD" w:rsidP="00A95E72">
            <w:pPr>
              <w:spacing w:after="120"/>
              <w:rPr>
                <w:rFonts w:ascii="Arial" w:hAnsi="Arial" w:cs="Arial"/>
                <w:i/>
              </w:rPr>
            </w:pPr>
            <w:r>
              <w:rPr>
                <w:rFonts w:ascii="Arial" w:hAnsi="Arial" w:cs="Arial"/>
                <w:i/>
              </w:rPr>
              <w:t>9.2</w:t>
            </w:r>
          </w:p>
        </w:tc>
        <w:tc>
          <w:tcPr>
            <w:tcW w:w="428" w:type="pct"/>
          </w:tcPr>
          <w:p w14:paraId="2B382574" w14:textId="77777777" w:rsidR="006E23AD" w:rsidRPr="00302082" w:rsidRDefault="006E23AD" w:rsidP="00A95E72">
            <w:pPr>
              <w:spacing w:after="120"/>
              <w:rPr>
                <w:rFonts w:ascii="Arial" w:hAnsi="Arial" w:cs="Arial"/>
                <w:i/>
              </w:rPr>
            </w:pPr>
            <w:r>
              <w:rPr>
                <w:rFonts w:ascii="Arial" w:hAnsi="Arial" w:cs="Arial"/>
                <w:i/>
              </w:rPr>
              <w:t>9.3</w:t>
            </w:r>
          </w:p>
        </w:tc>
      </w:tr>
      <w:tr w:rsidR="006E23AD" w:rsidRPr="00302082" w14:paraId="62E3702D" w14:textId="77777777" w:rsidTr="00995989">
        <w:tc>
          <w:tcPr>
            <w:tcW w:w="1534" w:type="pct"/>
            <w:shd w:val="clear" w:color="auto" w:fill="D9D9D9" w:themeFill="background1" w:themeFillShade="D9"/>
          </w:tcPr>
          <w:p w14:paraId="6FD1854B" w14:textId="77777777" w:rsidR="006E23AD" w:rsidRPr="00302082" w:rsidRDefault="006E23AD" w:rsidP="00A95E72">
            <w:pPr>
              <w:spacing w:after="120"/>
              <w:rPr>
                <w:rFonts w:ascii="Arial" w:hAnsi="Arial" w:cs="Arial"/>
                <w:b/>
              </w:rPr>
            </w:pPr>
            <w:r w:rsidRPr="00302082">
              <w:rPr>
                <w:rFonts w:ascii="Arial" w:hAnsi="Arial" w:cs="Arial"/>
                <w:b/>
              </w:rPr>
              <w:t>Learning/ teaching method</w:t>
            </w:r>
          </w:p>
        </w:tc>
        <w:tc>
          <w:tcPr>
            <w:tcW w:w="434" w:type="pct"/>
          </w:tcPr>
          <w:p w14:paraId="3E0C2D39" w14:textId="77777777" w:rsidR="006E23AD" w:rsidRPr="00302082" w:rsidRDefault="006E23AD" w:rsidP="00A95E72">
            <w:pPr>
              <w:spacing w:after="120"/>
              <w:rPr>
                <w:rFonts w:ascii="Arial" w:hAnsi="Arial" w:cs="Arial"/>
                <w:b/>
              </w:rPr>
            </w:pPr>
          </w:p>
        </w:tc>
        <w:tc>
          <w:tcPr>
            <w:tcW w:w="434" w:type="pct"/>
          </w:tcPr>
          <w:p w14:paraId="742FB17B" w14:textId="77777777" w:rsidR="006E23AD" w:rsidRPr="00302082" w:rsidRDefault="006E23AD" w:rsidP="00A95E72">
            <w:pPr>
              <w:spacing w:after="120"/>
              <w:rPr>
                <w:rFonts w:ascii="Arial" w:hAnsi="Arial" w:cs="Arial"/>
                <w:b/>
              </w:rPr>
            </w:pPr>
          </w:p>
        </w:tc>
        <w:tc>
          <w:tcPr>
            <w:tcW w:w="434" w:type="pct"/>
          </w:tcPr>
          <w:p w14:paraId="64B8AA5A" w14:textId="77777777" w:rsidR="006E23AD" w:rsidRPr="00302082" w:rsidRDefault="006E23AD" w:rsidP="00A95E72">
            <w:pPr>
              <w:spacing w:after="120"/>
              <w:rPr>
                <w:rFonts w:ascii="Arial" w:hAnsi="Arial" w:cs="Arial"/>
                <w:b/>
              </w:rPr>
            </w:pPr>
          </w:p>
        </w:tc>
        <w:tc>
          <w:tcPr>
            <w:tcW w:w="434" w:type="pct"/>
          </w:tcPr>
          <w:p w14:paraId="1B6C237A" w14:textId="77777777" w:rsidR="006E23AD" w:rsidRPr="00302082" w:rsidRDefault="006E23AD" w:rsidP="00A95E72">
            <w:pPr>
              <w:spacing w:after="120"/>
              <w:rPr>
                <w:rFonts w:ascii="Arial" w:hAnsi="Arial" w:cs="Arial"/>
                <w:b/>
              </w:rPr>
            </w:pPr>
          </w:p>
        </w:tc>
        <w:tc>
          <w:tcPr>
            <w:tcW w:w="434" w:type="pct"/>
          </w:tcPr>
          <w:p w14:paraId="1E99BE90" w14:textId="77777777" w:rsidR="006E23AD" w:rsidRPr="00302082" w:rsidRDefault="006E23AD" w:rsidP="00A95E72">
            <w:pPr>
              <w:spacing w:after="120"/>
              <w:rPr>
                <w:rFonts w:ascii="Arial" w:hAnsi="Arial" w:cs="Arial"/>
                <w:b/>
              </w:rPr>
            </w:pPr>
          </w:p>
        </w:tc>
        <w:tc>
          <w:tcPr>
            <w:tcW w:w="434" w:type="pct"/>
          </w:tcPr>
          <w:p w14:paraId="0B30597B" w14:textId="77777777" w:rsidR="006E23AD" w:rsidRPr="00302082" w:rsidRDefault="006E23AD" w:rsidP="00A95E72">
            <w:pPr>
              <w:spacing w:after="120"/>
              <w:rPr>
                <w:rFonts w:ascii="Arial" w:hAnsi="Arial" w:cs="Arial"/>
                <w:b/>
              </w:rPr>
            </w:pPr>
          </w:p>
        </w:tc>
        <w:tc>
          <w:tcPr>
            <w:tcW w:w="434" w:type="pct"/>
          </w:tcPr>
          <w:p w14:paraId="58E57BE1" w14:textId="77777777" w:rsidR="006E23AD" w:rsidRPr="00302082" w:rsidRDefault="006E23AD" w:rsidP="00A95E72">
            <w:pPr>
              <w:spacing w:after="120"/>
              <w:rPr>
                <w:rFonts w:ascii="Arial" w:hAnsi="Arial" w:cs="Arial"/>
                <w:b/>
              </w:rPr>
            </w:pPr>
          </w:p>
        </w:tc>
        <w:tc>
          <w:tcPr>
            <w:tcW w:w="428" w:type="pct"/>
          </w:tcPr>
          <w:p w14:paraId="76CE496A" w14:textId="77777777" w:rsidR="006E23AD" w:rsidRPr="00302082" w:rsidRDefault="006E23AD" w:rsidP="00A95E72">
            <w:pPr>
              <w:spacing w:after="120"/>
              <w:rPr>
                <w:rFonts w:ascii="Arial" w:hAnsi="Arial" w:cs="Arial"/>
                <w:b/>
              </w:rPr>
            </w:pPr>
          </w:p>
        </w:tc>
      </w:tr>
      <w:tr w:rsidR="00995989" w14:paraId="5DF8C46E" w14:textId="77777777" w:rsidTr="00995989">
        <w:tc>
          <w:tcPr>
            <w:tcW w:w="1534" w:type="pct"/>
          </w:tcPr>
          <w:p w14:paraId="4A53542D" w14:textId="77777777" w:rsidR="00995989" w:rsidRPr="00302082" w:rsidDel="006B0FE2" w:rsidRDefault="00995989" w:rsidP="00995989">
            <w:pPr>
              <w:spacing w:after="120"/>
              <w:rPr>
                <w:rFonts w:ascii="Arial" w:hAnsi="Arial" w:cs="Arial"/>
                <w:i/>
              </w:rPr>
            </w:pPr>
            <w:r>
              <w:rPr>
                <w:rFonts w:ascii="Arial" w:hAnsi="Arial" w:cs="Arial"/>
                <w:i/>
              </w:rPr>
              <w:t>Lectures</w:t>
            </w:r>
          </w:p>
        </w:tc>
        <w:tc>
          <w:tcPr>
            <w:tcW w:w="434" w:type="pct"/>
          </w:tcPr>
          <w:p w14:paraId="6555D911" w14:textId="3388AA01" w:rsidR="00995989" w:rsidRDefault="00995989" w:rsidP="00995989">
            <w:pPr>
              <w:spacing w:after="120"/>
              <w:rPr>
                <w:rFonts w:ascii="Arial" w:hAnsi="Arial" w:cs="Arial"/>
                <w:b/>
              </w:rPr>
            </w:pPr>
            <w:r>
              <w:rPr>
                <w:rFonts w:ascii="Arial" w:hAnsi="Arial" w:cs="Arial"/>
                <w:b/>
              </w:rPr>
              <w:t>x</w:t>
            </w:r>
          </w:p>
        </w:tc>
        <w:tc>
          <w:tcPr>
            <w:tcW w:w="434" w:type="pct"/>
          </w:tcPr>
          <w:p w14:paraId="2975450F" w14:textId="33BD4BEB" w:rsidR="00995989" w:rsidRDefault="00995989" w:rsidP="00995989">
            <w:pPr>
              <w:spacing w:after="120"/>
              <w:rPr>
                <w:rFonts w:ascii="Arial" w:hAnsi="Arial" w:cs="Arial"/>
                <w:b/>
              </w:rPr>
            </w:pPr>
            <w:r w:rsidRPr="006A5E8B">
              <w:rPr>
                <w:rFonts w:ascii="Arial" w:hAnsi="Arial" w:cs="Arial"/>
                <w:b/>
              </w:rPr>
              <w:t>x</w:t>
            </w:r>
          </w:p>
        </w:tc>
        <w:tc>
          <w:tcPr>
            <w:tcW w:w="434" w:type="pct"/>
          </w:tcPr>
          <w:p w14:paraId="12E708CC" w14:textId="6F21E68D" w:rsidR="00995989" w:rsidRDefault="00995989" w:rsidP="00995989">
            <w:pPr>
              <w:spacing w:after="120"/>
              <w:rPr>
                <w:rFonts w:ascii="Arial" w:hAnsi="Arial" w:cs="Arial"/>
                <w:b/>
              </w:rPr>
            </w:pPr>
            <w:r w:rsidRPr="006A5E8B">
              <w:rPr>
                <w:rFonts w:ascii="Arial" w:hAnsi="Arial" w:cs="Arial"/>
                <w:b/>
              </w:rPr>
              <w:t>x</w:t>
            </w:r>
          </w:p>
        </w:tc>
        <w:tc>
          <w:tcPr>
            <w:tcW w:w="434" w:type="pct"/>
          </w:tcPr>
          <w:p w14:paraId="4449445D" w14:textId="67736365" w:rsidR="00995989" w:rsidRDefault="00995989" w:rsidP="00995989">
            <w:pPr>
              <w:spacing w:after="120"/>
              <w:rPr>
                <w:rFonts w:ascii="Arial" w:hAnsi="Arial" w:cs="Arial"/>
                <w:b/>
              </w:rPr>
            </w:pPr>
            <w:r w:rsidRPr="006A5E8B">
              <w:rPr>
                <w:rFonts w:ascii="Arial" w:hAnsi="Arial" w:cs="Arial"/>
                <w:b/>
              </w:rPr>
              <w:t>x</w:t>
            </w:r>
          </w:p>
        </w:tc>
        <w:tc>
          <w:tcPr>
            <w:tcW w:w="434" w:type="pct"/>
          </w:tcPr>
          <w:p w14:paraId="49D07DD9" w14:textId="68262EBC" w:rsidR="00995989" w:rsidRDefault="00995989" w:rsidP="00995989">
            <w:pPr>
              <w:spacing w:after="120"/>
              <w:rPr>
                <w:rFonts w:ascii="Arial" w:hAnsi="Arial" w:cs="Arial"/>
                <w:b/>
              </w:rPr>
            </w:pPr>
            <w:r w:rsidRPr="006A5E8B">
              <w:rPr>
                <w:rFonts w:ascii="Arial" w:hAnsi="Arial" w:cs="Arial"/>
                <w:b/>
              </w:rPr>
              <w:t>x</w:t>
            </w:r>
          </w:p>
        </w:tc>
        <w:tc>
          <w:tcPr>
            <w:tcW w:w="434" w:type="pct"/>
          </w:tcPr>
          <w:p w14:paraId="5E78D468" w14:textId="77777777" w:rsidR="00995989" w:rsidRDefault="00995989" w:rsidP="00995989">
            <w:pPr>
              <w:spacing w:after="120"/>
              <w:rPr>
                <w:rFonts w:ascii="Arial" w:hAnsi="Arial" w:cs="Arial"/>
                <w:b/>
              </w:rPr>
            </w:pPr>
          </w:p>
        </w:tc>
        <w:tc>
          <w:tcPr>
            <w:tcW w:w="434" w:type="pct"/>
          </w:tcPr>
          <w:p w14:paraId="5C798D2B" w14:textId="77777777" w:rsidR="00995989" w:rsidRDefault="00995989" w:rsidP="00995989">
            <w:pPr>
              <w:spacing w:after="120"/>
              <w:rPr>
                <w:rFonts w:ascii="Arial" w:hAnsi="Arial" w:cs="Arial"/>
                <w:b/>
              </w:rPr>
            </w:pPr>
          </w:p>
        </w:tc>
        <w:tc>
          <w:tcPr>
            <w:tcW w:w="428" w:type="pct"/>
          </w:tcPr>
          <w:p w14:paraId="3E29A055" w14:textId="77777777" w:rsidR="00995989" w:rsidRDefault="00995989" w:rsidP="00995989">
            <w:pPr>
              <w:spacing w:after="120"/>
              <w:rPr>
                <w:rFonts w:ascii="Arial" w:hAnsi="Arial" w:cs="Arial"/>
                <w:b/>
              </w:rPr>
            </w:pPr>
          </w:p>
        </w:tc>
      </w:tr>
      <w:tr w:rsidR="00995989" w:rsidRPr="00302082" w14:paraId="07F3F1EE" w14:textId="77777777" w:rsidTr="00995989">
        <w:tc>
          <w:tcPr>
            <w:tcW w:w="1534" w:type="pct"/>
          </w:tcPr>
          <w:p w14:paraId="2B948ADA" w14:textId="77777777" w:rsidR="00995989" w:rsidRPr="00302082" w:rsidRDefault="00995989" w:rsidP="00995989">
            <w:pPr>
              <w:spacing w:after="120"/>
              <w:rPr>
                <w:rFonts w:ascii="Arial" w:hAnsi="Arial" w:cs="Arial"/>
                <w:i/>
              </w:rPr>
            </w:pPr>
            <w:r>
              <w:rPr>
                <w:rFonts w:ascii="Arial" w:hAnsi="Arial" w:cs="Arial"/>
                <w:i/>
              </w:rPr>
              <w:t xml:space="preserve">Seminars/Workshops </w:t>
            </w:r>
          </w:p>
        </w:tc>
        <w:tc>
          <w:tcPr>
            <w:tcW w:w="434" w:type="pct"/>
          </w:tcPr>
          <w:p w14:paraId="0FFDE24E" w14:textId="36B9ABE3"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19DF7785" w14:textId="3866F744"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2CF8F119" w14:textId="1206C959"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6546265E" w14:textId="0181E49E"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4F3ADFA1" w14:textId="1BE9A019"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20A20A84" w14:textId="40CD7980" w:rsidR="00995989" w:rsidRPr="00302082" w:rsidRDefault="00995989" w:rsidP="00995989">
            <w:pPr>
              <w:spacing w:after="120"/>
              <w:rPr>
                <w:rFonts w:ascii="Arial" w:hAnsi="Arial" w:cs="Arial"/>
                <w:b/>
              </w:rPr>
            </w:pPr>
            <w:r w:rsidRPr="002201AB">
              <w:rPr>
                <w:rFonts w:ascii="Arial" w:hAnsi="Arial" w:cs="Arial"/>
                <w:b/>
              </w:rPr>
              <w:t>x</w:t>
            </w:r>
          </w:p>
        </w:tc>
        <w:tc>
          <w:tcPr>
            <w:tcW w:w="434" w:type="pct"/>
          </w:tcPr>
          <w:p w14:paraId="037A3A6E" w14:textId="025BA644" w:rsidR="00995989" w:rsidRPr="00302082" w:rsidRDefault="00995989" w:rsidP="00995989">
            <w:pPr>
              <w:spacing w:after="120"/>
              <w:rPr>
                <w:rFonts w:ascii="Arial" w:hAnsi="Arial" w:cs="Arial"/>
                <w:b/>
              </w:rPr>
            </w:pPr>
            <w:r w:rsidRPr="002201AB">
              <w:rPr>
                <w:rFonts w:ascii="Arial" w:hAnsi="Arial" w:cs="Arial"/>
                <w:b/>
              </w:rPr>
              <w:t>x</w:t>
            </w:r>
          </w:p>
        </w:tc>
        <w:tc>
          <w:tcPr>
            <w:tcW w:w="428" w:type="pct"/>
          </w:tcPr>
          <w:p w14:paraId="03204496" w14:textId="70BA8CFD" w:rsidR="00995989" w:rsidRPr="00302082" w:rsidRDefault="00995989" w:rsidP="00995989">
            <w:pPr>
              <w:spacing w:after="120"/>
              <w:rPr>
                <w:rFonts w:ascii="Arial" w:hAnsi="Arial" w:cs="Arial"/>
                <w:b/>
              </w:rPr>
            </w:pPr>
            <w:r w:rsidRPr="002201AB">
              <w:rPr>
                <w:rFonts w:ascii="Arial" w:hAnsi="Arial" w:cs="Arial"/>
                <w:b/>
              </w:rPr>
              <w:t>x</w:t>
            </w:r>
          </w:p>
        </w:tc>
      </w:tr>
      <w:tr w:rsidR="00995989" w:rsidRPr="00302082" w14:paraId="132F52A3" w14:textId="77777777" w:rsidTr="00995989">
        <w:tc>
          <w:tcPr>
            <w:tcW w:w="1534" w:type="pct"/>
          </w:tcPr>
          <w:p w14:paraId="0BC8EB9D" w14:textId="403A0DE8" w:rsidR="00995989" w:rsidRPr="00302082" w:rsidRDefault="00995989" w:rsidP="00FC2FE7">
            <w:pPr>
              <w:spacing w:after="120"/>
              <w:rPr>
                <w:rFonts w:ascii="Arial" w:hAnsi="Arial" w:cs="Arial"/>
                <w:i/>
              </w:rPr>
            </w:pPr>
            <w:r>
              <w:rPr>
                <w:rFonts w:ascii="Arial" w:hAnsi="Arial" w:cs="Arial"/>
                <w:i/>
              </w:rPr>
              <w:t>Independent study</w:t>
            </w:r>
          </w:p>
        </w:tc>
        <w:tc>
          <w:tcPr>
            <w:tcW w:w="434" w:type="pct"/>
          </w:tcPr>
          <w:p w14:paraId="40E62221" w14:textId="10868BBC"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57B81198" w14:textId="0FFA859A"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4B87EA9B" w14:textId="01EB7483"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384015D9" w14:textId="26DCBC9C"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0D9301FF" w14:textId="10E53C1C"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5BC05725" w14:textId="36CB87C6" w:rsidR="00995989" w:rsidRPr="00302082" w:rsidRDefault="00995989" w:rsidP="00995989">
            <w:pPr>
              <w:spacing w:after="120"/>
              <w:rPr>
                <w:rFonts w:ascii="Arial" w:hAnsi="Arial" w:cs="Arial"/>
                <w:b/>
              </w:rPr>
            </w:pPr>
            <w:r w:rsidRPr="008E0650">
              <w:rPr>
                <w:rFonts w:ascii="Arial" w:hAnsi="Arial" w:cs="Arial"/>
                <w:b/>
              </w:rPr>
              <w:t>x</w:t>
            </w:r>
          </w:p>
        </w:tc>
        <w:tc>
          <w:tcPr>
            <w:tcW w:w="434" w:type="pct"/>
          </w:tcPr>
          <w:p w14:paraId="7CDC1987" w14:textId="77777777" w:rsidR="00995989" w:rsidRPr="00302082" w:rsidRDefault="00995989" w:rsidP="00995989">
            <w:pPr>
              <w:spacing w:after="120"/>
              <w:rPr>
                <w:rFonts w:ascii="Arial" w:hAnsi="Arial" w:cs="Arial"/>
                <w:b/>
              </w:rPr>
            </w:pPr>
          </w:p>
        </w:tc>
        <w:tc>
          <w:tcPr>
            <w:tcW w:w="428" w:type="pct"/>
          </w:tcPr>
          <w:p w14:paraId="22CC503F" w14:textId="2F610A75" w:rsidR="00995989" w:rsidRPr="00302082" w:rsidRDefault="00995989" w:rsidP="00995989">
            <w:pPr>
              <w:spacing w:after="120"/>
              <w:rPr>
                <w:rFonts w:ascii="Arial" w:hAnsi="Arial" w:cs="Arial"/>
                <w:b/>
              </w:rPr>
            </w:pPr>
            <w:r>
              <w:rPr>
                <w:rFonts w:ascii="Arial" w:hAnsi="Arial" w:cs="Arial"/>
                <w:b/>
              </w:rPr>
              <w:t>x</w:t>
            </w:r>
          </w:p>
        </w:tc>
      </w:tr>
      <w:tr w:rsidR="006E23AD" w:rsidRPr="00302082" w14:paraId="16518E00" w14:textId="77777777" w:rsidTr="00995989">
        <w:tc>
          <w:tcPr>
            <w:tcW w:w="1534" w:type="pct"/>
            <w:shd w:val="clear" w:color="auto" w:fill="D9D9D9" w:themeFill="background1" w:themeFillShade="D9"/>
          </w:tcPr>
          <w:p w14:paraId="79603488" w14:textId="77777777" w:rsidR="006E23AD" w:rsidRPr="00302082" w:rsidRDefault="006E23AD" w:rsidP="00A95E72">
            <w:pPr>
              <w:spacing w:after="120"/>
              <w:rPr>
                <w:rFonts w:ascii="Arial" w:hAnsi="Arial" w:cs="Arial"/>
                <w:b/>
              </w:rPr>
            </w:pPr>
            <w:r w:rsidRPr="00302082">
              <w:rPr>
                <w:rFonts w:ascii="Arial" w:hAnsi="Arial" w:cs="Arial"/>
                <w:b/>
              </w:rPr>
              <w:t>Assessment method</w:t>
            </w:r>
          </w:p>
        </w:tc>
        <w:tc>
          <w:tcPr>
            <w:tcW w:w="434" w:type="pct"/>
          </w:tcPr>
          <w:p w14:paraId="0971E52E" w14:textId="77777777" w:rsidR="006E23AD" w:rsidRPr="00302082" w:rsidRDefault="006E23AD" w:rsidP="00A95E72">
            <w:pPr>
              <w:spacing w:after="120"/>
              <w:rPr>
                <w:rFonts w:ascii="Arial" w:hAnsi="Arial" w:cs="Arial"/>
                <w:b/>
              </w:rPr>
            </w:pPr>
          </w:p>
        </w:tc>
        <w:tc>
          <w:tcPr>
            <w:tcW w:w="434" w:type="pct"/>
          </w:tcPr>
          <w:p w14:paraId="7171BF98" w14:textId="77777777" w:rsidR="006E23AD" w:rsidRPr="00302082" w:rsidRDefault="006E23AD" w:rsidP="00A95E72">
            <w:pPr>
              <w:spacing w:after="120"/>
              <w:rPr>
                <w:rFonts w:ascii="Arial" w:hAnsi="Arial" w:cs="Arial"/>
                <w:b/>
              </w:rPr>
            </w:pPr>
          </w:p>
        </w:tc>
        <w:tc>
          <w:tcPr>
            <w:tcW w:w="434" w:type="pct"/>
          </w:tcPr>
          <w:p w14:paraId="33D018AA" w14:textId="77777777" w:rsidR="006E23AD" w:rsidRPr="00302082" w:rsidRDefault="006E23AD" w:rsidP="00A95E72">
            <w:pPr>
              <w:spacing w:after="120"/>
              <w:rPr>
                <w:rFonts w:ascii="Arial" w:hAnsi="Arial" w:cs="Arial"/>
                <w:b/>
              </w:rPr>
            </w:pPr>
          </w:p>
        </w:tc>
        <w:tc>
          <w:tcPr>
            <w:tcW w:w="434" w:type="pct"/>
          </w:tcPr>
          <w:p w14:paraId="514F01B5" w14:textId="77777777" w:rsidR="006E23AD" w:rsidRPr="00302082" w:rsidRDefault="006E23AD" w:rsidP="00A95E72">
            <w:pPr>
              <w:spacing w:after="120"/>
              <w:rPr>
                <w:rFonts w:ascii="Arial" w:hAnsi="Arial" w:cs="Arial"/>
                <w:b/>
              </w:rPr>
            </w:pPr>
          </w:p>
        </w:tc>
        <w:tc>
          <w:tcPr>
            <w:tcW w:w="434" w:type="pct"/>
          </w:tcPr>
          <w:p w14:paraId="5F014F53" w14:textId="77777777" w:rsidR="006E23AD" w:rsidRPr="00302082" w:rsidRDefault="006E23AD" w:rsidP="00A95E72">
            <w:pPr>
              <w:spacing w:after="120"/>
              <w:rPr>
                <w:rFonts w:ascii="Arial" w:hAnsi="Arial" w:cs="Arial"/>
                <w:b/>
              </w:rPr>
            </w:pPr>
          </w:p>
        </w:tc>
        <w:tc>
          <w:tcPr>
            <w:tcW w:w="434" w:type="pct"/>
          </w:tcPr>
          <w:p w14:paraId="504D036F" w14:textId="77777777" w:rsidR="006E23AD" w:rsidRPr="00302082" w:rsidRDefault="006E23AD" w:rsidP="00A95E72">
            <w:pPr>
              <w:spacing w:after="120"/>
              <w:rPr>
                <w:rFonts w:ascii="Arial" w:hAnsi="Arial" w:cs="Arial"/>
                <w:b/>
              </w:rPr>
            </w:pPr>
          </w:p>
        </w:tc>
        <w:tc>
          <w:tcPr>
            <w:tcW w:w="434" w:type="pct"/>
          </w:tcPr>
          <w:p w14:paraId="3589A2D3" w14:textId="77777777" w:rsidR="006E23AD" w:rsidRPr="00302082" w:rsidRDefault="006E23AD" w:rsidP="00A95E72">
            <w:pPr>
              <w:spacing w:after="120"/>
              <w:rPr>
                <w:rFonts w:ascii="Arial" w:hAnsi="Arial" w:cs="Arial"/>
                <w:b/>
              </w:rPr>
            </w:pPr>
          </w:p>
        </w:tc>
        <w:tc>
          <w:tcPr>
            <w:tcW w:w="428" w:type="pct"/>
          </w:tcPr>
          <w:p w14:paraId="7C3848E6" w14:textId="77777777" w:rsidR="006E23AD" w:rsidRPr="00302082" w:rsidRDefault="006E23AD" w:rsidP="00A95E72">
            <w:pPr>
              <w:spacing w:after="120"/>
              <w:rPr>
                <w:rFonts w:ascii="Arial" w:hAnsi="Arial" w:cs="Arial"/>
                <w:b/>
              </w:rPr>
            </w:pPr>
          </w:p>
        </w:tc>
      </w:tr>
      <w:tr w:rsidR="00995989" w:rsidRPr="00302082" w14:paraId="64515A35" w14:textId="77777777" w:rsidTr="00995989">
        <w:tc>
          <w:tcPr>
            <w:tcW w:w="1534" w:type="pct"/>
          </w:tcPr>
          <w:p w14:paraId="51C165F3" w14:textId="77777777" w:rsidR="00995989" w:rsidRPr="00302082" w:rsidRDefault="00995989" w:rsidP="00995989">
            <w:pPr>
              <w:spacing w:after="120"/>
              <w:rPr>
                <w:rFonts w:ascii="Arial" w:hAnsi="Arial" w:cs="Arial"/>
                <w:i/>
              </w:rPr>
            </w:pPr>
            <w:r>
              <w:rPr>
                <w:rFonts w:ascii="Arial" w:hAnsi="Arial" w:cs="Arial"/>
                <w:i/>
              </w:rPr>
              <w:t xml:space="preserve">Group </w:t>
            </w:r>
            <w:r w:rsidRPr="00302082">
              <w:rPr>
                <w:rFonts w:ascii="Arial" w:hAnsi="Arial" w:cs="Arial"/>
                <w:i/>
              </w:rPr>
              <w:t>Presentation</w:t>
            </w:r>
          </w:p>
        </w:tc>
        <w:tc>
          <w:tcPr>
            <w:tcW w:w="434" w:type="pct"/>
          </w:tcPr>
          <w:p w14:paraId="1E617E1E" w14:textId="25171B4F"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1D300809" w14:textId="445BD1DA"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56B11184" w14:textId="7DD1740C"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1F9E365" w14:textId="36EEEA9C"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4A958FDA" w14:textId="59B4739F"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6BC8931" w14:textId="018253DE"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9E80553" w14:textId="1C8572DF" w:rsidR="00995989" w:rsidRPr="00302082" w:rsidRDefault="00995989" w:rsidP="00995989">
            <w:pPr>
              <w:spacing w:after="120"/>
              <w:rPr>
                <w:rFonts w:ascii="Arial" w:hAnsi="Arial" w:cs="Arial"/>
                <w:b/>
              </w:rPr>
            </w:pPr>
            <w:r w:rsidRPr="00D46972">
              <w:rPr>
                <w:rFonts w:ascii="Arial" w:hAnsi="Arial" w:cs="Arial"/>
                <w:b/>
              </w:rPr>
              <w:t>x</w:t>
            </w:r>
          </w:p>
        </w:tc>
        <w:tc>
          <w:tcPr>
            <w:tcW w:w="428" w:type="pct"/>
          </w:tcPr>
          <w:p w14:paraId="052129E8" w14:textId="597C9CD8" w:rsidR="00995989" w:rsidRPr="00302082" w:rsidRDefault="00995989" w:rsidP="00995989">
            <w:pPr>
              <w:spacing w:after="120"/>
              <w:rPr>
                <w:rFonts w:ascii="Arial" w:hAnsi="Arial" w:cs="Arial"/>
                <w:b/>
              </w:rPr>
            </w:pPr>
            <w:r w:rsidRPr="00D46972">
              <w:rPr>
                <w:rFonts w:ascii="Arial" w:hAnsi="Arial" w:cs="Arial"/>
                <w:b/>
              </w:rPr>
              <w:t>x</w:t>
            </w:r>
          </w:p>
        </w:tc>
      </w:tr>
      <w:tr w:rsidR="00995989" w:rsidRPr="00302082" w14:paraId="224FF145" w14:textId="77777777" w:rsidTr="00995989">
        <w:tc>
          <w:tcPr>
            <w:tcW w:w="1534" w:type="pct"/>
          </w:tcPr>
          <w:p w14:paraId="1FFE948C" w14:textId="5AE762DD" w:rsidR="00995989" w:rsidRPr="00302082" w:rsidRDefault="00995989" w:rsidP="00995989">
            <w:pPr>
              <w:spacing w:after="120"/>
              <w:rPr>
                <w:rFonts w:ascii="Arial" w:hAnsi="Arial" w:cs="Arial"/>
                <w:i/>
              </w:rPr>
            </w:pPr>
            <w:r>
              <w:rPr>
                <w:rFonts w:ascii="Arial" w:hAnsi="Arial" w:cs="Arial"/>
                <w:i/>
              </w:rPr>
              <w:t xml:space="preserve">Group Case report </w:t>
            </w:r>
          </w:p>
        </w:tc>
        <w:tc>
          <w:tcPr>
            <w:tcW w:w="434" w:type="pct"/>
          </w:tcPr>
          <w:p w14:paraId="77FEF47E" w14:textId="6AD1E1EA"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0AF67C8A" w14:textId="22C4BD68"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2D1469DD" w14:textId="190DDFA2"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032E11D0" w14:textId="726E1D0F"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196E19D4" w14:textId="6001A65E"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2FE19583" w14:textId="2259D2DA"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7C31959B" w14:textId="4AC67AC6" w:rsidR="00995989" w:rsidRPr="00302082" w:rsidRDefault="00995989" w:rsidP="00995989">
            <w:pPr>
              <w:spacing w:after="120"/>
              <w:rPr>
                <w:rFonts w:ascii="Arial" w:hAnsi="Arial" w:cs="Arial"/>
                <w:b/>
              </w:rPr>
            </w:pPr>
            <w:r w:rsidRPr="00D46972">
              <w:rPr>
                <w:rFonts w:ascii="Arial" w:hAnsi="Arial" w:cs="Arial"/>
                <w:b/>
              </w:rPr>
              <w:t>x</w:t>
            </w:r>
          </w:p>
        </w:tc>
        <w:tc>
          <w:tcPr>
            <w:tcW w:w="428" w:type="pct"/>
          </w:tcPr>
          <w:p w14:paraId="15456568" w14:textId="570C3A0B" w:rsidR="00995989" w:rsidRPr="00302082" w:rsidRDefault="00995989" w:rsidP="00995989">
            <w:pPr>
              <w:spacing w:after="120"/>
              <w:rPr>
                <w:rFonts w:ascii="Arial" w:hAnsi="Arial" w:cs="Arial"/>
                <w:b/>
              </w:rPr>
            </w:pPr>
            <w:r w:rsidRPr="00D46972">
              <w:rPr>
                <w:rFonts w:ascii="Arial" w:hAnsi="Arial" w:cs="Arial"/>
                <w:b/>
              </w:rPr>
              <w:t>x</w:t>
            </w:r>
          </w:p>
        </w:tc>
      </w:tr>
      <w:tr w:rsidR="00995989" w:rsidRPr="00302082" w14:paraId="46A9DCD1" w14:textId="77777777" w:rsidTr="00995989">
        <w:tc>
          <w:tcPr>
            <w:tcW w:w="1534" w:type="pct"/>
          </w:tcPr>
          <w:p w14:paraId="6FE7972A" w14:textId="77777777" w:rsidR="00995989" w:rsidRPr="00302082" w:rsidRDefault="00995989" w:rsidP="00995989">
            <w:pPr>
              <w:spacing w:after="120"/>
              <w:rPr>
                <w:rFonts w:ascii="Arial" w:hAnsi="Arial" w:cs="Arial"/>
                <w:i/>
              </w:rPr>
            </w:pPr>
            <w:r w:rsidRPr="00302082">
              <w:rPr>
                <w:rFonts w:ascii="Arial" w:hAnsi="Arial" w:cs="Arial"/>
                <w:i/>
              </w:rPr>
              <w:t>Examination</w:t>
            </w:r>
          </w:p>
        </w:tc>
        <w:tc>
          <w:tcPr>
            <w:tcW w:w="434" w:type="pct"/>
          </w:tcPr>
          <w:p w14:paraId="4DE116A2" w14:textId="4B93BD59"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4F2E182C" w14:textId="38B882AE"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3662293A" w14:textId="3FDAA94D"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ED4565B" w14:textId="7AD615C1"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6301DB6A" w14:textId="65FE6833"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594B632C" w14:textId="2DD21866" w:rsidR="00995989" w:rsidRPr="00302082" w:rsidRDefault="00995989" w:rsidP="00995989">
            <w:pPr>
              <w:spacing w:after="120"/>
              <w:rPr>
                <w:rFonts w:ascii="Arial" w:hAnsi="Arial" w:cs="Arial"/>
                <w:b/>
              </w:rPr>
            </w:pPr>
            <w:r w:rsidRPr="00D46972">
              <w:rPr>
                <w:rFonts w:ascii="Arial" w:hAnsi="Arial" w:cs="Arial"/>
                <w:b/>
              </w:rPr>
              <w:t>x</w:t>
            </w:r>
          </w:p>
        </w:tc>
        <w:tc>
          <w:tcPr>
            <w:tcW w:w="434" w:type="pct"/>
          </w:tcPr>
          <w:p w14:paraId="3C287DE1" w14:textId="0B9EC520" w:rsidR="00995989" w:rsidRPr="00302082" w:rsidRDefault="00995989" w:rsidP="00995989">
            <w:pPr>
              <w:spacing w:after="120"/>
              <w:rPr>
                <w:rFonts w:ascii="Arial" w:hAnsi="Arial" w:cs="Arial"/>
                <w:b/>
              </w:rPr>
            </w:pPr>
            <w:r w:rsidRPr="00D46972">
              <w:rPr>
                <w:rFonts w:ascii="Arial" w:hAnsi="Arial" w:cs="Arial"/>
                <w:b/>
              </w:rPr>
              <w:t>x</w:t>
            </w:r>
          </w:p>
        </w:tc>
        <w:tc>
          <w:tcPr>
            <w:tcW w:w="428" w:type="pct"/>
          </w:tcPr>
          <w:p w14:paraId="7871F3FB" w14:textId="3C070CCB" w:rsidR="00995989" w:rsidRPr="00302082" w:rsidRDefault="00995989" w:rsidP="00995989">
            <w:pPr>
              <w:spacing w:after="120"/>
              <w:rPr>
                <w:rFonts w:ascii="Arial" w:hAnsi="Arial" w:cs="Arial"/>
                <w:b/>
              </w:rPr>
            </w:pPr>
            <w:r w:rsidRPr="00D46972">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995989" w:rsidRDefault="00883204" w:rsidP="00696FF5">
      <w:pPr>
        <w:numPr>
          <w:ilvl w:val="0"/>
          <w:numId w:val="1"/>
        </w:numPr>
        <w:spacing w:after="120" w:line="240" w:lineRule="auto"/>
        <w:ind w:left="567" w:right="261" w:hanging="568"/>
        <w:jc w:val="both"/>
        <w:rPr>
          <w:rFonts w:ascii="Arial" w:hAnsi="Arial" w:cs="Arial"/>
          <w:b/>
        </w:rPr>
      </w:pPr>
      <w:r w:rsidRPr="00995989">
        <w:rPr>
          <w:rFonts w:ascii="Arial" w:hAnsi="Arial" w:cs="Arial"/>
          <w:b/>
        </w:rPr>
        <w:t xml:space="preserve">Internationalisation </w:t>
      </w:r>
    </w:p>
    <w:p w14:paraId="3AA54CCC" w14:textId="34C7D1B1" w:rsidR="00164ED5" w:rsidRPr="00995989" w:rsidRDefault="00995989" w:rsidP="00164ED5">
      <w:pPr>
        <w:spacing w:after="120" w:line="240" w:lineRule="auto"/>
        <w:ind w:left="567" w:right="261"/>
        <w:jc w:val="both"/>
        <w:rPr>
          <w:rFonts w:ascii="Arial" w:hAnsi="Arial" w:cs="Arial"/>
        </w:rPr>
      </w:pPr>
      <w:r w:rsidRPr="00995989">
        <w:rPr>
          <w:rFonts w:ascii="Arial" w:hAnsi="Arial" w:cs="Arial"/>
        </w:rPr>
        <w:t xml:space="preserve">Internationalisation is formally reflected in subject specific learning outcomes for the module which include </w:t>
      </w:r>
      <w:r>
        <w:rPr>
          <w:rFonts w:ascii="Arial" w:hAnsi="Arial" w:cs="Arial"/>
        </w:rPr>
        <w:t>understanding and demonstrating knowledge of strategic management theories and concepts which can be applied to</w:t>
      </w:r>
      <w:r w:rsidRPr="00995989">
        <w:rPr>
          <w:rFonts w:ascii="Arial" w:hAnsi="Arial" w:cs="Arial"/>
        </w:rPr>
        <w:t xml:space="preserve"> domestic and international business environments.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45201B24" w:rsidR="00164ED5" w:rsidRPr="00506EEA" w:rsidRDefault="00164ED5" w:rsidP="00164ED5">
            <w:pPr>
              <w:spacing w:after="120"/>
              <w:ind w:right="-330"/>
              <w:rPr>
                <w:rFonts w:ascii="Arial" w:hAnsi="Arial" w:cs="Arial"/>
              </w:rPr>
            </w:pPr>
          </w:p>
        </w:tc>
        <w:tc>
          <w:tcPr>
            <w:tcW w:w="1701" w:type="dxa"/>
          </w:tcPr>
          <w:p w14:paraId="1403AEBB" w14:textId="490E5001" w:rsidR="00164ED5" w:rsidRPr="00506EEA" w:rsidRDefault="00164ED5" w:rsidP="00164ED5">
            <w:pPr>
              <w:spacing w:after="120"/>
              <w:ind w:right="-330"/>
              <w:rPr>
                <w:rFonts w:ascii="Arial" w:hAnsi="Arial" w:cs="Arial"/>
              </w:rPr>
            </w:pPr>
          </w:p>
        </w:tc>
        <w:tc>
          <w:tcPr>
            <w:tcW w:w="2410" w:type="dxa"/>
          </w:tcPr>
          <w:p w14:paraId="6C52E9CA" w14:textId="4A19563D" w:rsidR="00164ED5" w:rsidRPr="00506EEA" w:rsidRDefault="00164ED5" w:rsidP="00164ED5">
            <w:pPr>
              <w:spacing w:after="120"/>
              <w:ind w:right="-330"/>
              <w:rPr>
                <w:rFonts w:ascii="Arial" w:hAnsi="Arial" w:cs="Arial"/>
              </w:rPr>
            </w:pPr>
          </w:p>
        </w:tc>
        <w:tc>
          <w:tcPr>
            <w:tcW w:w="2448" w:type="dxa"/>
          </w:tcPr>
          <w:p w14:paraId="43DFCA84" w14:textId="5B96FA9E" w:rsidR="00164ED5" w:rsidRPr="00506EEA" w:rsidRDefault="00164ED5" w:rsidP="00164ED5">
            <w:pPr>
              <w:spacing w:after="120"/>
              <w:ind w:right="-330"/>
              <w:rPr>
                <w:rFonts w:ascii="Arial" w:hAnsi="Arial" w:cs="Arial"/>
              </w:rPr>
            </w:pPr>
          </w:p>
        </w:tc>
        <w:tc>
          <w:tcPr>
            <w:tcW w:w="2597" w:type="dxa"/>
          </w:tcPr>
          <w:p w14:paraId="7B690596" w14:textId="50B219DC"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4328EFC" w:rsidR="008B2543" w:rsidRDefault="0019787E" w:rsidP="009A2D37">
        <w:pPr>
          <w:pStyle w:val="Footer"/>
          <w:jc w:val="center"/>
        </w:pPr>
        <w:r>
          <w:fldChar w:fldCharType="begin"/>
        </w:r>
        <w:r>
          <w:instrText xml:space="preserve"> PAGE   \* MERGEFORMAT </w:instrText>
        </w:r>
        <w:r>
          <w:fldChar w:fldCharType="separate"/>
        </w:r>
        <w:r w:rsidR="005F7FA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33AB"/>
    <w:rsid w:val="00496AA3"/>
    <w:rsid w:val="00497C98"/>
    <w:rsid w:val="004A39D7"/>
    <w:rsid w:val="004A55FA"/>
    <w:rsid w:val="004B5D03"/>
    <w:rsid w:val="004C1EC4"/>
    <w:rsid w:val="004D035C"/>
    <w:rsid w:val="004F3C18"/>
    <w:rsid w:val="004F4328"/>
    <w:rsid w:val="005005E4"/>
    <w:rsid w:val="00513689"/>
    <w:rsid w:val="0051375A"/>
    <w:rsid w:val="0052035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5F7FAB"/>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0997"/>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538F"/>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5989"/>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4335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2FE7"/>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474C-99ED-4E93-A072-F3AC6A980BAD}">
  <ds:schemaRefs>
    <ds:schemaRef ds:uri="http://schemas.microsoft.com/sharepoint/v3/contenttype/forms"/>
  </ds:schemaRefs>
</ds:datastoreItem>
</file>

<file path=customXml/itemProps2.xml><?xml version="1.0" encoding="utf-8"?>
<ds:datastoreItem xmlns:ds="http://schemas.openxmlformats.org/officeDocument/2006/customXml" ds:itemID="{9281E7D0-5B65-4C18-B84E-A60D59438FE8}">
  <ds:schemaRef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ef2b9e05-657a-4dc1-8c6c-679bdea18f38"/>
    <ds:schemaRef ds:uri="http://www.w3.org/XML/1998/namespace"/>
  </ds:schemaRefs>
</ds:datastoreItem>
</file>

<file path=customXml/itemProps3.xml><?xml version="1.0" encoding="utf-8"?>
<ds:datastoreItem xmlns:ds="http://schemas.openxmlformats.org/officeDocument/2006/customXml" ds:itemID="{91FC1E68-0C96-438B-88F1-8F5AE8A62864}"/>
</file>

<file path=customXml/itemProps4.xml><?xml version="1.0" encoding="utf-8"?>
<ds:datastoreItem xmlns:ds="http://schemas.openxmlformats.org/officeDocument/2006/customXml" ds:itemID="{137ED5A5-B895-4503-8B51-3B596E2A2853}">
  <ds:schemaRefs>
    <ds:schemaRef ds:uri="http://schemas.microsoft.com/sharepoint/events"/>
  </ds:schemaRefs>
</ds:datastoreItem>
</file>

<file path=customXml/itemProps5.xml><?xml version="1.0" encoding="utf-8"?>
<ds:datastoreItem xmlns:ds="http://schemas.openxmlformats.org/officeDocument/2006/customXml" ds:itemID="{E73D78F2-023D-4D69-A462-B66FC18D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2018-03-01T14:15:00Z</dcterms:created>
  <dcterms:modified xsi:type="dcterms:W3CDTF">2018-03-01T14:15:00Z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4332034e-b31f-4d67-a0fa-c8d59a42a7aa</vt:lpwstr>
  </property>
</Properties>
</file>